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BD925" w14:textId="028A91E7" w:rsidR="00702A66" w:rsidRPr="003A15C4" w:rsidRDefault="003D499E" w:rsidP="187DA56C">
      <w:pPr>
        <w:pStyle w:val="NoSpacing"/>
      </w:pPr>
      <w:r>
        <w:rPr>
          <w:noProof/>
        </w:rPr>
        <mc:AlternateContent>
          <mc:Choice Requires="wps">
            <w:drawing>
              <wp:anchor distT="0" distB="0" distL="114300" distR="114300" simplePos="0" relativeHeight="251658241" behindDoc="0" locked="0" layoutInCell="1" allowOverlap="1" wp14:anchorId="490092A1" wp14:editId="023E177F">
                <wp:simplePos x="0" y="0"/>
                <wp:positionH relativeFrom="column">
                  <wp:posOffset>-406400</wp:posOffset>
                </wp:positionH>
                <wp:positionV relativeFrom="paragraph">
                  <wp:posOffset>558800</wp:posOffset>
                </wp:positionV>
                <wp:extent cx="5299113" cy="1498294"/>
                <wp:effectExtent l="0" t="0" r="0" b="0"/>
                <wp:wrapThrough wrapText="bothSides">
                  <wp:wrapPolygon edited="0">
                    <wp:start x="259" y="183"/>
                    <wp:lineTo x="259" y="21243"/>
                    <wp:lineTo x="21225" y="21243"/>
                    <wp:lineTo x="21276" y="183"/>
                    <wp:lineTo x="259" y="183"/>
                  </wp:wrapPolygon>
                </wp:wrapThrough>
                <wp:docPr id="307572838" name="Text Box 307572838"/>
                <wp:cNvGraphicFramePr/>
                <a:graphic xmlns:a="http://schemas.openxmlformats.org/drawingml/2006/main">
                  <a:graphicData uri="http://schemas.microsoft.com/office/word/2010/wordprocessingShape">
                    <wps:wsp>
                      <wps:cNvSpPr txBox="1"/>
                      <wps:spPr>
                        <a:xfrm>
                          <a:off x="0" y="0"/>
                          <a:ext cx="5299113" cy="1498294"/>
                        </a:xfrm>
                        <a:prstGeom prst="rect">
                          <a:avLst/>
                        </a:prstGeom>
                        <a:noFill/>
                        <a:ln w="6350">
                          <a:noFill/>
                        </a:ln>
                      </wps:spPr>
                      <wps:txbx>
                        <w:txbxContent>
                          <w:p w14:paraId="2136D420" w14:textId="61FC5CC7" w:rsidR="003D499E" w:rsidRPr="00D857B3" w:rsidRDefault="003D499E" w:rsidP="003D499E">
                            <w:pPr>
                              <w:spacing w:after="0" w:line="520" w:lineRule="exact"/>
                              <w:rPr>
                                <w:sz w:val="48"/>
                                <w:szCs w:val="48"/>
                              </w:rPr>
                            </w:pPr>
                            <w:r w:rsidRPr="00D857B3">
                              <w:rPr>
                                <w:sz w:val="48"/>
                                <w:szCs w:val="48"/>
                              </w:rPr>
                              <w:t>CVRP Greenhouse Gas Emission</w:t>
                            </w:r>
                            <w:r>
                              <w:rPr>
                                <w:sz w:val="48"/>
                                <w:szCs w:val="48"/>
                              </w:rPr>
                              <w:br/>
                            </w:r>
                            <w:r w:rsidRPr="00D857B3">
                              <w:rPr>
                                <w:sz w:val="48"/>
                                <w:szCs w:val="48"/>
                              </w:rPr>
                              <w:t>Reductions and Cost-Effectiveness</w:t>
                            </w:r>
                            <w:r w:rsidRPr="00D857B3">
                              <w:rPr>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0092A1" id="_x0000_t202" coordsize="21600,21600" o:spt="202" path="m,l,21600r21600,l21600,xe">
                <v:stroke joinstyle="miter"/>
                <v:path gradientshapeok="t" o:connecttype="rect"/>
              </v:shapetype>
              <v:shape id="Text Box 307572838" o:spid="_x0000_s1026" type="#_x0000_t202" style="position:absolute;margin-left:-32pt;margin-top:44pt;width:417.25pt;height:11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ysGQIAAC0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" filled="f" stroked="f" strokeweight=".5pt">
                <v:textbox>
                  <w:txbxContent>
                    <w:p w14:paraId="2136D420" w14:textId="61FC5CC7" w:rsidR="003D499E" w:rsidRPr="00D857B3" w:rsidRDefault="003D499E" w:rsidP="003D499E">
                      <w:pPr>
                        <w:spacing w:after="0" w:line="520" w:lineRule="exact"/>
                        <w:rPr>
                          <w:sz w:val="48"/>
                          <w:szCs w:val="48"/>
                        </w:rPr>
                      </w:pPr>
                      <w:r w:rsidRPr="00D857B3">
                        <w:rPr>
                          <w:sz w:val="48"/>
                          <w:szCs w:val="48"/>
                        </w:rPr>
                        <w:t>CVRP Greenhouse Gas Emission</w:t>
                      </w:r>
                      <w:r>
                        <w:rPr>
                          <w:sz w:val="48"/>
                          <w:szCs w:val="48"/>
                        </w:rPr>
                        <w:br/>
                      </w:r>
                      <w:r w:rsidRPr="00D857B3">
                        <w:rPr>
                          <w:sz w:val="48"/>
                          <w:szCs w:val="48"/>
                        </w:rPr>
                        <w:t>Reductions and Cost-Effectiveness</w:t>
                      </w:r>
                      <w:r w:rsidRPr="00D857B3">
                        <w:rPr>
                          <w:sz w:val="48"/>
                          <w:szCs w:val="48"/>
                        </w:rPr>
                        <w:br/>
                      </w:r>
                    </w:p>
                  </w:txbxContent>
                </v:textbox>
                <w10:wrap type="through"/>
              </v:shape>
            </w:pict>
          </mc:Fallback>
        </mc:AlternateContent>
      </w:r>
      <w:r w:rsidR="009D77F0">
        <w:rPr>
          <w:noProof/>
        </w:rPr>
        <w:drawing>
          <wp:anchor distT="0" distB="0" distL="114300" distR="114300" simplePos="0" relativeHeight="251658240" behindDoc="1" locked="0" layoutInCell="1" allowOverlap="1" wp14:anchorId="7E232916" wp14:editId="6918CCDE">
            <wp:simplePos x="0" y="0"/>
            <wp:positionH relativeFrom="margin">
              <wp:align>center</wp:align>
            </wp:positionH>
            <wp:positionV relativeFrom="paragraph">
              <wp:posOffset>-711200</wp:posOffset>
            </wp:positionV>
            <wp:extent cx="7352030" cy="9649539"/>
            <wp:effectExtent l="0" t="0" r="1270"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52030" cy="9649539"/>
                    </a:xfrm>
                    <a:prstGeom prst="rect">
                      <a:avLst/>
                    </a:prstGeom>
                  </pic:spPr>
                </pic:pic>
              </a:graphicData>
            </a:graphic>
            <wp14:sizeRelH relativeFrom="page">
              <wp14:pctWidth>0</wp14:pctWidth>
            </wp14:sizeRelH>
            <wp14:sizeRelV relativeFrom="page">
              <wp14:pctHeight>0</wp14:pctHeight>
            </wp14:sizeRelV>
          </wp:anchor>
        </w:drawing>
      </w:r>
      <w:r w:rsidR="004110ED" w:rsidRPr="003A15C4">
        <w:rPr>
          <w:rFonts w:ascii="Arial Unicode MS" w:eastAsia="Arial Unicode MS" w:hAnsi="Arial Unicode MS" w:cs="Arial Unicode MS"/>
        </w:rPr>
        <w:br w:type="page"/>
      </w:r>
    </w:p>
    <w:p w14:paraId="52F65328" w14:textId="210B6DEC" w:rsidR="00B117DA" w:rsidRDefault="00B117DA">
      <w:pPr>
        <w:pStyle w:val="NoSpacing"/>
      </w:pPr>
    </w:p>
    <w:p w14:paraId="4E84AF3B" w14:textId="58AFC8FF" w:rsidR="00B117DA" w:rsidRDefault="00B117DA">
      <w:pPr>
        <w:spacing w:after="0" w:line="240" w:lineRule="auto"/>
        <w:rPr>
          <w:rFonts w:eastAsia="Calibri" w:cs="Calibri"/>
          <w:color w:val="000000"/>
          <w:u w:color="000000"/>
        </w:rPr>
      </w:pPr>
    </w:p>
    <w:p w14:paraId="50E29F70" w14:textId="77777777" w:rsidR="00702A66" w:rsidRDefault="00702A66">
      <w:pPr>
        <w:pStyle w:val="NoSpacing"/>
      </w:pPr>
    </w:p>
    <w:p w14:paraId="4EE102E4" w14:textId="522C04BF" w:rsidR="00702A66" w:rsidRDefault="00702A66">
      <w:pPr>
        <w:pStyle w:val="NoSpacing"/>
      </w:pPr>
    </w:p>
    <w:p w14:paraId="2938CB1B" w14:textId="65E43CA0" w:rsidR="00702A66" w:rsidRDefault="00702A66">
      <w:pPr>
        <w:pStyle w:val="NoSpacing"/>
      </w:pPr>
    </w:p>
    <w:p w14:paraId="02D4A254" w14:textId="26036624" w:rsidR="00702A66" w:rsidRDefault="00702A66">
      <w:pPr>
        <w:pStyle w:val="NoSpacing"/>
      </w:pPr>
    </w:p>
    <w:p w14:paraId="326429FD" w14:textId="7AD35972" w:rsidR="00702A66" w:rsidRDefault="00702A66">
      <w:pPr>
        <w:pStyle w:val="NoSpacing"/>
      </w:pPr>
    </w:p>
    <w:p w14:paraId="47AB8E9A" w14:textId="55195413" w:rsidR="00702A66" w:rsidRDefault="00702A66">
      <w:pPr>
        <w:pStyle w:val="NoSpacing"/>
      </w:pPr>
    </w:p>
    <w:p w14:paraId="1B8A8390" w14:textId="0FCC3340" w:rsidR="00702A66" w:rsidRDefault="00702A66">
      <w:pPr>
        <w:pStyle w:val="NoSpacing"/>
      </w:pPr>
    </w:p>
    <w:p w14:paraId="2BE5E815" w14:textId="581E2E05" w:rsidR="00702A66" w:rsidRDefault="00702A66">
      <w:pPr>
        <w:pStyle w:val="NoSpacing"/>
      </w:pPr>
    </w:p>
    <w:p w14:paraId="2E052D05" w14:textId="4D701035" w:rsidR="00702A66" w:rsidRDefault="00702A66">
      <w:pPr>
        <w:pStyle w:val="NoSpacing"/>
      </w:pPr>
    </w:p>
    <w:p w14:paraId="179CE5EC" w14:textId="16A77108" w:rsidR="00702A66" w:rsidRDefault="00702A66">
      <w:pPr>
        <w:pStyle w:val="NoSpacing"/>
      </w:pPr>
    </w:p>
    <w:p w14:paraId="792D3EAF" w14:textId="308E76D7" w:rsidR="00702A66" w:rsidRDefault="00702A66">
      <w:pPr>
        <w:pStyle w:val="NoSpacing"/>
      </w:pPr>
    </w:p>
    <w:p w14:paraId="57CAC95E" w14:textId="5210D7E8" w:rsidR="00702A66" w:rsidRDefault="00702A66">
      <w:pPr>
        <w:pStyle w:val="NoSpacing"/>
      </w:pPr>
    </w:p>
    <w:p w14:paraId="199BF67D" w14:textId="1AE92AF1" w:rsidR="00702A66" w:rsidRDefault="00702A66">
      <w:pPr>
        <w:pStyle w:val="NoSpacing"/>
      </w:pPr>
    </w:p>
    <w:p w14:paraId="0F4BDD00" w14:textId="55DF3D3A" w:rsidR="00702A66" w:rsidRDefault="00702A66">
      <w:pPr>
        <w:pStyle w:val="NoSpacing"/>
      </w:pPr>
    </w:p>
    <w:p w14:paraId="6C69F654" w14:textId="41ECF81E" w:rsidR="00702A66" w:rsidRDefault="00702A66">
      <w:pPr>
        <w:pStyle w:val="NoSpacing"/>
      </w:pPr>
    </w:p>
    <w:p w14:paraId="381BF099" w14:textId="4EBB57B5" w:rsidR="00702A66" w:rsidRDefault="00702A66">
      <w:pPr>
        <w:pStyle w:val="NoSpacing"/>
      </w:pPr>
    </w:p>
    <w:p w14:paraId="22E9EFA1" w14:textId="06A09614" w:rsidR="00702A66" w:rsidRDefault="00702A66">
      <w:pPr>
        <w:pStyle w:val="NoSpacing"/>
      </w:pPr>
    </w:p>
    <w:p w14:paraId="039AC95C" w14:textId="64E29B5A" w:rsidR="00702A66" w:rsidRDefault="00702A66">
      <w:pPr>
        <w:pStyle w:val="NoSpacing"/>
      </w:pPr>
    </w:p>
    <w:p w14:paraId="642B880A" w14:textId="51B07368" w:rsidR="00702A66" w:rsidRDefault="00702A66">
      <w:pPr>
        <w:pStyle w:val="NoSpacing"/>
      </w:pPr>
    </w:p>
    <w:p w14:paraId="750EDB9E" w14:textId="518E0DCA" w:rsidR="00702A66" w:rsidRDefault="00702A66">
      <w:pPr>
        <w:pStyle w:val="NoSpacing"/>
      </w:pPr>
    </w:p>
    <w:p w14:paraId="560C437E" w14:textId="01A12604" w:rsidR="00702A66" w:rsidRDefault="00702A66">
      <w:pPr>
        <w:pStyle w:val="NoSpacing"/>
      </w:pPr>
    </w:p>
    <w:p w14:paraId="2F8625CC" w14:textId="053477AB" w:rsidR="00702A66" w:rsidRDefault="00702A66">
      <w:pPr>
        <w:pStyle w:val="NoSpacing"/>
      </w:pPr>
    </w:p>
    <w:p w14:paraId="4864C199" w14:textId="3A65497E" w:rsidR="00702A66" w:rsidRDefault="00702A66">
      <w:pPr>
        <w:pStyle w:val="NoSpacing"/>
      </w:pPr>
    </w:p>
    <w:p w14:paraId="4C78E6FC" w14:textId="5FAC1AC2" w:rsidR="009A6733" w:rsidRDefault="009A6733">
      <w:pPr>
        <w:pStyle w:val="NoSpacing"/>
      </w:pPr>
    </w:p>
    <w:p w14:paraId="66EBD36C" w14:textId="11DEB0E9" w:rsidR="009A6733" w:rsidRDefault="009A6733">
      <w:pPr>
        <w:pStyle w:val="NoSpacing"/>
      </w:pPr>
    </w:p>
    <w:p w14:paraId="719C6C3C" w14:textId="5DB9D427" w:rsidR="00DB628B" w:rsidRPr="003A15C4" w:rsidRDefault="72B8AE5D" w:rsidP="187DA56C">
      <w:pPr>
        <w:pStyle w:val="BasicParagraph"/>
        <w:spacing w:before="400"/>
        <w:rPr>
          <w:rFonts w:ascii="Calibri" w:eastAsia="Calibri" w:hAnsi="Calibri" w:cs="Calibri"/>
          <w:sz w:val="20"/>
          <w:szCs w:val="20"/>
        </w:rPr>
      </w:pPr>
      <w:r w:rsidRPr="7ACA0E52">
        <w:rPr>
          <w:rFonts w:ascii="Calibri" w:eastAsia="Calibri" w:hAnsi="Calibri" w:cs="Calibri"/>
          <w:sz w:val="20"/>
          <w:szCs w:val="20"/>
        </w:rPr>
        <w:t>This report and additional program, consumer, and market analysis is available at:</w:t>
      </w:r>
    </w:p>
    <w:p w14:paraId="18F12E03" w14:textId="6A760E5D" w:rsidR="00DB628B" w:rsidRDefault="15156A8A" w:rsidP="00FA25AF">
      <w:pPr>
        <w:pStyle w:val="BasicParagraph"/>
        <w:spacing w:before="120"/>
        <w:rPr>
          <w:rFonts w:ascii="Calibri" w:eastAsia="Calibri" w:hAnsi="Calibri" w:cs="Calibri"/>
          <w:sz w:val="20"/>
          <w:szCs w:val="20"/>
        </w:rPr>
      </w:pPr>
      <w:r w:rsidRPr="00B23EC2">
        <w:rPr>
          <w:rFonts w:ascii="Calibri" w:eastAsia="Calibri" w:hAnsi="Calibri" w:cs="Calibri"/>
          <w:sz w:val="20"/>
          <w:szCs w:val="20"/>
        </w:rPr>
        <w:t>https://cleanvehiclerebate.org/en/program-reports</w:t>
      </w:r>
      <w:r w:rsidRPr="7ACA0E52">
        <w:rPr>
          <w:rFonts w:ascii="Calibri" w:eastAsia="Calibri" w:hAnsi="Calibri" w:cs="Calibri"/>
          <w:sz w:val="20"/>
          <w:szCs w:val="20"/>
        </w:rPr>
        <w:t xml:space="preserve"> </w:t>
      </w:r>
    </w:p>
    <w:p w14:paraId="4A1166E1" w14:textId="2759504B" w:rsidR="00DB628B" w:rsidRDefault="00DB628B">
      <w:pPr>
        <w:pStyle w:val="NoSpacing"/>
      </w:pPr>
    </w:p>
    <w:p w14:paraId="0F4696A4" w14:textId="238BB4B8" w:rsidR="00DB628B" w:rsidRDefault="00DB628B">
      <w:pPr>
        <w:pStyle w:val="NoSpacing"/>
        <w:rPr>
          <w:rFonts w:ascii="Myriad Pro" w:eastAsia="Myriad Pro" w:hAnsi="Myriad Pro" w:cs="Myriad Pro"/>
          <w:sz w:val="18"/>
          <w:szCs w:val="18"/>
        </w:rPr>
      </w:pPr>
    </w:p>
    <w:p w14:paraId="2F110932" w14:textId="40A4CA89" w:rsidR="00DB628B" w:rsidRDefault="00DB628B">
      <w:pPr>
        <w:pStyle w:val="NoSpacing"/>
        <w:rPr>
          <w:rFonts w:ascii="Myriad Pro" w:eastAsia="Myriad Pro" w:hAnsi="Myriad Pro" w:cs="Myriad Pro"/>
          <w:sz w:val="18"/>
          <w:szCs w:val="18"/>
        </w:rPr>
      </w:pPr>
    </w:p>
    <w:p w14:paraId="67A41532" w14:textId="7A4B6632" w:rsidR="00DB628B" w:rsidRDefault="00DB628B">
      <w:pPr>
        <w:pStyle w:val="NoSpacing"/>
      </w:pPr>
    </w:p>
    <w:p w14:paraId="5C63F727" w14:textId="63A6C321" w:rsidR="00702A66" w:rsidRPr="003A15C4" w:rsidRDefault="2220D388" w:rsidP="187DA56C">
      <w:pPr>
        <w:pStyle w:val="BasicParagraph"/>
        <w:spacing w:before="400"/>
        <w:rPr>
          <w:rFonts w:ascii="Calibri" w:eastAsia="Calibri" w:hAnsi="Calibri" w:cs="Calibri"/>
          <w:sz w:val="20"/>
          <w:szCs w:val="20"/>
        </w:rPr>
      </w:pPr>
      <w:r w:rsidRPr="7ACA0E52">
        <w:rPr>
          <w:rFonts w:ascii="Calibri" w:eastAsia="Calibri" w:hAnsi="Calibri" w:cs="Calibri"/>
          <w:sz w:val="20"/>
          <w:szCs w:val="20"/>
        </w:rPr>
        <w:t>Please c</w:t>
      </w:r>
      <w:r w:rsidR="45F0A319" w:rsidRPr="7ACA0E52">
        <w:rPr>
          <w:rFonts w:ascii="Calibri" w:eastAsia="Calibri" w:hAnsi="Calibri" w:cs="Calibri"/>
          <w:sz w:val="20"/>
          <w:szCs w:val="20"/>
        </w:rPr>
        <w:t xml:space="preserve">ite this reference: Pallonetti, N., </w:t>
      </w:r>
      <w:r w:rsidR="00FC7BFD">
        <w:rPr>
          <w:rFonts w:ascii="Calibri" w:eastAsia="Calibri" w:hAnsi="Calibri" w:cs="Calibri"/>
          <w:sz w:val="20"/>
          <w:szCs w:val="20"/>
        </w:rPr>
        <w:t>Sa, B.</w:t>
      </w:r>
      <w:r w:rsidR="00C55837">
        <w:rPr>
          <w:rFonts w:ascii="Calibri" w:eastAsia="Calibri" w:hAnsi="Calibri" w:cs="Calibri"/>
          <w:sz w:val="20"/>
          <w:szCs w:val="20"/>
        </w:rPr>
        <w:t xml:space="preserve">, </w:t>
      </w:r>
      <w:r w:rsidR="00C55837" w:rsidRPr="7ACA0E52">
        <w:rPr>
          <w:rFonts w:ascii="Calibri" w:eastAsia="Calibri" w:hAnsi="Calibri" w:cs="Calibri"/>
          <w:sz w:val="20"/>
          <w:szCs w:val="20"/>
        </w:rPr>
        <w:t>Williams, B.D.H.</w:t>
      </w:r>
      <w:r w:rsidR="45F0A319" w:rsidRPr="7ACA0E52">
        <w:rPr>
          <w:rFonts w:ascii="Calibri" w:eastAsia="Calibri" w:hAnsi="Calibri" w:cs="Calibri"/>
          <w:sz w:val="20"/>
          <w:szCs w:val="20"/>
        </w:rPr>
        <w:t xml:space="preserve"> (</w:t>
      </w:r>
      <w:r w:rsidR="002D08C5" w:rsidRPr="7ACA0E52">
        <w:rPr>
          <w:rFonts w:ascii="Calibri" w:eastAsia="Calibri" w:hAnsi="Calibri" w:cs="Calibri"/>
          <w:sz w:val="20"/>
          <w:szCs w:val="20"/>
        </w:rPr>
        <w:t>202</w:t>
      </w:r>
      <w:r w:rsidR="002D08C5">
        <w:rPr>
          <w:rFonts w:ascii="Calibri" w:eastAsia="Calibri" w:hAnsi="Calibri" w:cs="Calibri"/>
          <w:sz w:val="20"/>
          <w:szCs w:val="20"/>
        </w:rPr>
        <w:t>6</w:t>
      </w:r>
      <w:r w:rsidR="002D08C5" w:rsidRPr="7ACA0E52">
        <w:rPr>
          <w:rFonts w:ascii="Calibri" w:eastAsia="Calibri" w:hAnsi="Calibri" w:cs="Calibri"/>
          <w:sz w:val="20"/>
          <w:szCs w:val="20"/>
        </w:rPr>
        <w:t>,</w:t>
      </w:r>
      <w:r w:rsidR="002D08C5">
        <w:rPr>
          <w:rFonts w:ascii="Calibri" w:eastAsia="Calibri" w:hAnsi="Calibri" w:cs="Calibri"/>
          <w:sz w:val="20"/>
          <w:szCs w:val="20"/>
        </w:rPr>
        <w:t xml:space="preserve"> </w:t>
      </w:r>
      <w:r w:rsidR="009601F5">
        <w:rPr>
          <w:rFonts w:ascii="Calibri" w:eastAsia="Calibri" w:hAnsi="Calibri" w:cs="Calibri"/>
          <w:sz w:val="20"/>
          <w:szCs w:val="20"/>
        </w:rPr>
        <w:t>April</w:t>
      </w:r>
      <w:r w:rsidR="45F0A319" w:rsidRPr="7ACA0E52">
        <w:rPr>
          <w:rFonts w:ascii="Calibri" w:eastAsia="Calibri" w:hAnsi="Calibri" w:cs="Calibri"/>
          <w:sz w:val="20"/>
          <w:szCs w:val="20"/>
        </w:rPr>
        <w:t xml:space="preserve">). </w:t>
      </w:r>
      <w:r w:rsidR="79C7C17F" w:rsidRPr="7ACA0E52">
        <w:rPr>
          <w:rFonts w:ascii="Calibri" w:eastAsia="Calibri" w:hAnsi="Calibri" w:cs="Calibri"/>
          <w:sz w:val="20"/>
          <w:szCs w:val="20"/>
        </w:rPr>
        <w:t>“</w:t>
      </w:r>
      <w:r w:rsidR="5F9281B7" w:rsidRPr="7ACA0E52">
        <w:rPr>
          <w:rFonts w:ascii="Calibri" w:eastAsia="Calibri" w:hAnsi="Calibri" w:cs="Calibri"/>
          <w:sz w:val="20"/>
          <w:szCs w:val="20"/>
        </w:rPr>
        <w:t xml:space="preserve">CVRP </w:t>
      </w:r>
      <w:r w:rsidR="45F0A319" w:rsidRPr="7ACA0E52">
        <w:rPr>
          <w:rFonts w:ascii="Calibri" w:eastAsia="Calibri" w:hAnsi="Calibri" w:cs="Calibri"/>
          <w:sz w:val="20"/>
          <w:szCs w:val="20"/>
        </w:rPr>
        <w:t>Greenhouse Gas Emission Reductions and Cost-Effectiveness.</w:t>
      </w:r>
      <w:r w:rsidR="79C7C17F" w:rsidRPr="7ACA0E52">
        <w:rPr>
          <w:rFonts w:ascii="Calibri" w:eastAsia="Calibri" w:hAnsi="Calibri" w:cs="Calibri"/>
          <w:sz w:val="20"/>
          <w:szCs w:val="20"/>
        </w:rPr>
        <w:t xml:space="preserve">” Prepared by the Center for Sustainable Energy for the </w:t>
      </w:r>
      <w:r w:rsidR="10281D3F" w:rsidRPr="7ACA0E52">
        <w:rPr>
          <w:rFonts w:ascii="Calibri" w:eastAsia="Calibri" w:hAnsi="Calibri" w:cs="Calibri"/>
          <w:sz w:val="20"/>
          <w:szCs w:val="20"/>
        </w:rPr>
        <w:t xml:space="preserve">Clean Vehicle Rebate Project, </w:t>
      </w:r>
      <w:r w:rsidR="79C7C17F" w:rsidRPr="7ACA0E52">
        <w:rPr>
          <w:rFonts w:ascii="Calibri" w:eastAsia="Calibri" w:hAnsi="Calibri" w:cs="Calibri"/>
          <w:sz w:val="20"/>
          <w:szCs w:val="20"/>
        </w:rPr>
        <w:t>California Air Resources Board</w:t>
      </w:r>
      <w:r w:rsidR="4C042421" w:rsidRPr="7ACA0E52">
        <w:rPr>
          <w:rFonts w:ascii="Calibri" w:eastAsia="Calibri" w:hAnsi="Calibri" w:cs="Calibri"/>
          <w:sz w:val="20"/>
          <w:szCs w:val="20"/>
        </w:rPr>
        <w:t>, Sacramento USA</w:t>
      </w:r>
      <w:r w:rsidR="79C7C17F" w:rsidRPr="7ACA0E52">
        <w:rPr>
          <w:rFonts w:ascii="Calibri" w:eastAsia="Calibri" w:hAnsi="Calibri" w:cs="Calibri"/>
          <w:sz w:val="20"/>
          <w:szCs w:val="20"/>
        </w:rPr>
        <w:t>.</w:t>
      </w:r>
    </w:p>
    <w:p w14:paraId="1B5BA820" w14:textId="59A43963" w:rsidR="00702A66" w:rsidRDefault="00702A66" w:rsidP="008D07E9">
      <w:pPr>
        <w:pStyle w:val="BasicParagraph"/>
        <w:spacing w:before="400"/>
        <w:jc w:val="center"/>
        <w:rPr>
          <w:rFonts w:ascii="Calibri" w:eastAsia="Calibri" w:hAnsi="Calibri" w:cs="Calibri"/>
          <w:sz w:val="20"/>
          <w:szCs w:val="20"/>
        </w:rPr>
      </w:pPr>
    </w:p>
    <w:p w14:paraId="4E3C99BA" w14:textId="2F18DACA" w:rsidR="00DB628B" w:rsidRDefault="00DB628B">
      <w:pPr>
        <w:spacing w:after="0" w:line="240" w:lineRule="auto"/>
        <w:rPr>
          <w:sz w:val="38"/>
          <w:szCs w:val="38"/>
        </w:rPr>
      </w:pPr>
      <w:r>
        <w:br w:type="page"/>
      </w:r>
    </w:p>
    <w:p w14:paraId="264D8BE6" w14:textId="4B21317B" w:rsidR="00702A66" w:rsidRPr="003A15C4" w:rsidRDefault="0127CEFE" w:rsidP="187DA56C">
      <w:pPr>
        <w:pStyle w:val="Heading1"/>
      </w:pPr>
      <w:bookmarkStart w:id="0" w:name="_Toc227069773"/>
      <w:r>
        <w:lastRenderedPageBreak/>
        <w:t>Contents</w:t>
      </w:r>
      <w:bookmarkEnd w:id="0"/>
    </w:p>
    <w:p w14:paraId="0D8445D2" w14:textId="1583453A"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Pr>
          <w:noProof/>
        </w:rPr>
        <w:t>Contents</w:t>
      </w:r>
      <w:r>
        <w:rPr>
          <w:noProof/>
        </w:rPr>
        <w:tab/>
        <w:t>3</w:t>
      </w:r>
    </w:p>
    <w:p w14:paraId="2677331A" w14:textId="41675834"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Pr>
          <w:noProof/>
        </w:rPr>
        <w:t>Executive Summary</w:t>
      </w:r>
      <w:r>
        <w:rPr>
          <w:noProof/>
        </w:rPr>
        <w:tab/>
        <w:t>5</w:t>
      </w:r>
    </w:p>
    <w:p w14:paraId="45F02D8F" w14:textId="02F91CA9"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cs="Arial Unicode MS"/>
          <w:noProof/>
        </w:rPr>
        <w:t>1. Introduction</w:t>
      </w:r>
      <w:r>
        <w:rPr>
          <w:noProof/>
        </w:rPr>
        <w:tab/>
        <w:t>8</w:t>
      </w:r>
    </w:p>
    <w:p w14:paraId="2A109ADF" w14:textId="0CF8DFDA"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cs="Arial Unicode MS"/>
          <w:noProof/>
        </w:rPr>
        <w:t>2. Data Summary</w:t>
      </w:r>
      <w:r>
        <w:rPr>
          <w:noProof/>
        </w:rPr>
        <w:tab/>
        <w:t>9</w:t>
      </w:r>
    </w:p>
    <w:p w14:paraId="5A122145" w14:textId="46AB5D7E"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Rebate Application Data</w:t>
      </w:r>
      <w:r>
        <w:rPr>
          <w:noProof/>
        </w:rPr>
        <w:tab/>
        <w:t>9</w:t>
      </w:r>
    </w:p>
    <w:p w14:paraId="0493401E" w14:textId="723B9373"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Participant Survey Data</w:t>
      </w:r>
      <w:r>
        <w:rPr>
          <w:noProof/>
        </w:rPr>
        <w:tab/>
        <w:t>10</w:t>
      </w:r>
    </w:p>
    <w:p w14:paraId="200F6F87" w14:textId="78A15AA0"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Vehicle Registration Data</w:t>
      </w:r>
      <w:r>
        <w:rPr>
          <w:noProof/>
        </w:rPr>
        <w:tab/>
        <w:t>10</w:t>
      </w:r>
    </w:p>
    <w:p w14:paraId="0B366377" w14:textId="53E9A8DA"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cs="Arial Unicode MS"/>
          <w:noProof/>
        </w:rPr>
        <w:t>3. Methods and Inputs</w:t>
      </w:r>
      <w:r>
        <w:rPr>
          <w:noProof/>
        </w:rPr>
        <w:tab/>
        <w:t>11</w:t>
      </w:r>
    </w:p>
    <w:p w14:paraId="40928267" w14:textId="5B6F2101"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Methodology for Calculating GHG Emission Reductions</w:t>
      </w:r>
      <w:r>
        <w:rPr>
          <w:noProof/>
        </w:rPr>
        <w:tab/>
        <w:t>11</w:t>
      </w:r>
    </w:p>
    <w:p w14:paraId="4FA18FC5" w14:textId="2B303542" w:rsidR="003124B2" w:rsidRDefault="003124B2">
      <w:pPr>
        <w:pStyle w:val="TOC3"/>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Rebated Vehicles</w:t>
      </w:r>
      <w:r>
        <w:rPr>
          <w:noProof/>
        </w:rPr>
        <w:tab/>
        <w:t>11</w:t>
      </w:r>
    </w:p>
    <w:p w14:paraId="0415570E" w14:textId="25649050" w:rsidR="003124B2" w:rsidRDefault="003124B2">
      <w:pPr>
        <w:pStyle w:val="TOC3"/>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Baseline Vehicles</w:t>
      </w:r>
      <w:r>
        <w:rPr>
          <w:noProof/>
        </w:rPr>
        <w:tab/>
        <w:t>12</w:t>
      </w:r>
    </w:p>
    <w:p w14:paraId="41B9696F" w14:textId="798F7611" w:rsidR="003124B2" w:rsidRDefault="003124B2">
      <w:pPr>
        <w:pStyle w:val="TOC3"/>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Quantification Period</w:t>
      </w:r>
      <w:r>
        <w:rPr>
          <w:noProof/>
        </w:rPr>
        <w:tab/>
        <w:t>13</w:t>
      </w:r>
    </w:p>
    <w:p w14:paraId="010EADC1" w14:textId="59C91E7B" w:rsidR="003124B2" w:rsidRDefault="003124B2">
      <w:pPr>
        <w:pStyle w:val="TOC3"/>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Rebate Influence</w:t>
      </w:r>
      <w:r>
        <w:rPr>
          <w:noProof/>
        </w:rPr>
        <w:tab/>
        <w:t>14</w:t>
      </w:r>
    </w:p>
    <w:p w14:paraId="2B2C8434" w14:textId="337F3A54" w:rsidR="003124B2" w:rsidRDefault="003124B2">
      <w:pPr>
        <w:pStyle w:val="TOC3"/>
        <w:rPr>
          <w:rFonts w:asciiTheme="minorHAnsi" w:eastAsiaTheme="minorEastAsia" w:hAnsiTheme="minorHAnsi" w:cstheme="minorBidi"/>
          <w:noProof/>
          <w:color w:val="auto"/>
          <w:kern w:val="2"/>
          <w:sz w:val="24"/>
          <w:szCs w:val="24"/>
          <w:bdr w:val="none" w:sz="0" w:space="0" w:color="auto"/>
          <w14:ligatures w14:val="standardContextual"/>
        </w:rPr>
      </w:pPr>
      <w:r>
        <w:rPr>
          <w:noProof/>
        </w:rPr>
        <w:t>Counterfactual Behaviors</w:t>
      </w:r>
      <w:r>
        <w:rPr>
          <w:noProof/>
        </w:rPr>
        <w:tab/>
        <w:t>15</w:t>
      </w:r>
    </w:p>
    <w:p w14:paraId="65D8967B" w14:textId="174D0142"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cs="Arial Unicode MS"/>
          <w:noProof/>
        </w:rPr>
        <w:t>4. Results and Discussion</w:t>
      </w:r>
      <w:r>
        <w:rPr>
          <w:noProof/>
        </w:rPr>
        <w:tab/>
        <w:t>19</w:t>
      </w:r>
    </w:p>
    <w:p w14:paraId="4111DEFD" w14:textId="330311BE"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GHG Emission Reductions and Cost-Effectiveness: All Rebated Vehicles</w:t>
      </w:r>
      <w:r>
        <w:rPr>
          <w:noProof/>
        </w:rPr>
        <w:tab/>
        <w:t>19</w:t>
      </w:r>
    </w:p>
    <w:p w14:paraId="65A45A16" w14:textId="2714482C"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GHG</w:t>
      </w:r>
      <w:r w:rsidRPr="00494E6A">
        <w:rPr>
          <w:i/>
          <w:iCs/>
          <w:noProof/>
        </w:rPr>
        <w:t xml:space="preserve"> </w:t>
      </w:r>
      <w:r>
        <w:rPr>
          <w:noProof/>
        </w:rPr>
        <w:t>Emission Reductions and Cost-Effectiveness:</w:t>
      </w:r>
      <w:r w:rsidRPr="00494E6A">
        <w:rPr>
          <w:i/>
          <w:iCs/>
          <w:noProof/>
        </w:rPr>
        <w:t xml:space="preserve"> </w:t>
      </w:r>
      <w:r>
        <w:rPr>
          <w:noProof/>
        </w:rPr>
        <w:t>Rebate</w:t>
      </w:r>
      <w:r w:rsidRPr="00494E6A">
        <w:rPr>
          <w:i/>
          <w:iCs/>
          <w:noProof/>
        </w:rPr>
        <w:t>-</w:t>
      </w:r>
      <w:r>
        <w:rPr>
          <w:noProof/>
        </w:rPr>
        <w:t>Influenced Vehicles</w:t>
      </w:r>
      <w:r>
        <w:rPr>
          <w:noProof/>
        </w:rPr>
        <w:tab/>
        <w:t>23</w:t>
      </w:r>
    </w:p>
    <w:p w14:paraId="6D20F773" w14:textId="6073312B" w:rsidR="003124B2" w:rsidRDefault="003124B2">
      <w:pPr>
        <w:pStyle w:val="TOC3"/>
        <w:rPr>
          <w:rFonts w:asciiTheme="minorHAnsi" w:eastAsiaTheme="minorEastAsia" w:hAnsiTheme="minorHAnsi" w:cstheme="minorBidi"/>
          <w:noProof/>
          <w:color w:val="auto"/>
          <w:kern w:val="2"/>
          <w:sz w:val="24"/>
          <w:szCs w:val="24"/>
          <w:bdr w:val="none" w:sz="0" w:space="0" w:color="auto"/>
          <w14:ligatures w14:val="standardContextual"/>
        </w:rPr>
      </w:pPr>
      <w:r>
        <w:rPr>
          <w:noProof/>
        </w:rPr>
        <w:t>Interpreting Rebate Influence</w:t>
      </w:r>
      <w:r>
        <w:rPr>
          <w:noProof/>
        </w:rPr>
        <w:tab/>
        <w:t>26</w:t>
      </w:r>
    </w:p>
    <w:p w14:paraId="24C1E17A" w14:textId="26C61CC6"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GHG</w:t>
      </w:r>
      <w:r w:rsidRPr="00494E6A">
        <w:rPr>
          <w:i/>
          <w:iCs/>
          <w:noProof/>
        </w:rPr>
        <w:t xml:space="preserve"> </w:t>
      </w:r>
      <w:r>
        <w:rPr>
          <w:noProof/>
        </w:rPr>
        <w:t>Emission Reductions and Cost-Effectiveness:</w:t>
      </w:r>
      <w:r w:rsidRPr="00494E6A">
        <w:rPr>
          <w:i/>
          <w:iCs/>
          <w:noProof/>
        </w:rPr>
        <w:t xml:space="preserve"> </w:t>
      </w:r>
      <w:r>
        <w:rPr>
          <w:noProof/>
        </w:rPr>
        <w:t>Detailed Counterfactual Reductions</w:t>
      </w:r>
      <w:r>
        <w:rPr>
          <w:noProof/>
        </w:rPr>
        <w:tab/>
        <w:t>27</w:t>
      </w:r>
    </w:p>
    <w:p w14:paraId="3CF3D1F9" w14:textId="1794701E"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Program &amp; Market Context</w:t>
      </w:r>
      <w:r>
        <w:rPr>
          <w:noProof/>
        </w:rPr>
        <w:tab/>
        <w:t>36</w:t>
      </w:r>
    </w:p>
    <w:p w14:paraId="70CB1053" w14:textId="027DDCD4"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Comparisons to Previous Research &amp; Reporting</w:t>
      </w:r>
      <w:r>
        <w:rPr>
          <w:noProof/>
        </w:rPr>
        <w:tab/>
        <w:t>39</w:t>
      </w:r>
    </w:p>
    <w:p w14:paraId="393E3C4F" w14:textId="74777D90"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Limitations and Opportunities for Future Research</w:t>
      </w:r>
      <w:r>
        <w:rPr>
          <w:noProof/>
        </w:rPr>
        <w:tab/>
        <w:t>39</w:t>
      </w:r>
    </w:p>
    <w:p w14:paraId="239C7BCB" w14:textId="2736697E"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cs="Arial Unicode MS"/>
          <w:noProof/>
        </w:rPr>
        <w:t>5. Summary</w:t>
      </w:r>
      <w:r>
        <w:rPr>
          <w:noProof/>
        </w:rPr>
        <w:tab/>
        <w:t>40</w:t>
      </w:r>
    </w:p>
    <w:p w14:paraId="4545CD19" w14:textId="062118A4"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Pr>
          <w:noProof/>
        </w:rPr>
        <w:t>Acknowledgements</w:t>
      </w:r>
      <w:r>
        <w:rPr>
          <w:noProof/>
        </w:rPr>
        <w:tab/>
        <w:t>42</w:t>
      </w:r>
    </w:p>
    <w:p w14:paraId="21DA1452" w14:textId="71C5C510"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Pr>
          <w:noProof/>
        </w:rPr>
        <w:t>Appendix A: GHG Input Values</w:t>
      </w:r>
      <w:r>
        <w:rPr>
          <w:noProof/>
        </w:rPr>
        <w:tab/>
        <w:t>43</w:t>
      </w:r>
    </w:p>
    <w:p w14:paraId="464A5845" w14:textId="65045229"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Carbon Intensity of Fuels</w:t>
      </w:r>
      <w:r>
        <w:rPr>
          <w:noProof/>
        </w:rPr>
        <w:tab/>
        <w:t>43</w:t>
      </w:r>
    </w:p>
    <w:p w14:paraId="2D2917AC" w14:textId="6EDD1052"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Fuel Consumption Rate</w:t>
      </w:r>
      <w:r>
        <w:rPr>
          <w:noProof/>
        </w:rPr>
        <w:tab/>
        <w:t>44</w:t>
      </w:r>
    </w:p>
    <w:p w14:paraId="1C7DFBB3" w14:textId="378C3E08"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Vehicle Miles Traveled</w:t>
      </w:r>
      <w:r>
        <w:rPr>
          <w:noProof/>
        </w:rPr>
        <w:tab/>
        <w:t>48</w:t>
      </w:r>
    </w:p>
    <w:p w14:paraId="282DD02E" w14:textId="49C11FD4"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Detailed Counterfactual Analysis Inputs &amp; Assumptions</w:t>
      </w:r>
      <w:r>
        <w:rPr>
          <w:noProof/>
        </w:rPr>
        <w:tab/>
        <w:t>51</w:t>
      </w:r>
    </w:p>
    <w:p w14:paraId="00983980" w14:textId="5DF570C4"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Pr>
          <w:noProof/>
        </w:rPr>
        <w:lastRenderedPageBreak/>
        <w:t>Appendix B: Sensitivity Analyses</w:t>
      </w:r>
      <w:r>
        <w:rPr>
          <w:noProof/>
        </w:rPr>
        <w:tab/>
        <w:t>54</w:t>
      </w:r>
    </w:p>
    <w:p w14:paraId="6AE28D3C" w14:textId="0DC8C75A"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Sensitivity to Vehicle and Fuel Inputs</w:t>
      </w:r>
      <w:r>
        <w:rPr>
          <w:noProof/>
        </w:rPr>
        <w:tab/>
        <w:t>54</w:t>
      </w:r>
    </w:p>
    <w:p w14:paraId="1051174F" w14:textId="2BA08AF4" w:rsidR="003124B2" w:rsidRDefault="003124B2">
      <w:pPr>
        <w:pStyle w:val="TOC3"/>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Electric Utility Carbon Intensity</w:t>
      </w:r>
      <w:r>
        <w:rPr>
          <w:noProof/>
        </w:rPr>
        <w:tab/>
        <w:t>56</w:t>
      </w:r>
    </w:p>
    <w:p w14:paraId="11F7EEEB" w14:textId="20E635C9" w:rsidR="003124B2" w:rsidRDefault="003124B2">
      <w:pPr>
        <w:pStyle w:val="TOC3"/>
        <w:rPr>
          <w:rFonts w:asciiTheme="minorHAnsi" w:eastAsiaTheme="minorEastAsia" w:hAnsiTheme="minorHAnsi" w:cstheme="minorBidi"/>
          <w:noProof/>
          <w:color w:val="auto"/>
          <w:kern w:val="2"/>
          <w:sz w:val="24"/>
          <w:szCs w:val="24"/>
          <w:bdr w:val="none" w:sz="0" w:space="0" w:color="auto"/>
          <w14:ligatures w14:val="standardContextual"/>
        </w:rPr>
      </w:pPr>
      <w:r w:rsidRPr="00494E6A">
        <w:rPr>
          <w:rFonts w:eastAsia="Arial Unicode MS" w:cs="Arial Unicode MS"/>
          <w:noProof/>
        </w:rPr>
        <w:t>Home Solar Electricity</w:t>
      </w:r>
      <w:r>
        <w:rPr>
          <w:noProof/>
        </w:rPr>
        <w:tab/>
        <w:t>56</w:t>
      </w:r>
    </w:p>
    <w:p w14:paraId="6F957034" w14:textId="7D73CE5D"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Sensitivity to Quantification Period</w:t>
      </w:r>
      <w:r>
        <w:rPr>
          <w:noProof/>
        </w:rPr>
        <w:tab/>
        <w:t>57</w:t>
      </w:r>
    </w:p>
    <w:p w14:paraId="52FE7BFE" w14:textId="1C0F0A46"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Pr>
          <w:noProof/>
        </w:rPr>
        <w:t>Appendix C: Additional Program and Market Context</w:t>
      </w:r>
      <w:r>
        <w:rPr>
          <w:noProof/>
        </w:rPr>
        <w:tab/>
        <w:t>58</w:t>
      </w:r>
    </w:p>
    <w:p w14:paraId="07E797EB" w14:textId="15AA2E24"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Pr>
          <w:noProof/>
        </w:rPr>
        <w:t>Appendix D: Fleet and TNC GHG Emission Reductions</w:t>
      </w:r>
      <w:r>
        <w:rPr>
          <w:noProof/>
        </w:rPr>
        <w:tab/>
        <w:t>60</w:t>
      </w:r>
    </w:p>
    <w:p w14:paraId="5ABBC146" w14:textId="15EFAD5A"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Fleet GHG Emission Reductions</w:t>
      </w:r>
      <w:r>
        <w:rPr>
          <w:noProof/>
        </w:rPr>
        <w:tab/>
        <w:t>60</w:t>
      </w:r>
    </w:p>
    <w:p w14:paraId="6FF28F64" w14:textId="4FE0C1A0" w:rsidR="003124B2" w:rsidRDefault="003124B2">
      <w:pPr>
        <w:pStyle w:val="TOC2"/>
        <w:rPr>
          <w:rFonts w:asciiTheme="minorHAnsi" w:eastAsiaTheme="minorEastAsia" w:hAnsiTheme="minorHAnsi" w:cstheme="minorBidi"/>
          <w:noProof/>
          <w:color w:val="auto"/>
          <w:kern w:val="2"/>
          <w:sz w:val="24"/>
          <w:szCs w:val="24"/>
          <w:bdr w:val="none" w:sz="0" w:space="0" w:color="auto"/>
          <w14:ligatures w14:val="standardContextual"/>
        </w:rPr>
      </w:pPr>
      <w:r>
        <w:rPr>
          <w:noProof/>
        </w:rPr>
        <w:t>TNC GHG Emission Reductions</w:t>
      </w:r>
      <w:r>
        <w:rPr>
          <w:noProof/>
        </w:rPr>
        <w:tab/>
        <w:t>63</w:t>
      </w:r>
    </w:p>
    <w:p w14:paraId="4773DDEC" w14:textId="08815D3F" w:rsidR="003124B2" w:rsidRDefault="003124B2">
      <w:pPr>
        <w:pStyle w:val="TOC1"/>
        <w:rPr>
          <w:rFonts w:asciiTheme="minorHAnsi" w:eastAsiaTheme="minorEastAsia" w:hAnsiTheme="minorHAnsi" w:cstheme="minorBidi"/>
          <w:noProof/>
          <w:color w:val="auto"/>
          <w:kern w:val="2"/>
          <w:sz w:val="24"/>
          <w:szCs w:val="24"/>
          <w:bdr w:val="none" w:sz="0" w:space="0" w:color="auto"/>
          <w14:ligatures w14:val="standardContextual"/>
        </w:rPr>
      </w:pPr>
      <w:r>
        <w:rPr>
          <w:noProof/>
        </w:rPr>
        <w:t>References</w:t>
      </w:r>
      <w:r>
        <w:rPr>
          <w:noProof/>
        </w:rPr>
        <w:tab/>
        <w:t>64</w:t>
      </w:r>
    </w:p>
    <w:p w14:paraId="6FD9C58D" w14:textId="2881C585" w:rsidR="008A1F21" w:rsidRDefault="008A1F21" w:rsidP="008A1F21"/>
    <w:p w14:paraId="165AE4E0" w14:textId="77777777" w:rsidR="008A1F21" w:rsidRDefault="008A1F21">
      <w:pPr>
        <w:spacing w:after="0" w:line="240" w:lineRule="auto"/>
        <w:rPr>
          <w:rFonts w:eastAsia="Arial Unicode MS"/>
          <w:color w:val="000000"/>
          <w:sz w:val="21"/>
          <w:szCs w:val="21"/>
          <w:u w:color="000000"/>
          <w14:textOutline w14:w="0" w14:cap="flat" w14:cmpd="sng" w14:algn="ctr">
            <w14:noFill/>
            <w14:prstDash w14:val="solid"/>
            <w14:bevel/>
          </w14:textOutline>
        </w:rPr>
      </w:pPr>
      <w:r>
        <w:rPr>
          <w:sz w:val="21"/>
          <w:szCs w:val="21"/>
        </w:rPr>
        <w:br w:type="page"/>
      </w:r>
    </w:p>
    <w:p w14:paraId="30D7BF60" w14:textId="107C9488" w:rsidR="00702A66" w:rsidRDefault="004110ED" w:rsidP="00472163">
      <w:pPr>
        <w:pStyle w:val="Heading1"/>
      </w:pPr>
      <w:bookmarkStart w:id="1" w:name="_Toc227069774"/>
      <w:r>
        <w:lastRenderedPageBreak/>
        <w:t>Executive Summary</w:t>
      </w:r>
      <w:bookmarkEnd w:id="1"/>
    </w:p>
    <w:p w14:paraId="2F8E2462" w14:textId="0E41E3B3" w:rsidR="00F32752" w:rsidRDefault="0067303A" w:rsidP="00F32752">
      <w:r>
        <w:t>Original e</w:t>
      </w:r>
      <w:r w:rsidR="15A09026">
        <w:t>stimates of greenhouse gas (GHG) emission reductions associated with</w:t>
      </w:r>
      <w:r w:rsidR="49CE3604">
        <w:t xml:space="preserve"> the Clean Vehicle Rebate Project</w:t>
      </w:r>
      <w:r w:rsidR="15A09026">
        <w:t xml:space="preserve"> </w:t>
      </w:r>
      <w:r w:rsidR="49CE3604">
        <w:t>(</w:t>
      </w:r>
      <w:r w:rsidR="15A09026">
        <w:t>CVRP</w:t>
      </w:r>
      <w:r w:rsidR="49CE3604">
        <w:t>)</w:t>
      </w:r>
      <w:r w:rsidR="15A09026">
        <w:t xml:space="preserve"> </w:t>
      </w:r>
      <w:r w:rsidR="1E322CD3">
        <w:t xml:space="preserve">were </w:t>
      </w:r>
      <w:r w:rsidR="008531BF">
        <w:t xml:space="preserve">1) </w:t>
      </w:r>
      <w:r w:rsidR="1E322CD3">
        <w:t>developed as a part of multi-program planning</w:t>
      </w:r>
      <w:r w:rsidR="6FFF6706">
        <w:t>,</w:t>
      </w:r>
      <w:r w:rsidR="1E322CD3">
        <w:t xml:space="preserve"> </w:t>
      </w:r>
      <w:r w:rsidR="00FA722F">
        <w:t xml:space="preserve">2) </w:t>
      </w:r>
      <w:r w:rsidR="15A09026">
        <w:t>based upon average light-duty vehicle characterizations</w:t>
      </w:r>
      <w:r w:rsidR="6FFF6706">
        <w:t>,</w:t>
      </w:r>
      <w:r w:rsidR="1E322CD3">
        <w:t xml:space="preserve"> and</w:t>
      </w:r>
      <w:r w:rsidR="6FFF6706">
        <w:t xml:space="preserve"> </w:t>
      </w:r>
      <w:r w:rsidR="00FA722F">
        <w:t xml:space="preserve">3) </w:t>
      </w:r>
      <w:r w:rsidR="15A09026">
        <w:t>were described as intentionally conservative as a starting point for future refinement</w:t>
      </w:r>
      <w:r w:rsidR="6FFF6706">
        <w:t xml:space="preserve"> </w:t>
      </w:r>
      <w:r w:rsidR="00FD2EAE" w:rsidRPr="00FD2EAE">
        <w:rPr>
          <w:rFonts w:cs="Calibri"/>
        </w:rPr>
        <w:t>(CARB, 2017b)</w:t>
      </w:r>
      <w:r w:rsidR="15A09026">
        <w:t xml:space="preserve">. </w:t>
      </w:r>
      <w:r w:rsidR="6FFF6706">
        <w:t>Subsequent program-specific</w:t>
      </w:r>
      <w:r w:rsidR="19D70706">
        <w:t xml:space="preserve"> work</w:t>
      </w:r>
      <w:r w:rsidR="51673D96">
        <w:t xml:space="preserve"> </w:t>
      </w:r>
      <w:r w:rsidR="19D70706">
        <w:t xml:space="preserve">by </w:t>
      </w:r>
      <w:r w:rsidR="00436C62">
        <w:t>CSE</w:t>
      </w:r>
      <w:r w:rsidR="19D70706">
        <w:t xml:space="preserve"> </w:t>
      </w:r>
      <w:r w:rsidR="6671E166">
        <w:t xml:space="preserve">that builds </w:t>
      </w:r>
      <w:r w:rsidR="4BFFE636">
        <w:t xml:space="preserve">on </w:t>
      </w:r>
      <w:r w:rsidR="00FD2EAE" w:rsidRPr="00FD2EAE">
        <w:rPr>
          <w:rFonts w:cs="Calibri"/>
        </w:rPr>
        <w:t>(CARB, 2017b)</w:t>
      </w:r>
      <w:r w:rsidR="4BFFE636">
        <w:t xml:space="preserve"> </w:t>
      </w:r>
      <w:r w:rsidR="6FFF6706">
        <w:t>include</w:t>
      </w:r>
      <w:r w:rsidR="000302B4">
        <w:t>s</w:t>
      </w:r>
      <w:r w:rsidR="19D70706">
        <w:t xml:space="preserve"> a</w:t>
      </w:r>
      <w:r w:rsidR="00F071CC">
        <w:t>n interim</w:t>
      </w:r>
      <w:r w:rsidR="19D70706">
        <w:t xml:space="preserve"> life-of-program accounting</w:t>
      </w:r>
      <w:r w:rsidR="6FFF6706">
        <w:t xml:space="preserve"> through mid-2018 </w:t>
      </w:r>
      <w:r w:rsidR="00FD2EAE" w:rsidRPr="00FD2EAE">
        <w:rPr>
          <w:rFonts w:cs="Calibri"/>
        </w:rPr>
        <w:t>(Pallonetti &amp; Williams, 2021)</w:t>
      </w:r>
      <w:r w:rsidR="6FFF6706">
        <w:t xml:space="preserve"> an</w:t>
      </w:r>
      <w:r w:rsidR="00904D71">
        <w:t>d</w:t>
      </w:r>
      <w:r w:rsidR="6FFF6706">
        <w:t xml:space="preserve"> </w:t>
      </w:r>
      <w:r w:rsidR="00474C94">
        <w:t xml:space="preserve">annual </w:t>
      </w:r>
      <w:r w:rsidR="19D70706">
        <w:t>assessment</w:t>
      </w:r>
      <w:r w:rsidR="00904D71">
        <w:t>s</w:t>
      </w:r>
      <w:r w:rsidR="19D70706">
        <w:t xml:space="preserve"> of </w:t>
      </w:r>
      <w:r w:rsidR="00D705F6">
        <w:t xml:space="preserve">GHG impacts </w:t>
      </w:r>
      <w:r w:rsidR="004430F4">
        <w:t xml:space="preserve">of </w:t>
      </w:r>
      <w:r w:rsidR="00DC6A6D">
        <w:t>2019</w:t>
      </w:r>
      <w:r w:rsidR="0089238C">
        <w:t>–</w:t>
      </w:r>
      <w:r w:rsidR="00DC6A6D">
        <w:t>2022</w:t>
      </w:r>
      <w:r w:rsidR="6FFF6706">
        <w:t xml:space="preserve"> purchases/leases</w:t>
      </w:r>
      <w:r w:rsidR="4DABC660">
        <w:t xml:space="preserve"> </w:t>
      </w:r>
      <w:r w:rsidR="00FD2EAE" w:rsidRPr="00FD2EAE">
        <w:rPr>
          <w:rFonts w:cs="Calibri"/>
        </w:rPr>
        <w:t>(Pallonetti et al., 2023, 2024; Pallonetti &amp; Williams, 2022a, 2022b; B. Williams &amp; Pallonetti, 2022)</w:t>
      </w:r>
      <w:r w:rsidR="19D70706">
        <w:t xml:space="preserve">. </w:t>
      </w:r>
      <w:r w:rsidR="6FFF6706">
        <w:t>Here w</w:t>
      </w:r>
      <w:r w:rsidR="19D70706">
        <w:t>e</w:t>
      </w:r>
      <w:r w:rsidR="00FD2D5C">
        <w:t xml:space="preserve"> </w:t>
      </w:r>
      <w:r w:rsidR="4DABC660">
        <w:t>report on</w:t>
      </w:r>
      <w:r w:rsidR="19D70706">
        <w:t xml:space="preserve"> </w:t>
      </w:r>
      <w:r w:rsidR="6FFF6706">
        <w:t>the</w:t>
      </w:r>
      <w:r w:rsidR="19D70706">
        <w:t xml:space="preserve"> GHG impacts and cost-effectiveness</w:t>
      </w:r>
      <w:r w:rsidR="6FFF6706">
        <w:t xml:space="preserve"> of </w:t>
      </w:r>
      <w:r w:rsidR="00324297">
        <w:t xml:space="preserve">CVRP </w:t>
      </w:r>
      <w:r w:rsidR="005A0104">
        <w:t xml:space="preserve">rebates </w:t>
      </w:r>
      <w:r w:rsidR="00C61BA5">
        <w:t>for</w:t>
      </w:r>
      <w:r w:rsidR="00513185">
        <w:t xml:space="preserve"> electric vehicles </w:t>
      </w:r>
      <w:r w:rsidR="00FD06A5">
        <w:t xml:space="preserve">(EVs) </w:t>
      </w:r>
      <w:r w:rsidR="007831F8">
        <w:t xml:space="preserve">over the entire life of the program through </w:t>
      </w:r>
      <w:r w:rsidR="00EB6F45">
        <w:t>it</w:t>
      </w:r>
      <w:r w:rsidR="007831F8">
        <w:t>s closure in 2023</w:t>
      </w:r>
      <w:r w:rsidR="001A4974">
        <w:t xml:space="preserve"> </w:t>
      </w:r>
      <w:r w:rsidR="00B77691">
        <w:t xml:space="preserve">and </w:t>
      </w:r>
      <w:r w:rsidR="00F60776">
        <w:t>introduce</w:t>
      </w:r>
      <w:r w:rsidR="001F455B">
        <w:t xml:space="preserve"> </w:t>
      </w:r>
      <w:r w:rsidR="001A4974">
        <w:t>a refined methodology that is increasingly case-specific relative to prior work.</w:t>
      </w:r>
      <w:r w:rsidR="17BFAF54">
        <w:t xml:space="preserve"> </w:t>
      </w:r>
      <w:r w:rsidR="004D508C">
        <w:t>For example, the CVRP survey data on detailed counterfactual behaviors, as introduced in the 2022 purchases/leases report, is updated and employed over the life of the program. Additionally, this analysis is made increasingly time-variant by modeling each year of driving with temporal information as available, whereas previous reporting modeled first-year emissions and scaled those up to estimate the lifetime period.</w:t>
      </w:r>
    </w:p>
    <w:p w14:paraId="4DBD0D41" w14:textId="61D2C764" w:rsidR="00F32752" w:rsidRDefault="15A09026" w:rsidP="00F32752">
      <w:r>
        <w:t xml:space="preserve">Emissions are estimated using disaggregated data from </w:t>
      </w:r>
      <w:r w:rsidR="005C4F4D">
        <w:t xml:space="preserve">nearly 600,000 </w:t>
      </w:r>
      <w:r w:rsidR="084407D7">
        <w:t xml:space="preserve">approved </w:t>
      </w:r>
      <w:r w:rsidR="00F003A9">
        <w:t xml:space="preserve">CVRP </w:t>
      </w:r>
      <w:r w:rsidR="3E5BFE43">
        <w:t>rebate</w:t>
      </w:r>
      <w:r w:rsidR="34E399C2">
        <w:t xml:space="preserve"> applications</w:t>
      </w:r>
      <w:r w:rsidR="750940A7">
        <w:t xml:space="preserve"> for plug-in hybrid electric vehicles (PHEVs), all-battery electric vehicles (BEVs), and fuel-cell electric vehicles (FCEVs)</w:t>
      </w:r>
      <w:r w:rsidR="34E399C2">
        <w:t xml:space="preserve"> </w:t>
      </w:r>
      <w:r w:rsidR="005F577B">
        <w:t xml:space="preserve">and </w:t>
      </w:r>
      <w:r w:rsidR="1CDE1BF5">
        <w:t xml:space="preserve">from </w:t>
      </w:r>
      <w:r w:rsidR="005F577B">
        <w:t xml:space="preserve">more than </w:t>
      </w:r>
      <w:r w:rsidR="00453A78">
        <w:t>100,000</w:t>
      </w:r>
      <w:r w:rsidR="1CDE1BF5">
        <w:t xml:space="preserve"> </w:t>
      </w:r>
      <w:r w:rsidR="34E399C2">
        <w:t>survey</w:t>
      </w:r>
      <w:r w:rsidR="1CDE1BF5">
        <w:t xml:space="preserve"> re</w:t>
      </w:r>
      <w:r w:rsidR="00056F4A">
        <w:t>s</w:t>
      </w:r>
      <w:r w:rsidR="1CDE1BF5">
        <w:t>ponses</w:t>
      </w:r>
      <w:r w:rsidR="34E399C2">
        <w:t xml:space="preserve"> </w:t>
      </w:r>
      <w:r w:rsidR="1CDE1BF5">
        <w:t xml:space="preserve">weighted to </w:t>
      </w:r>
      <w:r w:rsidR="084407D7">
        <w:t>represent</w:t>
      </w:r>
      <w:r w:rsidR="1CDE1BF5">
        <w:t xml:space="preserve"> pro</w:t>
      </w:r>
      <w:r w:rsidR="00372B72">
        <w:t>ject</w:t>
      </w:r>
      <w:r w:rsidR="1CDE1BF5">
        <w:t xml:space="preserve"> participants</w:t>
      </w:r>
      <w:r>
        <w:t>.</w:t>
      </w:r>
      <w:r w:rsidR="3E5BFE43">
        <w:t xml:space="preserve"> </w:t>
      </w:r>
      <w:r w:rsidR="6DD22030">
        <w:t xml:space="preserve">The analysis </w:t>
      </w:r>
      <w:r>
        <w:t xml:space="preserve">incorporates </w:t>
      </w:r>
      <w:r w:rsidR="003009EC">
        <w:t xml:space="preserve">time-variant and </w:t>
      </w:r>
      <w:r w:rsidR="2BC323D8" w:rsidRPr="7ACA0E52">
        <w:rPr>
          <w:rStyle w:val="Bold"/>
          <w:b w:val="0"/>
          <w:bCs w:val="0"/>
        </w:rPr>
        <w:t xml:space="preserve">state-specific or other best-available inputs </w:t>
      </w:r>
      <w:r w:rsidR="51673D96">
        <w:t xml:space="preserve">that characterize </w:t>
      </w:r>
      <w:r w:rsidR="000D1824">
        <w:t xml:space="preserve">mileage, </w:t>
      </w:r>
      <w:r w:rsidR="51673D96">
        <w:t>fuel use</w:t>
      </w:r>
      <w:r w:rsidR="008036EC">
        <w:t>,</w:t>
      </w:r>
      <w:r w:rsidR="51673D96">
        <w:t xml:space="preserve"> and fuel carbon intensity for both rebated EVs and </w:t>
      </w:r>
      <w:r w:rsidR="00912357">
        <w:t xml:space="preserve">baseline </w:t>
      </w:r>
      <w:r w:rsidR="00006DF0">
        <w:t>comparison</w:t>
      </w:r>
      <w:r w:rsidR="51673D96">
        <w:t xml:space="preserve"> vehicles</w:t>
      </w:r>
      <w:r w:rsidR="00FA2812">
        <w:t>.</w:t>
      </w:r>
      <w:r w:rsidR="51673D96">
        <w:t xml:space="preserve"> </w:t>
      </w:r>
      <w:r w:rsidR="00FA2812">
        <w:t xml:space="preserve">It also includes </w:t>
      </w:r>
      <w:r>
        <w:t>data-based characterizations of rebate influence</w:t>
      </w:r>
      <w:r w:rsidR="002605F7">
        <w:t xml:space="preserve"> and counterfactual behaviors</w:t>
      </w:r>
      <w:r w:rsidR="0061504F">
        <w:t xml:space="preserve"> related to what would have happened in absence of the pro</w:t>
      </w:r>
      <w:r w:rsidR="00372B72">
        <w:t>ject</w:t>
      </w:r>
      <w:r w:rsidR="51673D96">
        <w:t>,</w:t>
      </w:r>
      <w:r>
        <w:t xml:space="preserve"> </w:t>
      </w:r>
      <w:r w:rsidR="00BD09A3">
        <w:t xml:space="preserve">provided by or </w:t>
      </w:r>
      <w:r>
        <w:t>tailored to each</w:t>
      </w:r>
      <w:r w:rsidR="51673D96">
        <w:t xml:space="preserve"> </w:t>
      </w:r>
      <w:r w:rsidR="00A740EA">
        <w:t>rebated consumer</w:t>
      </w:r>
      <w:r>
        <w:t>.</w:t>
      </w:r>
    </w:p>
    <w:p w14:paraId="76D03443" w14:textId="4F7017B0" w:rsidR="005F2B3F" w:rsidRDefault="51673D96" w:rsidP="00F32752">
      <w:pPr>
        <w:rPr>
          <w:rFonts w:cs="Calibri"/>
        </w:rPr>
      </w:pPr>
      <w:bookmarkStart w:id="2" w:name="_Hlk132636416"/>
      <w:r>
        <w:t>Compared to new gasoline vehicles</w:t>
      </w:r>
      <w:r w:rsidR="15A09026">
        <w:t xml:space="preserve">, </w:t>
      </w:r>
      <w:bookmarkEnd w:id="2"/>
      <w:r w:rsidR="393ACF51">
        <w:t xml:space="preserve">GHG emission </w:t>
      </w:r>
      <w:r w:rsidR="15A09026">
        <w:t>r</w:t>
      </w:r>
      <w:r w:rsidR="15A09026" w:rsidRPr="00785702">
        <w:t>eduction</w:t>
      </w:r>
      <w:r w:rsidR="393ACF51">
        <w:t>s</w:t>
      </w:r>
      <w:r w:rsidR="15A09026">
        <w:t xml:space="preserve"> associated</w:t>
      </w:r>
      <w:r w:rsidR="15A09026" w:rsidRPr="00785702">
        <w:t xml:space="preserve"> </w:t>
      </w:r>
      <w:r w:rsidR="15A09026">
        <w:t>with</w:t>
      </w:r>
      <w:r w:rsidR="00816426">
        <w:t xml:space="preserve"> all</w:t>
      </w:r>
      <w:r w:rsidR="15A09026">
        <w:t xml:space="preserve"> rebated EVs </w:t>
      </w:r>
      <w:r w:rsidR="15A09026" w:rsidRPr="00785702">
        <w:t xml:space="preserve">over the first year of ownership </w:t>
      </w:r>
      <w:r w:rsidR="15A09026">
        <w:t xml:space="preserve">average </w:t>
      </w:r>
      <w:r w:rsidR="004F3711">
        <w:t>2.</w:t>
      </w:r>
      <w:r w:rsidR="006168F3">
        <w:t>2–3.6</w:t>
      </w:r>
      <w:r w:rsidR="15A09026">
        <w:t xml:space="preserve"> </w:t>
      </w:r>
      <w:r w:rsidR="15A09026" w:rsidRPr="00785702">
        <w:t xml:space="preserve">metric tons of </w:t>
      </w:r>
      <w:r w:rsidR="750940A7">
        <w:t>carbon-dioxide</w:t>
      </w:r>
      <w:r w:rsidR="15A09026" w:rsidRPr="00785702">
        <w:t xml:space="preserve">-equivalent </w:t>
      </w:r>
      <w:r w:rsidR="00A529A6" w:rsidRPr="7A779868">
        <w:rPr>
          <w:rStyle w:val="Bold"/>
          <w:b w:val="0"/>
          <w:bCs w:val="0"/>
        </w:rPr>
        <w:t>(CO</w:t>
      </w:r>
      <w:r w:rsidR="00A529A6" w:rsidRPr="7A779868">
        <w:rPr>
          <w:rStyle w:val="Bold"/>
          <w:b w:val="0"/>
          <w:bCs w:val="0"/>
          <w:vertAlign w:val="subscript"/>
        </w:rPr>
        <w:t>2</w:t>
      </w:r>
      <w:r w:rsidR="00A529A6" w:rsidRPr="7A779868">
        <w:rPr>
          <w:rStyle w:val="Bold"/>
          <w:b w:val="0"/>
          <w:bCs w:val="0"/>
        </w:rPr>
        <w:t xml:space="preserve">e) </w:t>
      </w:r>
      <w:r w:rsidR="15A09026" w:rsidRPr="00785702">
        <w:t xml:space="preserve">emissions </w:t>
      </w:r>
      <w:r w:rsidR="15A09026">
        <w:t>per vehicle</w:t>
      </w:r>
      <w:r>
        <w:t xml:space="preserve">, depending on the </w:t>
      </w:r>
      <w:r w:rsidR="15464498">
        <w:t xml:space="preserve">EV </w:t>
      </w:r>
      <w:r>
        <w:t xml:space="preserve">technology </w:t>
      </w:r>
      <w:r w:rsidR="15464498">
        <w:t>type</w:t>
      </w:r>
      <w:r w:rsidR="7FE25197">
        <w:t>, with BEVs reducing the most on average</w:t>
      </w:r>
      <w:r w:rsidR="3E5BFE43">
        <w:t xml:space="preserve">. </w:t>
      </w:r>
      <w:bookmarkStart w:id="3" w:name="_Hlk132636479"/>
      <w:r w:rsidR="00114EA0">
        <w:t xml:space="preserve">Over </w:t>
      </w:r>
      <w:bookmarkEnd w:id="3"/>
      <w:r w:rsidR="00B005FF">
        <w:t>a standardized 100,000-mile quantification period</w:t>
      </w:r>
      <w:r w:rsidR="393ACF51">
        <w:t>, an</w:t>
      </w:r>
      <w:r w:rsidR="3E5BFE43">
        <w:t xml:space="preserve"> estimated</w:t>
      </w:r>
      <w:r w:rsidR="70F1E7BC">
        <w:t xml:space="preserve"> </w:t>
      </w:r>
      <w:bookmarkStart w:id="4" w:name="_Hlk132636383"/>
      <w:r w:rsidR="002F0340">
        <w:t xml:space="preserve">total of </w:t>
      </w:r>
      <w:r w:rsidR="006168F3">
        <w:t>15.5</w:t>
      </w:r>
      <w:r w:rsidR="008B6D76">
        <w:t>M</w:t>
      </w:r>
      <w:r w:rsidR="70F1E7BC">
        <w:t xml:space="preserve"> </w:t>
      </w:r>
      <w:r w:rsidR="3E5BFE43">
        <w:t xml:space="preserve">metric tons of </w:t>
      </w:r>
      <w:r w:rsidR="00A529A6" w:rsidRPr="7A779868">
        <w:rPr>
          <w:rStyle w:val="Bold"/>
          <w:b w:val="0"/>
          <w:bCs w:val="0"/>
        </w:rPr>
        <w:t>CO</w:t>
      </w:r>
      <w:r w:rsidR="00A529A6" w:rsidRPr="7A779868">
        <w:rPr>
          <w:rStyle w:val="Bold"/>
          <w:b w:val="0"/>
          <w:bCs w:val="0"/>
          <w:vertAlign w:val="subscript"/>
        </w:rPr>
        <w:t>2</w:t>
      </w:r>
      <w:r w:rsidR="00A529A6" w:rsidRPr="7A779868">
        <w:rPr>
          <w:rStyle w:val="Bold"/>
          <w:b w:val="0"/>
          <w:bCs w:val="0"/>
        </w:rPr>
        <w:t>e</w:t>
      </w:r>
      <w:r w:rsidR="00A529A6">
        <w:rPr>
          <w:rFonts w:cs="Calibri"/>
        </w:rPr>
        <w:t xml:space="preserve"> </w:t>
      </w:r>
      <w:r w:rsidR="3E5BFE43">
        <w:rPr>
          <w:rFonts w:cs="Calibri"/>
        </w:rPr>
        <w:t>emissions</w:t>
      </w:r>
      <w:r w:rsidR="393ACF51">
        <w:rPr>
          <w:rFonts w:cs="Calibri"/>
        </w:rPr>
        <w:t xml:space="preserve"> </w:t>
      </w:r>
      <w:bookmarkEnd w:id="4"/>
      <w:r w:rsidR="393ACF51">
        <w:rPr>
          <w:rFonts w:cs="Calibri"/>
        </w:rPr>
        <w:t>are saved</w:t>
      </w:r>
      <w:r w:rsidR="3E5BFE43">
        <w:rPr>
          <w:rFonts w:cs="Calibri"/>
        </w:rPr>
        <w:t>.</w:t>
      </w:r>
      <w:r w:rsidR="3E5BFE43">
        <w:t xml:space="preserve"> </w:t>
      </w:r>
      <w:r w:rsidR="15A09026" w:rsidRPr="00785702">
        <w:t xml:space="preserve">Comparing </w:t>
      </w:r>
      <w:r w:rsidR="15A09026" w:rsidRPr="00A40C4A">
        <w:rPr>
          <w:rFonts w:cs="Calibri"/>
        </w:rPr>
        <w:t xml:space="preserve">rebate costs to </w:t>
      </w:r>
      <w:r w:rsidR="6D682736">
        <w:rPr>
          <w:rFonts w:cs="Calibri"/>
        </w:rPr>
        <w:t xml:space="preserve">all </w:t>
      </w:r>
      <w:r w:rsidR="15A09026" w:rsidRPr="00A40C4A">
        <w:rPr>
          <w:rFonts w:cs="Calibri"/>
        </w:rPr>
        <w:t xml:space="preserve">rebated-vehicle emissions benefits over a 100,000-mile quantification period produces </w:t>
      </w:r>
      <w:bookmarkStart w:id="5" w:name="_Hlk132636576"/>
      <w:r w:rsidR="00A529A6" w:rsidRPr="7A779868">
        <w:rPr>
          <w:rStyle w:val="Bold"/>
          <w:b w:val="0"/>
          <w:bCs w:val="0"/>
        </w:rPr>
        <w:t>CO</w:t>
      </w:r>
      <w:r w:rsidR="00A529A6" w:rsidRPr="7A779868">
        <w:rPr>
          <w:rStyle w:val="Bold"/>
          <w:b w:val="0"/>
          <w:bCs w:val="0"/>
          <w:vertAlign w:val="subscript"/>
        </w:rPr>
        <w:t>2</w:t>
      </w:r>
      <w:r w:rsidR="00A529A6" w:rsidRPr="7A779868">
        <w:rPr>
          <w:rStyle w:val="Bold"/>
          <w:b w:val="0"/>
          <w:bCs w:val="0"/>
        </w:rPr>
        <w:t>e</w:t>
      </w:r>
      <w:r w:rsidR="00A529A6" w:rsidRPr="00A40C4A">
        <w:rPr>
          <w:rFonts w:cs="Calibri"/>
        </w:rPr>
        <w:t xml:space="preserve"> </w:t>
      </w:r>
      <w:r w:rsidR="15A09026" w:rsidRPr="00A40C4A">
        <w:rPr>
          <w:rFonts w:cs="Calibri"/>
        </w:rPr>
        <w:t xml:space="preserve">abatement costs </w:t>
      </w:r>
      <w:r w:rsidR="5A3EA35C">
        <w:rPr>
          <w:rFonts w:cs="Calibri"/>
        </w:rPr>
        <w:t>averaging $</w:t>
      </w:r>
      <w:r w:rsidR="006168F3">
        <w:rPr>
          <w:rFonts w:cs="Calibri"/>
        </w:rPr>
        <w:t>93</w:t>
      </w:r>
      <w:r w:rsidR="0086699B">
        <w:rPr>
          <w:rFonts w:cs="Calibri"/>
        </w:rPr>
        <w:t xml:space="preserve"> per metric </w:t>
      </w:r>
      <w:r w:rsidR="00BF6FD1">
        <w:rPr>
          <w:rFonts w:cs="Calibri"/>
        </w:rPr>
        <w:t>ton.</w:t>
      </w:r>
      <w:bookmarkEnd w:id="5"/>
      <w:r w:rsidR="15A09026" w:rsidRPr="00A40C4A">
        <w:rPr>
          <w:rFonts w:cs="Calibri"/>
        </w:rPr>
        <w:t xml:space="preserve"> </w:t>
      </w:r>
    </w:p>
    <w:p w14:paraId="2773B6B0" w14:textId="73475E46" w:rsidR="0057545E" w:rsidRPr="003A15C4" w:rsidRDefault="384F315E" w:rsidP="00A25545">
      <w:r>
        <w:t xml:space="preserve">To isolate the emission reductions </w:t>
      </w:r>
      <w:r w:rsidR="00451100">
        <w:t xml:space="preserve">from </w:t>
      </w:r>
      <w:r w:rsidR="00D0410D">
        <w:t>participants most influenced by the rebate</w:t>
      </w:r>
      <w:r>
        <w:t>, case-specific indicators of</w:t>
      </w:r>
      <w:r w:rsidR="00D0410D">
        <w:t xml:space="preserve"> rebate influence</w:t>
      </w:r>
      <w:r>
        <w:t xml:space="preserve"> </w:t>
      </w:r>
      <w:r w:rsidR="0065556B" w:rsidRPr="0065556B">
        <w:rPr>
          <w:rFonts w:cs="Calibri"/>
        </w:rPr>
        <w:t>(Johnson &amp; Williams, 2017; B. Williams &amp; Anderson, 2018; B. D. H. Williams, 2022; B. Williams &amp; Pallonetti, 2023)</w:t>
      </w:r>
      <w:r>
        <w:t xml:space="preserve"> can be used. </w:t>
      </w:r>
      <w:bookmarkStart w:id="6" w:name="_Hlk132636639"/>
      <w:r w:rsidRPr="2F1055DC">
        <w:rPr>
          <w:rFonts w:cs="Calibri"/>
        </w:rPr>
        <w:t>In total, a</w:t>
      </w:r>
      <w:r w:rsidR="15A09026" w:rsidRPr="2F1055DC">
        <w:rPr>
          <w:rFonts w:cs="Calibri"/>
        </w:rPr>
        <w:t>pproximately</w:t>
      </w:r>
      <w:r w:rsidR="15A09026">
        <w:t xml:space="preserve"> </w:t>
      </w:r>
      <w:r w:rsidR="00CB1664">
        <w:t>50</w:t>
      </w:r>
      <w:r w:rsidR="15A09026">
        <w:t xml:space="preserve">% of the rebated reductions </w:t>
      </w:r>
      <w:r w:rsidR="00232145">
        <w:t xml:space="preserve">over the life of the project </w:t>
      </w:r>
      <w:r w:rsidR="15A09026">
        <w:t>are associated with “</w:t>
      </w:r>
      <w:r w:rsidR="15A09026" w:rsidRPr="2F1055DC">
        <w:rPr>
          <w:i/>
          <w:iCs/>
        </w:rPr>
        <w:t>Rebate-Essential</w:t>
      </w:r>
      <w:r w:rsidR="15A09026">
        <w:t xml:space="preserve">” participants </w:t>
      </w:r>
      <w:r>
        <w:t xml:space="preserve">(those </w:t>
      </w:r>
      <w:r w:rsidR="15A09026">
        <w:t xml:space="preserve">who </w:t>
      </w:r>
      <w:r w:rsidR="00DC2F02">
        <w:t xml:space="preserve">stated they would not have acquired their EV without the </w:t>
      </w:r>
      <w:r w:rsidR="15A09026">
        <w:t>rebate</w:t>
      </w:r>
      <w:r>
        <w:t>)</w:t>
      </w:r>
      <w:r w:rsidR="00AD7052">
        <w:t xml:space="preserve"> and 90% of reductions </w:t>
      </w:r>
      <w:r w:rsidR="00412524">
        <w:t>are associated with “</w:t>
      </w:r>
      <w:r w:rsidR="00412524" w:rsidRPr="2F1055DC">
        <w:rPr>
          <w:i/>
          <w:iCs/>
        </w:rPr>
        <w:t>Rebate-</w:t>
      </w:r>
      <w:r w:rsidR="00412524">
        <w:rPr>
          <w:i/>
          <w:iCs/>
        </w:rPr>
        <w:t>Important</w:t>
      </w:r>
      <w:r w:rsidR="00412524">
        <w:t>” participants</w:t>
      </w:r>
      <w:r w:rsidR="00D0508C">
        <w:t xml:space="preserve"> (</w:t>
      </w:r>
      <w:r w:rsidR="00C316B5">
        <w:t xml:space="preserve">those who stated the rebate was at least moderately important in </w:t>
      </w:r>
      <w:r w:rsidR="00C316B5">
        <w:lastRenderedPageBreak/>
        <w:t xml:space="preserve">making </w:t>
      </w:r>
      <w:r w:rsidR="00AD4FCF">
        <w:t>it possible for them to acquire their EV</w:t>
      </w:r>
      <w:r w:rsidR="00D0508C">
        <w:t>)</w:t>
      </w:r>
      <w:r w:rsidR="15A09026">
        <w:t xml:space="preserve">. </w:t>
      </w:r>
      <w:bookmarkEnd w:id="6"/>
      <w:r w:rsidR="15A09026" w:rsidRPr="2F1055DC">
        <w:rPr>
          <w:i/>
          <w:iCs/>
        </w:rPr>
        <w:t>Rebate Essentiality</w:t>
      </w:r>
      <w:r w:rsidR="15A09026">
        <w:t xml:space="preserve"> was more frequent for recipients of CVRP’s Increased Rebate for consumers with lower household incomes </w:t>
      </w:r>
      <w:r w:rsidR="00D72FC7">
        <w:t>(</w:t>
      </w:r>
      <w:r w:rsidR="00806658">
        <w:t>65%</w:t>
      </w:r>
      <w:r w:rsidR="00D72FC7">
        <w:t>)</w:t>
      </w:r>
      <w:r w:rsidR="15A09026">
        <w:t xml:space="preserve"> and FCEV rebates </w:t>
      </w:r>
      <w:r w:rsidR="00D72FC7">
        <w:t>(</w:t>
      </w:r>
      <w:r w:rsidR="005D74C1">
        <w:t>71%</w:t>
      </w:r>
      <w:r w:rsidR="00D72FC7">
        <w:t>)</w:t>
      </w:r>
      <w:r w:rsidR="15A09026">
        <w:t xml:space="preserve">. </w:t>
      </w:r>
      <w:r w:rsidR="00A26087">
        <w:t>Rebate c</w:t>
      </w:r>
      <w:r w:rsidR="15A09026">
        <w:t>ost</w:t>
      </w:r>
      <w:r w:rsidR="00BD17CF">
        <w:t xml:space="preserve">s per ton of </w:t>
      </w:r>
      <w:r w:rsidR="15A09026" w:rsidRPr="2F1055DC">
        <w:rPr>
          <w:i/>
          <w:iCs/>
        </w:rPr>
        <w:t>Rebate-Essential</w:t>
      </w:r>
      <w:r w:rsidR="15A09026">
        <w:t xml:space="preserve"> </w:t>
      </w:r>
      <w:r w:rsidR="00A26087">
        <w:t xml:space="preserve">GHG </w:t>
      </w:r>
      <w:r w:rsidR="15A09026">
        <w:t xml:space="preserve">reductions range from </w:t>
      </w:r>
      <w:r w:rsidR="002C0FD2">
        <w:t>$1</w:t>
      </w:r>
      <w:r w:rsidR="007C2BFA">
        <w:t>72</w:t>
      </w:r>
      <w:r w:rsidR="002C0FD2">
        <w:t>–</w:t>
      </w:r>
      <w:r w:rsidR="007C2BFA">
        <w:t>410</w:t>
      </w:r>
      <w:r w:rsidR="006E7C49">
        <w:t xml:space="preserve"> </w:t>
      </w:r>
      <w:r w:rsidR="15A09026">
        <w:t xml:space="preserve">per ton for </w:t>
      </w:r>
      <w:r w:rsidR="00F95967">
        <w:t>PH</w:t>
      </w:r>
      <w:r w:rsidR="15A09026">
        <w:t xml:space="preserve">EVs and FCEVs, respectively, and </w:t>
      </w:r>
      <w:r w:rsidR="005E0FF7">
        <w:t xml:space="preserve">average </w:t>
      </w:r>
      <w:r w:rsidR="15A09026">
        <w:t>$</w:t>
      </w:r>
      <w:r w:rsidR="007C2BFA">
        <w:t xml:space="preserve">166 </w:t>
      </w:r>
      <w:r w:rsidR="00840AD7">
        <w:t xml:space="preserve">and </w:t>
      </w:r>
      <w:r w:rsidR="005B7323">
        <w:t>$</w:t>
      </w:r>
      <w:r w:rsidR="007C2BFA">
        <w:t>299</w:t>
      </w:r>
      <w:r w:rsidR="15A09026">
        <w:t xml:space="preserve"> per ton for Standard and Increased Rebates, respectively. </w:t>
      </w:r>
    </w:p>
    <w:p w14:paraId="60E5813F" w14:textId="31B98F40" w:rsidR="008B3B20" w:rsidRDefault="009654C0" w:rsidP="00A56E15">
      <w:r>
        <w:t xml:space="preserve">To </w:t>
      </w:r>
      <w:r w:rsidR="00AF4E68">
        <w:t xml:space="preserve">improve </w:t>
      </w:r>
      <w:r w:rsidR="001D4A29">
        <w:t xml:space="preserve">evaluation </w:t>
      </w:r>
      <w:r w:rsidR="00AF4E68">
        <w:t xml:space="preserve">of the impact </w:t>
      </w:r>
      <w:r w:rsidR="001D4A29">
        <w:t xml:space="preserve">and cost-effectiveness </w:t>
      </w:r>
      <w:r w:rsidR="00AF4E68">
        <w:t xml:space="preserve">of the </w:t>
      </w:r>
      <w:r w:rsidR="001D33A4">
        <w:t>program</w:t>
      </w:r>
      <w:r w:rsidR="001659ED">
        <w:t xml:space="preserve"> </w:t>
      </w:r>
      <w:r w:rsidR="001D4A29">
        <w:t xml:space="preserve">specifically, </w:t>
      </w:r>
      <w:r w:rsidR="00F62D15">
        <w:t xml:space="preserve">the emission reductions that are directly attributable to CVRP can be estimated using self-reported data detailing a variety of counterfactual behaviors that enable nuanced assessment of the vehicle </w:t>
      </w:r>
      <w:proofErr w:type="gramStart"/>
      <w:r w:rsidR="00F62D15">
        <w:t>types</w:t>
      </w:r>
      <w:proofErr w:type="gramEnd"/>
      <w:r w:rsidR="00F62D15">
        <w:t xml:space="preserve"> participants would have driven in absence of the rebate</w:t>
      </w:r>
      <w:r w:rsidR="00A80ADB">
        <w:t xml:space="preserve">. </w:t>
      </w:r>
      <w:r w:rsidR="00B90059">
        <w:t xml:space="preserve">Compared to </w:t>
      </w:r>
      <w:r w:rsidR="00D233B1">
        <w:t>th</w:t>
      </w:r>
      <w:r w:rsidR="00B03D23">
        <w:t>e</w:t>
      </w:r>
      <w:r w:rsidR="00D233B1">
        <w:t xml:space="preserve"> fleet likely to exist in the </w:t>
      </w:r>
      <w:r w:rsidR="00922A04">
        <w:t>program’s</w:t>
      </w:r>
      <w:r w:rsidR="00D233B1">
        <w:t xml:space="preserve"> absence</w:t>
      </w:r>
      <w:r w:rsidR="00EB6A54">
        <w:t xml:space="preserve"> (rather than </w:t>
      </w:r>
      <w:r w:rsidR="00321BBC">
        <w:t xml:space="preserve">a </w:t>
      </w:r>
      <w:r w:rsidR="00EF4E18">
        <w:t xml:space="preserve">new </w:t>
      </w:r>
      <w:r w:rsidR="00EB6A54">
        <w:t>gasoline vehicle</w:t>
      </w:r>
      <w:r w:rsidR="00321BBC">
        <w:t xml:space="preserve"> baseline</w:t>
      </w:r>
      <w:r w:rsidR="00EB6A54">
        <w:t>)</w:t>
      </w:r>
      <w:r w:rsidR="00B90059">
        <w:t xml:space="preserve">, </w:t>
      </w:r>
      <w:r w:rsidR="00E11FAD">
        <w:t xml:space="preserve">the </w:t>
      </w:r>
      <w:r w:rsidR="00A37C23" w:rsidRPr="7A779868">
        <w:rPr>
          <w:rStyle w:val="Bold"/>
          <w:b w:val="0"/>
          <w:bCs w:val="0"/>
        </w:rPr>
        <w:t>CO</w:t>
      </w:r>
      <w:r w:rsidR="00A37C23" w:rsidRPr="7A779868">
        <w:rPr>
          <w:rStyle w:val="Bold"/>
          <w:b w:val="0"/>
          <w:bCs w:val="0"/>
          <w:vertAlign w:val="subscript"/>
        </w:rPr>
        <w:t>2</w:t>
      </w:r>
      <w:r w:rsidR="00A37C23" w:rsidRPr="7A779868">
        <w:rPr>
          <w:rStyle w:val="Bold"/>
          <w:b w:val="0"/>
          <w:bCs w:val="0"/>
        </w:rPr>
        <w:t>e</w:t>
      </w:r>
      <w:r w:rsidR="00A37C23" w:rsidRPr="00A40C4A">
        <w:rPr>
          <w:rFonts w:cs="Calibri"/>
        </w:rPr>
        <w:t xml:space="preserve"> </w:t>
      </w:r>
      <w:r w:rsidR="00784148" w:rsidRPr="00A40C4A">
        <w:rPr>
          <w:rFonts w:cs="Calibri"/>
        </w:rPr>
        <w:t>abatement costs</w:t>
      </w:r>
      <w:r w:rsidR="00784148">
        <w:rPr>
          <w:rFonts w:cs="Calibri"/>
        </w:rPr>
        <w:t xml:space="preserve"> of BEVs and PHEVs </w:t>
      </w:r>
      <w:r w:rsidR="00997623" w:rsidRPr="00A40C4A">
        <w:rPr>
          <w:rFonts w:cs="Calibri"/>
        </w:rPr>
        <w:t>over a 100,000-mile quantification period</w:t>
      </w:r>
      <w:r w:rsidR="00726C15">
        <w:rPr>
          <w:rFonts w:cs="Calibri"/>
        </w:rPr>
        <w:t xml:space="preserve"> are estimated to</w:t>
      </w:r>
      <w:r w:rsidR="00997623">
        <w:rPr>
          <w:rFonts w:cs="Calibri"/>
        </w:rPr>
        <w:t xml:space="preserve"> average </w:t>
      </w:r>
      <w:r w:rsidR="00997623" w:rsidRPr="006F116F">
        <w:rPr>
          <w:rFonts w:cs="Calibri"/>
        </w:rPr>
        <w:t>$</w:t>
      </w:r>
      <w:r w:rsidR="00611D70">
        <w:rPr>
          <w:rFonts w:cs="Calibri"/>
        </w:rPr>
        <w:t>386</w:t>
      </w:r>
      <w:r w:rsidR="00997623" w:rsidRPr="006F116F">
        <w:rPr>
          <w:rFonts w:cs="Calibri"/>
        </w:rPr>
        <w:t xml:space="preserve"> per metric ton</w:t>
      </w:r>
      <w:r w:rsidR="00A56E15" w:rsidRPr="006F116F">
        <w:rPr>
          <w:rFonts w:cs="Calibri"/>
        </w:rPr>
        <w:t>. Cost</w:t>
      </w:r>
      <w:r w:rsidR="00B25E36">
        <w:rPr>
          <w:rFonts w:cs="Calibri"/>
        </w:rPr>
        <w:t xml:space="preserve">s per ton of reductions </w:t>
      </w:r>
      <w:r w:rsidR="00A56E15" w:rsidRPr="006F116F">
        <w:rPr>
          <w:rFonts w:cs="Calibri"/>
        </w:rPr>
        <w:t xml:space="preserve">range </w:t>
      </w:r>
      <w:r w:rsidR="00A56E15" w:rsidRPr="006F116F">
        <w:rPr>
          <w:rFonts w:cs="Calibri"/>
          <w:spacing w:val="-2"/>
        </w:rPr>
        <w:t>from $</w:t>
      </w:r>
      <w:r w:rsidR="00DF6A6E">
        <w:rPr>
          <w:rFonts w:cs="Calibri"/>
          <w:spacing w:val="-2"/>
        </w:rPr>
        <w:t>332</w:t>
      </w:r>
      <w:r w:rsidR="00A56E15" w:rsidRPr="00446A9D">
        <w:rPr>
          <w:rFonts w:cs="Calibri"/>
          <w:spacing w:val="-2"/>
        </w:rPr>
        <w:t xml:space="preserve"> </w:t>
      </w:r>
      <w:r w:rsidR="00A56E15" w:rsidRPr="00446A9D">
        <w:rPr>
          <w:rFonts w:cs="Calibri"/>
        </w:rPr>
        <w:t>per metric ton</w:t>
      </w:r>
      <w:r w:rsidR="00A56E15" w:rsidRPr="00446A9D">
        <w:rPr>
          <w:rFonts w:cs="Calibri"/>
          <w:spacing w:val="-2"/>
        </w:rPr>
        <w:t xml:space="preserve"> for </w:t>
      </w:r>
      <w:r w:rsidR="00A56E15" w:rsidRPr="00446A9D">
        <w:t>Standard Rebate</w:t>
      </w:r>
      <w:r w:rsidR="003F1F17">
        <w:t xml:space="preserve"> BEV</w:t>
      </w:r>
      <w:r w:rsidR="00231022" w:rsidRPr="00446A9D">
        <w:t>s</w:t>
      </w:r>
      <w:r w:rsidR="00A56E15" w:rsidRPr="00446A9D">
        <w:t xml:space="preserve"> </w:t>
      </w:r>
      <w:r w:rsidR="003F1F17">
        <w:t xml:space="preserve">to </w:t>
      </w:r>
      <w:r w:rsidR="00A56E15" w:rsidRPr="00446A9D">
        <w:rPr>
          <w:rFonts w:cs="Calibri"/>
          <w:spacing w:val="-2"/>
        </w:rPr>
        <w:t>$</w:t>
      </w:r>
      <w:r w:rsidR="00DF6A6E">
        <w:rPr>
          <w:rFonts w:cs="Calibri"/>
          <w:spacing w:val="-2"/>
        </w:rPr>
        <w:t>667</w:t>
      </w:r>
      <w:r w:rsidR="00A56E15" w:rsidRPr="00446A9D">
        <w:rPr>
          <w:rFonts w:cs="Calibri"/>
          <w:spacing w:val="-2"/>
        </w:rPr>
        <w:t xml:space="preserve"> </w:t>
      </w:r>
      <w:r w:rsidR="00B6780B" w:rsidRPr="00446A9D">
        <w:rPr>
          <w:rFonts w:cs="Calibri"/>
          <w:spacing w:val="-2"/>
        </w:rPr>
        <w:t>f</w:t>
      </w:r>
      <w:r w:rsidR="00B6780B">
        <w:rPr>
          <w:rFonts w:cs="Calibri"/>
          <w:spacing w:val="-2"/>
        </w:rPr>
        <w:t xml:space="preserve">or </w:t>
      </w:r>
      <w:r w:rsidR="00A56E15" w:rsidRPr="006F116F">
        <w:t>Increased Rebate</w:t>
      </w:r>
      <w:r w:rsidR="008F5721">
        <w:t xml:space="preserve"> PHEVs</w:t>
      </w:r>
      <w:r w:rsidR="00A56E15" w:rsidRPr="006F116F">
        <w:rPr>
          <w:rFonts w:cs="Calibri"/>
        </w:rPr>
        <w:t>.</w:t>
      </w:r>
      <w:r w:rsidR="000C7808" w:rsidRPr="00A40C4A">
        <w:rPr>
          <w:rFonts w:cs="Calibri"/>
        </w:rPr>
        <w:t xml:space="preserve"> </w:t>
      </w:r>
      <w:r w:rsidR="002938AC">
        <w:t>U</w:t>
      </w:r>
      <w:r w:rsidR="00A80ADB">
        <w:t xml:space="preserve">sing </w:t>
      </w:r>
      <w:r w:rsidR="00F2303B">
        <w:t xml:space="preserve">comparison vehicles based on </w:t>
      </w:r>
      <w:r w:rsidR="00352922">
        <w:t xml:space="preserve">these detailed </w:t>
      </w:r>
      <w:r w:rsidR="00A80ADB">
        <w:t xml:space="preserve">counterfactual survey data </w:t>
      </w:r>
      <w:r w:rsidR="008D254A">
        <w:t xml:space="preserve">thus </w:t>
      </w:r>
      <w:r w:rsidR="00A80ADB">
        <w:t xml:space="preserve">increases </w:t>
      </w:r>
      <w:r w:rsidR="001C285F">
        <w:t xml:space="preserve">the </w:t>
      </w:r>
      <w:r w:rsidR="00A80ADB">
        <w:t>costs of GHG reductions</w:t>
      </w:r>
      <w:r w:rsidR="00217794">
        <w:t>,</w:t>
      </w:r>
      <w:r w:rsidR="005F6ACD">
        <w:t xml:space="preserve"> </w:t>
      </w:r>
      <w:r w:rsidR="00513D13">
        <w:t>because</w:t>
      </w:r>
      <w:r w:rsidR="00A80ADB">
        <w:t xml:space="preserve"> many participants stat</w:t>
      </w:r>
      <w:r w:rsidR="002B0733">
        <w:t>e</w:t>
      </w:r>
      <w:r w:rsidR="00A80ADB">
        <w:t xml:space="preserve"> that</w:t>
      </w:r>
      <w:r w:rsidR="009853DA">
        <w:t>,</w:t>
      </w:r>
      <w:r w:rsidR="00A80ADB">
        <w:t xml:space="preserve"> in absence of the rebate, they would have alternatively been driving cleaner vehicles than those represented by </w:t>
      </w:r>
      <w:r w:rsidR="00EB70A1">
        <w:t xml:space="preserve">a </w:t>
      </w:r>
      <w:r w:rsidR="00D0417F">
        <w:t xml:space="preserve">new gasoline </w:t>
      </w:r>
      <w:r w:rsidR="00A80ADB">
        <w:t>baseline</w:t>
      </w:r>
      <w:r w:rsidR="00EB70A1">
        <w:t xml:space="preserve"> vehicle</w:t>
      </w:r>
      <w:r w:rsidR="00A80ADB">
        <w:t>.</w:t>
      </w:r>
      <w:r w:rsidR="00FD24D8">
        <w:t xml:space="preserve"> </w:t>
      </w:r>
      <w:r w:rsidR="00E56FCC">
        <w:t>Refining emission estimates with</w:t>
      </w:r>
      <w:r w:rsidR="00907A8A">
        <w:t xml:space="preserve"> detailed</w:t>
      </w:r>
      <w:r w:rsidR="00E56FCC">
        <w:t xml:space="preserve"> counterfactual behaviors also changes key insights. </w:t>
      </w:r>
      <w:r w:rsidR="008A64C5">
        <w:t>BEVs are more cost-effective than PHEVs under this analysis, despite their higher rebate amounts. Also, Increased Rebate results improve relative to Standard Rebates primarily due to their counterfactual vehicles less frequently being other EVs.</w:t>
      </w:r>
    </w:p>
    <w:p w14:paraId="5F147937" w14:textId="1D0CFB29" w:rsidR="00A80ADB" w:rsidRDefault="00B87403" w:rsidP="00A56E15">
      <w:r>
        <w:t xml:space="preserve">Figure ES1 compares cost-effectiveness measures across each of the </w:t>
      </w:r>
      <w:r w:rsidR="00FD24D8">
        <w:t>quantification levels (all</w:t>
      </w:r>
      <w:r w:rsidR="00190C86">
        <w:t xml:space="preserve"> rebated</w:t>
      </w:r>
      <w:r w:rsidR="00FD24D8">
        <w:t>, rebate</w:t>
      </w:r>
      <w:r w:rsidR="00CC01A6">
        <w:t>-</w:t>
      </w:r>
      <w:r w:rsidR="00FD24D8">
        <w:t xml:space="preserve">influenced, and </w:t>
      </w:r>
      <w:r w:rsidR="00FC699F">
        <w:t xml:space="preserve">detailed </w:t>
      </w:r>
      <w:r w:rsidR="00FD24D8">
        <w:t>counterfactual</w:t>
      </w:r>
      <w:r w:rsidR="00190C86">
        <w:t xml:space="preserve"> reductions</w:t>
      </w:r>
      <w:r w:rsidR="008B3B20">
        <w:t>)</w:t>
      </w:r>
      <w:r>
        <w:t xml:space="preserve">. </w:t>
      </w:r>
      <w:r w:rsidR="00FD24D8">
        <w:t xml:space="preserve">The substantial variance in results across the </w:t>
      </w:r>
      <w:r w:rsidR="00CC7F98">
        <w:t xml:space="preserve">different </w:t>
      </w:r>
      <w:r w:rsidR="00FD24D8">
        <w:t xml:space="preserve">levels underscores the importance of </w:t>
      </w:r>
      <w:r w:rsidR="00CC2DAE">
        <w:t>detailed</w:t>
      </w:r>
      <w:r w:rsidR="00EB4FC0">
        <w:t xml:space="preserve"> and context-specific analysis</w:t>
      </w:r>
      <w:r w:rsidR="00FD24D8">
        <w:t xml:space="preserve"> </w:t>
      </w:r>
      <w:r w:rsidR="00EB4FC0">
        <w:t xml:space="preserve">of </w:t>
      </w:r>
      <w:r w:rsidR="00CA6835">
        <w:t xml:space="preserve">the influence of programs on consumer behavior </w:t>
      </w:r>
      <w:r w:rsidR="00FD24D8">
        <w:t>when evaluating program impacts.</w:t>
      </w:r>
      <w:r w:rsidR="00A80ADB">
        <w:t xml:space="preserve"> </w:t>
      </w:r>
      <w:r w:rsidR="00515628">
        <w:t xml:space="preserve">The wide range of cost-effectiveness </w:t>
      </w:r>
      <w:r w:rsidR="00582789">
        <w:t>across</w:t>
      </w:r>
      <w:r w:rsidR="00515628">
        <w:t xml:space="preserve"> counterfactual </w:t>
      </w:r>
      <w:r w:rsidR="002D7AC3">
        <w:t>behavior</w:t>
      </w:r>
      <w:r w:rsidR="00582789">
        <w:t>s</w:t>
      </w:r>
      <w:r w:rsidR="002D7AC3">
        <w:t xml:space="preserve"> </w:t>
      </w:r>
      <w:r w:rsidR="0009032E">
        <w:t>(</w:t>
      </w:r>
      <w:r w:rsidR="00CB5F3D">
        <w:t>e.g., acquir</w:t>
      </w:r>
      <w:r w:rsidR="00BF327A">
        <w:t>ing</w:t>
      </w:r>
      <w:r w:rsidR="00CB5F3D">
        <w:t xml:space="preserve"> different new/used gasoline, hybrid, or electric vehicles</w:t>
      </w:r>
      <w:r w:rsidR="0009032E">
        <w:t>)</w:t>
      </w:r>
      <w:r w:rsidR="00515628">
        <w:t xml:space="preserve"> but relatively expensive overall costs per ton of </w:t>
      </w:r>
      <w:r w:rsidR="00694908">
        <w:t xml:space="preserve">counterfactual </w:t>
      </w:r>
      <w:r w:rsidR="00515628">
        <w:t xml:space="preserve">reductions </w:t>
      </w:r>
      <w:r w:rsidR="00E035BA">
        <w:t xml:space="preserve">highlights </w:t>
      </w:r>
      <w:r w:rsidR="00515628">
        <w:t xml:space="preserve">an opportunity </w:t>
      </w:r>
      <w:r w:rsidR="0039286B">
        <w:t>f</w:t>
      </w:r>
      <w:r w:rsidR="00515628">
        <w:t>o</w:t>
      </w:r>
      <w:r w:rsidR="0039286B">
        <w:t>r programs to</w:t>
      </w:r>
      <w:r w:rsidR="00515628">
        <w:t xml:space="preserve"> improve cost-effectiveness by targeting consumers that are most highly influenced by </w:t>
      </w:r>
      <w:r w:rsidR="00D73338">
        <w:t xml:space="preserve">incentives </w:t>
      </w:r>
      <w:r w:rsidR="00515628">
        <w:t>to transition to EVs from high-emitting alternatives.</w:t>
      </w:r>
    </w:p>
    <w:p w14:paraId="7622A14A" w14:textId="77777777" w:rsidR="00A25545" w:rsidRPr="00B90CFD" w:rsidRDefault="00A25545" w:rsidP="005002FB">
      <w:pPr>
        <w:pStyle w:val="TableFigureNumber0"/>
        <w:keepNext/>
        <w:rPr>
          <w:b/>
          <w:bCs/>
          <w:color w:val="0579BD"/>
        </w:rPr>
      </w:pPr>
      <w:r w:rsidRPr="00B90CFD">
        <w:rPr>
          <w:color w:val="0579BD"/>
        </w:rPr>
        <w:lastRenderedPageBreak/>
        <w:t>FIGURE ES1</w:t>
      </w:r>
    </w:p>
    <w:p w14:paraId="29927D15" w14:textId="77777777" w:rsidR="00A25545" w:rsidRPr="003A15C4" w:rsidRDefault="00A25545" w:rsidP="00A25545">
      <w:pPr>
        <w:pStyle w:val="TableFigureheader"/>
        <w:keepNext/>
      </w:pPr>
      <w:r>
        <w:t>Cost-Effectiveness and Rebate Influence</w:t>
      </w:r>
    </w:p>
    <w:p w14:paraId="73D5695D" w14:textId="77777777" w:rsidR="00A25545" w:rsidRDefault="00A25545" w:rsidP="00A25545">
      <w:pPr>
        <w:pStyle w:val="Body"/>
        <w:keepNext/>
        <w:spacing w:before="80" w:after="80"/>
        <w:rPr>
          <w:i/>
          <w:iCs/>
          <w:sz w:val="18"/>
          <w:szCs w:val="18"/>
        </w:rPr>
      </w:pPr>
      <w:r w:rsidRPr="7ACA0E52">
        <w:rPr>
          <w:i/>
          <w:iCs/>
          <w:sz w:val="18"/>
          <w:szCs w:val="18"/>
        </w:rPr>
        <w:t>Rebate dollars per ton of GHG emissions reduced, 100k miles</w:t>
      </w:r>
    </w:p>
    <w:p w14:paraId="5D3813B6" w14:textId="2F36A974" w:rsidR="00A25545" w:rsidRPr="008D000E" w:rsidRDefault="00B9471A" w:rsidP="00A25545">
      <w:pPr>
        <w:pStyle w:val="Body"/>
        <w:keepNext/>
        <w:spacing w:before="80" w:after="80"/>
        <w:rPr>
          <w:i/>
          <w:iCs/>
          <w:sz w:val="18"/>
          <w:szCs w:val="18"/>
        </w:rPr>
      </w:pPr>
      <w:r>
        <w:rPr>
          <w:i/>
          <w:iCs/>
          <w:noProof/>
          <w:sz w:val="18"/>
          <w:szCs w:val="18"/>
        </w:rPr>
        <w:drawing>
          <wp:inline distT="0" distB="0" distL="0" distR="0" wp14:anchorId="267D51DF" wp14:editId="3A731264">
            <wp:extent cx="5863780" cy="2514456"/>
            <wp:effectExtent l="0" t="0" r="3810" b="635"/>
            <wp:docPr id="1458222881" name="Picture 7" descr="Bar chart displaying cost-effectiveness of GHG emission reductions by vehicle and rebate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22881" name="Picture 7" descr="Bar chart displaying cost-effectiveness of GHG emission reductions by vehicle and rebate types. "/>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5863780" cy="2514456"/>
                    </a:xfrm>
                    <a:prstGeom prst="rect">
                      <a:avLst/>
                    </a:prstGeom>
                  </pic:spPr>
                </pic:pic>
              </a:graphicData>
            </a:graphic>
          </wp:inline>
        </w:drawing>
      </w:r>
    </w:p>
    <w:p w14:paraId="13B816ED" w14:textId="7E1873CC" w:rsidR="00114792" w:rsidRDefault="00A25545" w:rsidP="005A358E">
      <w:pPr>
        <w:pStyle w:val="NoSpacing"/>
        <w:spacing w:after="200"/>
      </w:pPr>
      <w:r w:rsidRPr="00D359AC">
        <w:rPr>
          <w:sz w:val="18"/>
          <w:szCs w:val="18"/>
        </w:rPr>
        <w:t xml:space="preserve">* </w:t>
      </w:r>
      <w:r w:rsidR="00A67456" w:rsidRPr="00D359AC">
        <w:rPr>
          <w:sz w:val="18"/>
          <w:szCs w:val="18"/>
        </w:rPr>
        <w:t xml:space="preserve">Detailed </w:t>
      </w:r>
      <w:r w:rsidRPr="00D359AC">
        <w:rPr>
          <w:sz w:val="18"/>
          <w:szCs w:val="18"/>
        </w:rPr>
        <w:t xml:space="preserve">Counterfactual Reductions exclude FCEVs (2% of rebates). </w:t>
      </w:r>
    </w:p>
    <w:p w14:paraId="6B8CCAC2" w14:textId="0B1F54AB" w:rsidR="009763D4" w:rsidRPr="009A7A9A" w:rsidRDefault="00834611" w:rsidP="00A80ADB">
      <w:r>
        <w:t xml:space="preserve">Importantly, </w:t>
      </w:r>
      <w:r w:rsidR="00ED161B">
        <w:t>the results of this study are</w:t>
      </w:r>
      <w:r w:rsidR="005D4CD7">
        <w:t xml:space="preserve"> limited by the scope of analysis and are</w:t>
      </w:r>
      <w:r w:rsidR="00ED161B">
        <w:t xml:space="preserve"> sensitive to </w:t>
      </w:r>
      <w:r w:rsidR="001E6878">
        <w:t xml:space="preserve">several of </w:t>
      </w:r>
      <w:r w:rsidR="00ED161B">
        <w:t>the generally</w:t>
      </w:r>
      <w:r w:rsidR="00197EBE">
        <w:t xml:space="preserve"> </w:t>
      </w:r>
      <w:r w:rsidR="00ED161B">
        <w:t>conservative inputs and assumptions</w:t>
      </w:r>
      <w:r w:rsidR="007D3DB1">
        <w:t xml:space="preserve"> used.</w:t>
      </w:r>
      <w:r w:rsidR="00ED161B">
        <w:t xml:space="preserve"> </w:t>
      </w:r>
      <w:r w:rsidR="00A11EED">
        <w:t xml:space="preserve">The cost-effectiveness metrics in this report </w:t>
      </w:r>
      <w:r w:rsidR="00977D27">
        <w:t xml:space="preserve">exclude important, but difficult to quantify, long-term </w:t>
      </w:r>
      <w:r w:rsidR="004F078B">
        <w:t xml:space="preserve">market-transformation </w:t>
      </w:r>
      <w:r w:rsidR="00977D27">
        <w:t>benefits</w:t>
      </w:r>
      <w:r w:rsidR="00B148FA">
        <w:t xml:space="preserve"> </w:t>
      </w:r>
      <w:r w:rsidR="00A01285">
        <w:t xml:space="preserve">(e.g., spillover effects) </w:t>
      </w:r>
      <w:r w:rsidR="00B148FA">
        <w:t xml:space="preserve">which would </w:t>
      </w:r>
      <w:r w:rsidR="00E018CF" w:rsidRPr="00FE7679">
        <w:t>increase the benefits attributed to the program</w:t>
      </w:r>
      <w:r w:rsidR="00E018CF">
        <w:t>.</w:t>
      </w:r>
      <w:r w:rsidR="005D4CD7">
        <w:t xml:space="preserve"> </w:t>
      </w:r>
      <w:r w:rsidR="001D73F2">
        <w:t xml:space="preserve">Also, </w:t>
      </w:r>
      <w:r w:rsidR="00B20FD5">
        <w:t>t</w:t>
      </w:r>
      <w:r>
        <w:t xml:space="preserve">he results are found to be particularly sensitive to baseline vehicle fuel efficiency inputs and the quantification period (i.e., total number of operational miles or miles/year). </w:t>
      </w:r>
      <w:r w:rsidR="007D3DB1">
        <w:t xml:space="preserve">Sensitivity analysis suggests cost-effectiveness </w:t>
      </w:r>
      <w:r w:rsidR="00C63AC0">
        <w:t>improve</w:t>
      </w:r>
      <w:r w:rsidR="00795866">
        <w:t>s</w:t>
      </w:r>
      <w:r w:rsidR="00C63AC0">
        <w:t xml:space="preserve"> by </w:t>
      </w:r>
      <w:r w:rsidR="00795866">
        <w:t>34</w:t>
      </w:r>
      <w:r w:rsidR="00C63AC0">
        <w:t xml:space="preserve">% when using </w:t>
      </w:r>
      <w:r w:rsidR="00CB70F3">
        <w:t xml:space="preserve">a </w:t>
      </w:r>
      <w:r w:rsidR="00737987">
        <w:t>common 150k</w:t>
      </w:r>
      <w:r w:rsidR="009E7CFA">
        <w:t>-</w:t>
      </w:r>
      <w:r w:rsidR="00737987">
        <w:t xml:space="preserve">mile </w:t>
      </w:r>
      <w:r w:rsidR="00C63AC0">
        <w:t xml:space="preserve">quantification period and </w:t>
      </w:r>
      <w:r w:rsidR="00AE249B">
        <w:t xml:space="preserve">changes </w:t>
      </w:r>
      <w:r w:rsidR="00B21031">
        <w:t>14–15</w:t>
      </w:r>
      <w:r w:rsidR="00C63AC0">
        <w:t xml:space="preserve">% when </w:t>
      </w:r>
      <w:r w:rsidR="00E616C9">
        <w:t xml:space="preserve">altering </w:t>
      </w:r>
      <w:r w:rsidR="00641736">
        <w:t xml:space="preserve">baseline </w:t>
      </w:r>
      <w:r w:rsidR="00134590">
        <w:t xml:space="preserve">vehicle </w:t>
      </w:r>
      <w:r w:rsidR="00641736">
        <w:t xml:space="preserve">fuel efficiency </w:t>
      </w:r>
      <w:r w:rsidR="00134590">
        <w:t xml:space="preserve">by </w:t>
      </w:r>
      <w:r w:rsidR="00F05EE5">
        <w:t>+</w:t>
      </w:r>
      <w:r w:rsidR="00F629CB">
        <w:t>/-</w:t>
      </w:r>
      <w:r w:rsidR="00791A4B">
        <w:t>10%</w:t>
      </w:r>
      <w:r w:rsidR="00E616C9">
        <w:t xml:space="preserve">. </w:t>
      </w:r>
      <w:r w:rsidR="009A7A9A">
        <w:t>U</w:t>
      </w:r>
      <w:r>
        <w:t>ncertainty in EV use and other inputs presents opportunities for refinement in future work aiming to understand the emission benefits of EVs.</w:t>
      </w:r>
    </w:p>
    <w:p w14:paraId="61DB14ED" w14:textId="0A4B777C" w:rsidR="00F430D7" w:rsidRPr="007D558B" w:rsidRDefault="006B03C6" w:rsidP="007D558B">
      <w:pPr>
        <w:rPr>
          <w:rStyle w:val="Heading1Char"/>
          <w:color w:val="auto"/>
          <w:sz w:val="22"/>
          <w:szCs w:val="22"/>
          <w14:textOutline w14:w="0" w14:cap="rnd" w14:cmpd="sng" w14:algn="ctr">
            <w14:noFill/>
            <w14:prstDash w14:val="solid"/>
            <w14:bevel/>
          </w14:textOutline>
        </w:rPr>
      </w:pPr>
      <w:r>
        <w:rPr>
          <w:color w:val="auto"/>
        </w:rPr>
        <w:t>Because CVRP ran for roughly 13 years</w:t>
      </w:r>
      <w:r w:rsidR="00B106B9">
        <w:rPr>
          <w:color w:val="auto"/>
        </w:rPr>
        <w:t xml:space="preserve"> (2010–2023)</w:t>
      </w:r>
      <w:r>
        <w:rPr>
          <w:color w:val="auto"/>
        </w:rPr>
        <w:t xml:space="preserve">, </w:t>
      </w:r>
      <w:r w:rsidR="0096779D">
        <w:rPr>
          <w:color w:val="auto"/>
        </w:rPr>
        <w:t xml:space="preserve">it spanned </w:t>
      </w:r>
      <w:r w:rsidR="00CF45BB">
        <w:rPr>
          <w:color w:val="auto"/>
        </w:rPr>
        <w:t xml:space="preserve">both </w:t>
      </w:r>
      <w:r w:rsidR="0096779D">
        <w:rPr>
          <w:color w:val="auto"/>
        </w:rPr>
        <w:t xml:space="preserve">the burgeoning of the EV market and </w:t>
      </w:r>
      <w:r w:rsidR="00CF45BB">
        <w:rPr>
          <w:color w:val="auto"/>
        </w:rPr>
        <w:t xml:space="preserve">various program designs as </w:t>
      </w:r>
      <w:r w:rsidR="00AD75B0">
        <w:rPr>
          <w:color w:val="auto"/>
        </w:rPr>
        <w:t xml:space="preserve">it </w:t>
      </w:r>
      <w:r w:rsidR="0096779D">
        <w:rPr>
          <w:color w:val="auto"/>
        </w:rPr>
        <w:t>evolved</w:t>
      </w:r>
      <w:r w:rsidR="00DC10A9">
        <w:rPr>
          <w:color w:val="auto"/>
        </w:rPr>
        <w:t xml:space="preserve"> to meet the needs of the </w:t>
      </w:r>
      <w:r w:rsidR="008138DE">
        <w:rPr>
          <w:color w:val="auto"/>
        </w:rPr>
        <w:t xml:space="preserve">developing </w:t>
      </w:r>
      <w:r w:rsidR="00DC10A9">
        <w:rPr>
          <w:color w:val="auto"/>
        </w:rPr>
        <w:t>EV landscape</w:t>
      </w:r>
      <w:r w:rsidR="00CF45BB">
        <w:rPr>
          <w:color w:val="auto"/>
        </w:rPr>
        <w:t>.</w:t>
      </w:r>
      <w:r w:rsidR="0096779D">
        <w:rPr>
          <w:color w:val="auto"/>
        </w:rPr>
        <w:t xml:space="preserve"> </w:t>
      </w:r>
      <w:r w:rsidR="00BD5B84" w:rsidRPr="2F1055DC">
        <w:rPr>
          <w:color w:val="auto"/>
        </w:rPr>
        <w:t>The</w:t>
      </w:r>
      <w:r w:rsidR="00DC10A9">
        <w:rPr>
          <w:color w:val="auto"/>
        </w:rPr>
        <w:t>refore, the</w:t>
      </w:r>
      <w:r w:rsidR="00BD5B84" w:rsidRPr="2F1055DC">
        <w:rPr>
          <w:color w:val="auto"/>
        </w:rPr>
        <w:t xml:space="preserve"> emission-reduction and cost-effectiveness results should be interpreted in the context of program design and market dynamics</w:t>
      </w:r>
      <w:r w:rsidR="004C1BF0">
        <w:rPr>
          <w:color w:val="auto"/>
        </w:rPr>
        <w:t xml:space="preserve"> over time</w:t>
      </w:r>
      <w:r w:rsidR="00BD5B84" w:rsidRPr="2F1055DC">
        <w:rPr>
          <w:color w:val="auto"/>
        </w:rPr>
        <w:t xml:space="preserve">. </w:t>
      </w:r>
      <w:r w:rsidR="005726FF">
        <w:rPr>
          <w:color w:val="auto"/>
        </w:rPr>
        <w:t>On the program side, f</w:t>
      </w:r>
      <w:r w:rsidR="005726FF" w:rsidRPr="2F1055DC">
        <w:rPr>
          <w:color w:val="auto"/>
        </w:rPr>
        <w:t xml:space="preserve">or example, </w:t>
      </w:r>
      <w:r w:rsidR="005726FF">
        <w:rPr>
          <w:color w:val="auto"/>
        </w:rPr>
        <w:t>Standard Rebate</w:t>
      </w:r>
      <w:r w:rsidR="00635F40">
        <w:rPr>
          <w:color w:val="auto"/>
        </w:rPr>
        <w:t xml:space="preserve"> amounts incrementally decreased over time while Increased Rebates were introduced in 2016</w:t>
      </w:r>
      <w:r w:rsidR="00235AF1">
        <w:rPr>
          <w:color w:val="auto"/>
        </w:rPr>
        <w:t xml:space="preserve"> to broaden inclusion</w:t>
      </w:r>
      <w:r w:rsidR="00635F40">
        <w:rPr>
          <w:color w:val="auto"/>
        </w:rPr>
        <w:t xml:space="preserve"> and increased over time. </w:t>
      </w:r>
      <w:r w:rsidR="008034A6">
        <w:rPr>
          <w:color w:val="auto"/>
        </w:rPr>
        <w:t xml:space="preserve">These changes directly affect cost-effectiveness results. </w:t>
      </w:r>
      <w:r w:rsidR="00C94E88">
        <w:rPr>
          <w:color w:val="auto"/>
        </w:rPr>
        <w:t xml:space="preserve">Other </w:t>
      </w:r>
      <w:r w:rsidR="002A1243">
        <w:rPr>
          <w:color w:val="auto"/>
        </w:rPr>
        <w:t xml:space="preserve">relevant </w:t>
      </w:r>
      <w:r w:rsidR="00C94E88">
        <w:rPr>
          <w:color w:val="auto"/>
        </w:rPr>
        <w:t xml:space="preserve">program changes </w:t>
      </w:r>
      <w:r w:rsidR="002A1243">
        <w:rPr>
          <w:color w:val="auto"/>
        </w:rPr>
        <w:t>included co</w:t>
      </w:r>
      <w:r w:rsidR="005726FF">
        <w:rPr>
          <w:color w:val="auto"/>
        </w:rPr>
        <w:t>nsumer income</w:t>
      </w:r>
      <w:r w:rsidR="001444F1">
        <w:rPr>
          <w:color w:val="auto"/>
        </w:rPr>
        <w:t xml:space="preserve"> caps</w:t>
      </w:r>
      <w:r w:rsidR="00805279">
        <w:rPr>
          <w:color w:val="auto"/>
        </w:rPr>
        <w:t xml:space="preserve"> </w:t>
      </w:r>
      <w:r w:rsidR="00E810EA">
        <w:rPr>
          <w:color w:val="auto"/>
        </w:rPr>
        <w:t>(</w:t>
      </w:r>
      <w:r w:rsidR="00AF6780">
        <w:rPr>
          <w:color w:val="auto"/>
        </w:rPr>
        <w:t>2016</w:t>
      </w:r>
      <w:r w:rsidR="00E810EA">
        <w:rPr>
          <w:color w:val="auto"/>
        </w:rPr>
        <w:t xml:space="preserve">), </w:t>
      </w:r>
      <w:r w:rsidR="005726FF">
        <w:rPr>
          <w:color w:val="auto"/>
        </w:rPr>
        <w:t xml:space="preserve">vehicle </w:t>
      </w:r>
      <w:r w:rsidR="00296E40">
        <w:rPr>
          <w:color w:val="auto"/>
        </w:rPr>
        <w:t xml:space="preserve">performance </w:t>
      </w:r>
      <w:r w:rsidR="00830738">
        <w:rPr>
          <w:color w:val="auto"/>
        </w:rPr>
        <w:t xml:space="preserve">criteria </w:t>
      </w:r>
      <w:r w:rsidR="00296E40">
        <w:rPr>
          <w:color w:val="auto"/>
        </w:rPr>
        <w:t xml:space="preserve">(2016), and vehicle </w:t>
      </w:r>
      <w:r w:rsidR="005726FF">
        <w:rPr>
          <w:color w:val="auto"/>
        </w:rPr>
        <w:t xml:space="preserve">price </w:t>
      </w:r>
      <w:r w:rsidR="00D97A1B">
        <w:rPr>
          <w:color w:val="auto"/>
        </w:rPr>
        <w:t>caps</w:t>
      </w:r>
      <w:r w:rsidR="00830738">
        <w:rPr>
          <w:color w:val="auto"/>
        </w:rPr>
        <w:t xml:space="preserve"> </w:t>
      </w:r>
      <w:r w:rsidR="00E810EA">
        <w:rPr>
          <w:color w:val="auto"/>
        </w:rPr>
        <w:t>(</w:t>
      </w:r>
      <w:r w:rsidR="00395452">
        <w:rPr>
          <w:color w:val="auto"/>
        </w:rPr>
        <w:t>2019</w:t>
      </w:r>
      <w:r w:rsidR="00E810EA">
        <w:rPr>
          <w:color w:val="auto"/>
        </w:rPr>
        <w:t>)</w:t>
      </w:r>
      <w:r w:rsidR="00947338">
        <w:rPr>
          <w:color w:val="auto"/>
        </w:rPr>
        <w:t>,</w:t>
      </w:r>
      <w:r w:rsidR="00AD7A7D">
        <w:rPr>
          <w:color w:val="auto"/>
        </w:rPr>
        <w:t xml:space="preserve"> </w:t>
      </w:r>
      <w:r w:rsidR="002A1243">
        <w:rPr>
          <w:color w:val="auto"/>
        </w:rPr>
        <w:t>all</w:t>
      </w:r>
      <w:r w:rsidR="00E810EA">
        <w:rPr>
          <w:color w:val="auto"/>
        </w:rPr>
        <w:t xml:space="preserve"> </w:t>
      </w:r>
      <w:r w:rsidR="005726FF">
        <w:rPr>
          <w:color w:val="auto"/>
        </w:rPr>
        <w:t>bec</w:t>
      </w:r>
      <w:r w:rsidR="00AD7A7D">
        <w:rPr>
          <w:color w:val="auto"/>
        </w:rPr>
        <w:t>oming</w:t>
      </w:r>
      <w:r w:rsidR="005726FF">
        <w:rPr>
          <w:color w:val="auto"/>
        </w:rPr>
        <w:t xml:space="preserve"> more stringent over time. On the market side,</w:t>
      </w:r>
      <w:r w:rsidR="00E9096E">
        <w:rPr>
          <w:color w:val="auto"/>
        </w:rPr>
        <w:t xml:space="preserve"> major developments </w:t>
      </w:r>
      <w:r w:rsidR="001F09D8">
        <w:rPr>
          <w:color w:val="auto"/>
        </w:rPr>
        <w:t xml:space="preserve">with GHG implications </w:t>
      </w:r>
      <w:r w:rsidR="00E9096E">
        <w:rPr>
          <w:color w:val="auto"/>
        </w:rPr>
        <w:t xml:space="preserve">included the </w:t>
      </w:r>
      <w:r w:rsidR="00763EB7">
        <w:rPr>
          <w:color w:val="auto"/>
        </w:rPr>
        <w:t xml:space="preserve">increase in BEV range and BEV popularity </w:t>
      </w:r>
      <w:r w:rsidR="0009176F">
        <w:rPr>
          <w:color w:val="auto"/>
        </w:rPr>
        <w:t xml:space="preserve">over time, as well as the </w:t>
      </w:r>
      <w:r w:rsidR="00BB3E0B">
        <w:rPr>
          <w:color w:val="auto"/>
        </w:rPr>
        <w:t xml:space="preserve">rapid </w:t>
      </w:r>
      <w:r w:rsidR="00EE05DE">
        <w:rPr>
          <w:color w:val="auto"/>
        </w:rPr>
        <w:t xml:space="preserve">proliferation </w:t>
      </w:r>
      <w:r w:rsidR="00BB3E0B">
        <w:rPr>
          <w:color w:val="auto"/>
        </w:rPr>
        <w:t xml:space="preserve">of SUVs beginning in </w:t>
      </w:r>
      <w:r w:rsidR="00F32E45">
        <w:rPr>
          <w:color w:val="auto"/>
        </w:rPr>
        <w:t>2020</w:t>
      </w:r>
      <w:r w:rsidR="00BB3E0B">
        <w:rPr>
          <w:color w:val="auto"/>
        </w:rPr>
        <w:t>.</w:t>
      </w:r>
      <w:r w:rsidR="00EE05DE">
        <w:rPr>
          <w:color w:val="auto"/>
        </w:rPr>
        <w:t xml:space="preserve"> </w:t>
      </w:r>
      <w:r w:rsidR="00F430D7" w:rsidRPr="7ACA0E52">
        <w:rPr>
          <w:rStyle w:val="Heading1Char"/>
        </w:rPr>
        <w:br w:type="page"/>
      </w:r>
    </w:p>
    <w:p w14:paraId="0DCE27BA" w14:textId="14B020FF" w:rsidR="00702A66" w:rsidRPr="003A15C4" w:rsidRDefault="4BDE0D6D" w:rsidP="187DA56C">
      <w:pPr>
        <w:pStyle w:val="Heading"/>
        <w:rPr>
          <w:rStyle w:val="Heading1Char"/>
        </w:rPr>
      </w:pPr>
      <w:bookmarkStart w:id="7" w:name="_Toc227069775"/>
      <w:r w:rsidRPr="7ACA0E52">
        <w:rPr>
          <w:rStyle w:val="Heading1Char"/>
        </w:rPr>
        <w:lastRenderedPageBreak/>
        <w:t xml:space="preserve">1. </w:t>
      </w:r>
      <w:r w:rsidR="0DA4DA62" w:rsidRPr="7ACA0E52">
        <w:rPr>
          <w:rStyle w:val="Heading1Char"/>
        </w:rPr>
        <w:t>Introduction</w:t>
      </w:r>
      <w:bookmarkEnd w:id="7"/>
    </w:p>
    <w:p w14:paraId="59C76488" w14:textId="02265747" w:rsidR="003E2279" w:rsidRDefault="0DA4DA62" w:rsidP="003E2279">
      <w:pPr>
        <w:pStyle w:val="Body"/>
      </w:pPr>
      <w:r>
        <w:t>A primary motivation for federal, state, and regional investment in widespread electric vehicle adoption is the need to reduce greenhouse gas (GHG) and other emissions. The California Air Resources Board’s (CARB’s) Clean Vehicle Rebate Project (CVRP) provide</w:t>
      </w:r>
      <w:r w:rsidR="00CB0F76">
        <w:t>d</w:t>
      </w:r>
      <w:r>
        <w:t xml:space="preserve"> cash rebates for the purchase or lease of eligible light-duty electric vehicles </w:t>
      </w:r>
      <w:r w:rsidR="57DF9B8B">
        <w:t>(</w:t>
      </w:r>
      <w:r w:rsidR="29F2FE0C">
        <w:t>EVs</w:t>
      </w:r>
      <w:r w:rsidR="57DF9B8B">
        <w:t xml:space="preserve">) </w:t>
      </w:r>
      <w:r>
        <w:t xml:space="preserve">in California. </w:t>
      </w:r>
      <w:r w:rsidR="006F3A45" w:rsidRPr="006F3A45">
        <w:t>From its inception in March 2010 through its closure in late 2023,</w:t>
      </w:r>
      <w:r w:rsidR="00595105">
        <w:t xml:space="preserve"> </w:t>
      </w:r>
      <w:r w:rsidR="00B47CF3">
        <w:t>r</w:t>
      </w:r>
      <w:r>
        <w:t>ebate investments exceeded $</w:t>
      </w:r>
      <w:r w:rsidR="00B47CF3">
        <w:t>1.</w:t>
      </w:r>
      <w:r w:rsidR="00BC1309">
        <w:t>4</w:t>
      </w:r>
      <w:r w:rsidR="1439C4E0">
        <w:t xml:space="preserve"> </w:t>
      </w:r>
      <w:r w:rsidR="00B47CF3">
        <w:t>b</w:t>
      </w:r>
      <w:r>
        <w:t xml:space="preserve">illion </w:t>
      </w:r>
      <w:r w:rsidR="00B47CF3">
        <w:t xml:space="preserve">to incentivize </w:t>
      </w:r>
      <w:r w:rsidR="00756E05">
        <w:t>nearly 60</w:t>
      </w:r>
      <w:r w:rsidR="00F742CA">
        <w:t xml:space="preserve">0,000 </w:t>
      </w:r>
      <w:r w:rsidR="00DA370F">
        <w:t>electric vehicles</w:t>
      </w:r>
      <w:r>
        <w:t xml:space="preserve">. Here </w:t>
      </w:r>
      <w:r w:rsidR="00FC6333">
        <w:t xml:space="preserve">we </w:t>
      </w:r>
      <w:r w:rsidR="005545DA">
        <w:t xml:space="preserve">present </w:t>
      </w:r>
      <w:r>
        <w:t xml:space="preserve">a detailed </w:t>
      </w:r>
      <w:r w:rsidR="00613318">
        <w:t xml:space="preserve">examination </w:t>
      </w:r>
      <w:r>
        <w:t xml:space="preserve">of the </w:t>
      </w:r>
      <w:r w:rsidR="00800945">
        <w:t xml:space="preserve">quantity </w:t>
      </w:r>
      <w:r>
        <w:t>and cost-effectiveness of GHG reductions from those rebated vehicles.</w:t>
      </w:r>
    </w:p>
    <w:p w14:paraId="0DFE0501" w14:textId="0E53DF1A" w:rsidR="00BD69C0" w:rsidRDefault="0DA4DA62" w:rsidP="003E2279">
      <w:pPr>
        <w:pStyle w:val="Body"/>
      </w:pPr>
      <w:r>
        <w:t xml:space="preserve">As described in previous related work </w:t>
      </w:r>
      <w:r w:rsidR="00FD2EAE" w:rsidRPr="00FD2EAE">
        <w:rPr>
          <w:rFonts w:cs="Calibri"/>
        </w:rPr>
        <w:t>(Pallonetti &amp; Williams, 2021)</w:t>
      </w:r>
      <w:r>
        <w:t xml:space="preserve">, many studies have evaluated the emissions impacts of electric vehicles. Literature reviews of such studies </w:t>
      </w:r>
      <w:r w:rsidR="00FD2EAE" w:rsidRPr="00FD2EAE">
        <w:rPr>
          <w:rFonts w:cs="Calibri"/>
        </w:rPr>
        <w:t xml:space="preserve">(Lattanzio &amp; Clark, 2020; </w:t>
      </w:r>
      <w:proofErr w:type="spellStart"/>
      <w:r w:rsidR="00FD2EAE" w:rsidRPr="00FD2EAE">
        <w:rPr>
          <w:rFonts w:cs="Calibri"/>
        </w:rPr>
        <w:t>Marmiroli</w:t>
      </w:r>
      <w:proofErr w:type="spellEnd"/>
      <w:r w:rsidR="00FD2EAE" w:rsidRPr="00FD2EAE">
        <w:rPr>
          <w:rFonts w:cs="Calibri"/>
        </w:rPr>
        <w:t xml:space="preserve"> et al., 2018)</w:t>
      </w:r>
      <w:r>
        <w:t xml:space="preserve"> have found widely varying results. Lattanzio and Clark </w:t>
      </w:r>
      <w:r w:rsidR="187D792A" w:rsidRPr="2F1055DC">
        <w:rPr>
          <w:rFonts w:cs="Calibri"/>
        </w:rPr>
        <w:t>(2020)</w:t>
      </w:r>
      <w:r>
        <w:t xml:space="preserve"> highlight that studies have generated a wide range of results due to differing goals, scopes, models, scales, timespans, and datasets. </w:t>
      </w:r>
      <w:r w:rsidR="00062692">
        <w:t>T</w:t>
      </w:r>
      <w:r>
        <w:t xml:space="preserve">hey </w:t>
      </w:r>
      <w:r w:rsidR="00062692">
        <w:t xml:space="preserve">also </w:t>
      </w:r>
      <w:r>
        <w:t>explain that differing results can all be accurate based on each study’s defined parameters. This underscores the need for context-specific analyses to understand EV impacts for a given vehicle populatio</w:t>
      </w:r>
      <w:r w:rsidR="046E9758">
        <w:t>n</w:t>
      </w:r>
      <w:r>
        <w:t xml:space="preserve">. Prior estimates of GHG emission reductions associated with CVRP specifically have included annual projections in CARB’s Funding Plans for Clean Transportation Incentives </w:t>
      </w:r>
      <w:r w:rsidR="00F605A3">
        <w:t>(</w:t>
      </w:r>
      <w:r>
        <w:t>e.g.,</w:t>
      </w:r>
      <w:r w:rsidR="187D792A">
        <w:t xml:space="preserve"> </w:t>
      </w:r>
      <w:r w:rsidR="004A419E">
        <w:t>[</w:t>
      </w:r>
      <w:r w:rsidR="00FD2EAE" w:rsidRPr="00FD2EAE">
        <w:rPr>
          <w:rFonts w:cs="Calibri"/>
        </w:rPr>
        <w:t>CARB, 2017b</w:t>
      </w:r>
      <w:r>
        <w:t>]</w:t>
      </w:r>
      <w:r w:rsidR="00F605A3">
        <w:t>)</w:t>
      </w:r>
      <w:r>
        <w:t xml:space="preserve">. These are based on average light-duty vehicle characterizations and described as intentionally conservative as a starting point for future refinement. </w:t>
      </w:r>
      <w:r w:rsidR="003478F5">
        <w:t>T</w:t>
      </w:r>
      <w:r>
        <w:t>he California State Auditor</w:t>
      </w:r>
      <w:r w:rsidR="046E9758">
        <w:t xml:space="preserve"> </w:t>
      </w:r>
      <w:r w:rsidR="187D792A" w:rsidRPr="2F1055DC">
        <w:rPr>
          <w:rFonts w:cs="Calibri"/>
        </w:rPr>
        <w:t>(2021)</w:t>
      </w:r>
      <w:r w:rsidR="187D792A">
        <w:t xml:space="preserve"> </w:t>
      </w:r>
      <w:r w:rsidR="046E9758">
        <w:t>emphasized the need for further refinement and the importance of basing funding and program design decisions on program benefits and costs.</w:t>
      </w:r>
      <w:r>
        <w:t xml:space="preserve"> </w:t>
      </w:r>
      <w:r w:rsidR="2B3CA859">
        <w:t>This underscores the importance of cost-effectiveness metrics</w:t>
      </w:r>
      <w:r w:rsidR="650B5D3F">
        <w:t xml:space="preserve"> that incorporate the influence</w:t>
      </w:r>
      <w:r w:rsidR="002B19A6">
        <w:t xml:space="preserve"> of the rebate</w:t>
      </w:r>
      <w:r w:rsidR="650B5D3F">
        <w:t>.</w:t>
      </w:r>
    </w:p>
    <w:p w14:paraId="2EF49456" w14:textId="58B20A8C" w:rsidR="00702A66" w:rsidRDefault="00A06797" w:rsidP="001761D7">
      <w:r>
        <w:t xml:space="preserve">This work </w:t>
      </w:r>
      <w:r w:rsidR="0DA4DA62">
        <w:t>build</w:t>
      </w:r>
      <w:r w:rsidR="001F59D6">
        <w:t>s</w:t>
      </w:r>
      <w:r w:rsidR="0DA4DA62">
        <w:t xml:space="preserve"> on </w:t>
      </w:r>
      <w:r w:rsidR="00FD2EAE" w:rsidRPr="00FD2EAE">
        <w:rPr>
          <w:rFonts w:cs="Calibri"/>
        </w:rPr>
        <w:t>(CARB, 2017b)</w:t>
      </w:r>
      <w:r w:rsidR="187D792A">
        <w:t xml:space="preserve"> </w:t>
      </w:r>
      <w:r w:rsidR="0DA4DA62">
        <w:t xml:space="preserve">and </w:t>
      </w:r>
      <w:r w:rsidR="001F59D6">
        <w:t xml:space="preserve">other </w:t>
      </w:r>
      <w:r w:rsidR="05CC88A5">
        <w:t xml:space="preserve">previous </w:t>
      </w:r>
      <w:r w:rsidR="0DA4DA62">
        <w:t>work</w:t>
      </w:r>
      <w:r w:rsidR="046E9758">
        <w:t xml:space="preserve"> </w:t>
      </w:r>
      <w:r w:rsidR="6C484FB1">
        <w:t xml:space="preserve">by </w:t>
      </w:r>
      <w:r w:rsidR="00756E05">
        <w:t>CSE</w:t>
      </w:r>
      <w:r w:rsidR="6C484FB1">
        <w:t xml:space="preserve"> for CVRP </w:t>
      </w:r>
      <w:r w:rsidR="046E9758">
        <w:t xml:space="preserve">that </w:t>
      </w:r>
      <w:r w:rsidR="4CE3363C">
        <w:t>includes a</w:t>
      </w:r>
      <w:r w:rsidR="00E0777E">
        <w:t>n interim</w:t>
      </w:r>
      <w:r w:rsidR="4CE3363C">
        <w:t xml:space="preserve"> </w:t>
      </w:r>
      <w:r w:rsidR="046E9758">
        <w:t>life-of-program accounting through August 2018</w:t>
      </w:r>
      <w:r w:rsidR="0DA4DA62">
        <w:t xml:space="preserve"> </w:t>
      </w:r>
      <w:r w:rsidR="00FD2EAE" w:rsidRPr="00FD2EAE">
        <w:rPr>
          <w:rFonts w:cs="Calibri"/>
        </w:rPr>
        <w:t>(Pallonetti &amp; Williams, 2021)</w:t>
      </w:r>
      <w:r w:rsidR="4CE3363C">
        <w:t xml:space="preserve"> </w:t>
      </w:r>
      <w:r w:rsidR="38E3BBCD">
        <w:t xml:space="preserve">and </w:t>
      </w:r>
      <w:r w:rsidR="00395FEF">
        <w:t xml:space="preserve">annual </w:t>
      </w:r>
      <w:r w:rsidR="38E3BBCD">
        <w:t>assessment</w:t>
      </w:r>
      <w:r w:rsidR="4CE3363C">
        <w:t xml:space="preserve">s of </w:t>
      </w:r>
      <w:r w:rsidR="00B81C8B">
        <w:t xml:space="preserve">GHG impacts </w:t>
      </w:r>
      <w:r w:rsidR="650B5D3F">
        <w:t xml:space="preserve">of </w:t>
      </w:r>
      <w:r w:rsidR="4CE3363C">
        <w:t>2019</w:t>
      </w:r>
      <w:r w:rsidR="00B8353E">
        <w:t>–</w:t>
      </w:r>
      <w:r w:rsidR="0036754B">
        <w:t>2022</w:t>
      </w:r>
      <w:r w:rsidR="4CE3363C">
        <w:t xml:space="preserve"> </w:t>
      </w:r>
      <w:r w:rsidR="650B5D3F">
        <w:t xml:space="preserve">purchases and leases </w:t>
      </w:r>
      <w:r w:rsidR="00FD2EAE" w:rsidRPr="00FD2EAE">
        <w:rPr>
          <w:rFonts w:cs="Calibri"/>
        </w:rPr>
        <w:t>(Pallonetti et al., 2023, 2024; Pallonetti &amp; Williams, 2022a, 2022b; B. Williams &amp; Pallonetti, 2022)</w:t>
      </w:r>
      <w:r w:rsidR="0DA4DA62">
        <w:t xml:space="preserve">. </w:t>
      </w:r>
      <w:r w:rsidR="2D346471">
        <w:t>Compared to previous</w:t>
      </w:r>
      <w:r w:rsidR="61E9E0FB">
        <w:t xml:space="preserve"> </w:t>
      </w:r>
      <w:r w:rsidR="2D346471">
        <w:t>reporting</w:t>
      </w:r>
      <w:r w:rsidR="5D5A1BA0">
        <w:t>,</w:t>
      </w:r>
      <w:r w:rsidR="650B5D3F">
        <w:t xml:space="preserve"> this </w:t>
      </w:r>
      <w:r w:rsidR="00E0777E">
        <w:t xml:space="preserve">full </w:t>
      </w:r>
      <w:r w:rsidR="008B5491">
        <w:t>life-of-program</w:t>
      </w:r>
      <w:r w:rsidR="006E232C">
        <w:t xml:space="preserve"> </w:t>
      </w:r>
      <w:r w:rsidR="007503BB">
        <w:t xml:space="preserve">accounting </w:t>
      </w:r>
      <w:r w:rsidR="650B5D3F">
        <w:t>analy</w:t>
      </w:r>
      <w:r w:rsidR="007503BB">
        <w:t>zes</w:t>
      </w:r>
      <w:r w:rsidR="650B5D3F">
        <w:t xml:space="preserve"> </w:t>
      </w:r>
      <w:r w:rsidR="007503BB">
        <w:t xml:space="preserve">the program from its inception through its closure and </w:t>
      </w:r>
      <w:r w:rsidR="650B5D3F">
        <w:t xml:space="preserve">uses </w:t>
      </w:r>
      <w:r w:rsidR="00D23727">
        <w:t xml:space="preserve">a refined </w:t>
      </w:r>
      <w:r w:rsidR="650B5D3F">
        <w:t>methodology</w:t>
      </w:r>
      <w:r w:rsidR="003E1A30">
        <w:t>.</w:t>
      </w:r>
      <w:r w:rsidR="00065F08">
        <w:t xml:space="preserve"> </w:t>
      </w:r>
      <w:r w:rsidR="00221500">
        <w:t xml:space="preserve">For </w:t>
      </w:r>
      <w:r w:rsidR="00837225">
        <w:t>example</w:t>
      </w:r>
      <w:r w:rsidR="00221500">
        <w:t xml:space="preserve">, </w:t>
      </w:r>
      <w:r w:rsidR="00BE3788">
        <w:t xml:space="preserve">the </w:t>
      </w:r>
      <w:r w:rsidR="00845ADB">
        <w:t xml:space="preserve">CVRP </w:t>
      </w:r>
      <w:r w:rsidR="00A64BD9">
        <w:t xml:space="preserve">survey data on </w:t>
      </w:r>
      <w:r w:rsidR="00065F08">
        <w:t>detailed counterfactual behavior</w:t>
      </w:r>
      <w:r w:rsidR="00A64BD9">
        <w:t>s</w:t>
      </w:r>
      <w:r w:rsidR="00845ADB">
        <w:t>,</w:t>
      </w:r>
      <w:r w:rsidR="00510F39">
        <w:t xml:space="preserve"> as </w:t>
      </w:r>
      <w:r w:rsidR="00735A06">
        <w:t xml:space="preserve">introduced </w:t>
      </w:r>
      <w:r w:rsidR="00510F39">
        <w:t>in the 2022 purch</w:t>
      </w:r>
      <w:r w:rsidR="005304D8">
        <w:t>ases/leases report</w:t>
      </w:r>
      <w:r w:rsidR="00261DC9">
        <w:t xml:space="preserve">, </w:t>
      </w:r>
      <w:r w:rsidR="005B0D08">
        <w:t xml:space="preserve">is updated and </w:t>
      </w:r>
      <w:r w:rsidR="00837225">
        <w:t>employ</w:t>
      </w:r>
      <w:r w:rsidR="008538A5">
        <w:t>ed</w:t>
      </w:r>
      <w:r w:rsidR="00837225">
        <w:t xml:space="preserve"> over the life of the program. Additionally, </w:t>
      </w:r>
      <w:r w:rsidR="00547B69">
        <w:t xml:space="preserve">this analysis </w:t>
      </w:r>
      <w:r w:rsidR="005B664E">
        <w:t xml:space="preserve">is </w:t>
      </w:r>
      <w:r w:rsidR="00547B69">
        <w:t xml:space="preserve">made </w:t>
      </w:r>
      <w:r w:rsidR="005B664E">
        <w:t xml:space="preserve">increasingly time-variant </w:t>
      </w:r>
      <w:r w:rsidR="00547B69">
        <w:t xml:space="preserve">by modeling each year </w:t>
      </w:r>
      <w:r w:rsidR="00A37714">
        <w:t xml:space="preserve">of driving with </w:t>
      </w:r>
      <w:r w:rsidR="002D3843">
        <w:t xml:space="preserve">temporal information </w:t>
      </w:r>
      <w:r w:rsidR="00107C7A">
        <w:t xml:space="preserve">as available, </w:t>
      </w:r>
      <w:r w:rsidR="00A4271D">
        <w:t xml:space="preserve">whereas previous reporting </w:t>
      </w:r>
      <w:r w:rsidR="00107C7A">
        <w:t>mode</w:t>
      </w:r>
      <w:r w:rsidR="00A4271D">
        <w:t>led</w:t>
      </w:r>
      <w:r w:rsidR="00107C7A">
        <w:t xml:space="preserve"> first-year emissions and scal</w:t>
      </w:r>
      <w:r w:rsidR="00A4271D">
        <w:t>ed</w:t>
      </w:r>
      <w:r w:rsidR="00107C7A">
        <w:t xml:space="preserve"> </w:t>
      </w:r>
      <w:r w:rsidR="009959F9">
        <w:t xml:space="preserve">those </w:t>
      </w:r>
      <w:r w:rsidR="00107C7A">
        <w:t xml:space="preserve">up </w:t>
      </w:r>
      <w:r w:rsidR="009959F9">
        <w:t xml:space="preserve">to estimate </w:t>
      </w:r>
      <w:r w:rsidR="00182B0E">
        <w:t xml:space="preserve">the </w:t>
      </w:r>
      <w:r w:rsidR="009959F9">
        <w:t xml:space="preserve">lifetime </w:t>
      </w:r>
      <w:r w:rsidR="00182B0E">
        <w:t>period</w:t>
      </w:r>
      <w:r w:rsidR="009959F9">
        <w:t xml:space="preserve">. </w:t>
      </w:r>
    </w:p>
    <w:p w14:paraId="5D003F65" w14:textId="6C8A3A9F" w:rsidR="008E06B6" w:rsidRDefault="724AA3A0" w:rsidP="003E2279">
      <w:pPr>
        <w:pStyle w:val="Body"/>
      </w:pPr>
      <w:r>
        <w:t>The remainder of the report is organized as follows</w:t>
      </w:r>
      <w:r w:rsidR="54364108">
        <w:t xml:space="preserve">. </w:t>
      </w:r>
      <w:r w:rsidR="575F70C2">
        <w:t xml:space="preserve">Section 2 characterizes the data used. Section 3 describes the approach taken to estimate </w:t>
      </w:r>
      <w:r w:rsidR="443EB0F9">
        <w:t xml:space="preserve">GHG </w:t>
      </w:r>
      <w:r w:rsidR="575F70C2">
        <w:t>emission reductions. Section 4 describes and discusses the resulting estimates</w:t>
      </w:r>
      <w:r w:rsidR="61DB6C62">
        <w:t xml:space="preserve"> and provides caveats</w:t>
      </w:r>
      <w:r w:rsidR="575F70C2">
        <w:t>. Section 5 presents summarizing thoughts.</w:t>
      </w:r>
      <w:r w:rsidR="19CBC32C">
        <w:t xml:space="preserve"> </w:t>
      </w:r>
      <w:r w:rsidR="443EB0F9">
        <w:t xml:space="preserve">Appendices </w:t>
      </w:r>
      <w:r w:rsidR="443EB0F9">
        <w:lastRenderedPageBreak/>
        <w:t>provide further detail on inputs</w:t>
      </w:r>
      <w:r w:rsidR="61DB6C62">
        <w:t xml:space="preserve"> (both derived from the literature and calculated for this analysis)</w:t>
      </w:r>
      <w:r w:rsidR="443EB0F9">
        <w:t xml:space="preserve"> </w:t>
      </w:r>
      <w:r w:rsidR="00DF6FF0">
        <w:t xml:space="preserve">and </w:t>
      </w:r>
      <w:r w:rsidR="008B39E7">
        <w:t xml:space="preserve">their changes </w:t>
      </w:r>
      <w:r w:rsidR="00DF6FF0">
        <w:t xml:space="preserve">over time, </w:t>
      </w:r>
      <w:r w:rsidR="443EB0F9">
        <w:t>describe a sensitivity analysis,</w:t>
      </w:r>
      <w:r w:rsidR="00846F81">
        <w:t xml:space="preserve"> and explore </w:t>
      </w:r>
      <w:r w:rsidR="00DF05E3">
        <w:t>fleet impacts</w:t>
      </w:r>
      <w:r w:rsidR="443EB0F9">
        <w:t>.</w:t>
      </w:r>
    </w:p>
    <w:p w14:paraId="344501AC" w14:textId="308A6F8F" w:rsidR="002A7F7D" w:rsidRPr="003A15C4" w:rsidRDefault="4BDE0D6D" w:rsidP="187DA56C">
      <w:pPr>
        <w:pStyle w:val="Heading"/>
        <w:rPr>
          <w:rStyle w:val="Heading1Char"/>
        </w:rPr>
      </w:pPr>
      <w:bookmarkStart w:id="8" w:name="_Toc227069776"/>
      <w:r w:rsidRPr="7ACA0E52">
        <w:rPr>
          <w:rStyle w:val="Heading1Char"/>
        </w:rPr>
        <w:t>2. Data Summary</w:t>
      </w:r>
      <w:bookmarkEnd w:id="8"/>
    </w:p>
    <w:p w14:paraId="24C34E32" w14:textId="1A8A600A" w:rsidR="003E2279" w:rsidRPr="002A7F7D" w:rsidRDefault="5EFE13C4" w:rsidP="001A24E3">
      <w:r>
        <w:t>The three main data sources are: rebate</w:t>
      </w:r>
      <w:r w:rsidR="008269FD">
        <w:t xml:space="preserve"> </w:t>
      </w:r>
      <w:r>
        <w:t>application</w:t>
      </w:r>
      <w:r w:rsidR="008269FD">
        <w:t>s</w:t>
      </w:r>
      <w:r>
        <w:t>, participant</w:t>
      </w:r>
      <w:r w:rsidR="008269FD">
        <w:t xml:space="preserve"> </w:t>
      </w:r>
      <w:r>
        <w:t>survey</w:t>
      </w:r>
      <w:r w:rsidR="008269FD">
        <w:t>s</w:t>
      </w:r>
      <w:r>
        <w:t>, and vehicle</w:t>
      </w:r>
      <w:r w:rsidR="00873333">
        <w:t xml:space="preserve"> </w:t>
      </w:r>
      <w:r>
        <w:t>registration.</w:t>
      </w:r>
    </w:p>
    <w:p w14:paraId="38309D7D" w14:textId="597C2122" w:rsidR="00702A66" w:rsidRPr="003A15C4" w:rsidRDefault="777A3BCD" w:rsidP="187DA56C">
      <w:pPr>
        <w:pStyle w:val="Heading2"/>
        <w:rPr>
          <w:sz w:val="30"/>
          <w:szCs w:val="30"/>
        </w:rPr>
      </w:pPr>
      <w:bookmarkStart w:id="9" w:name="_Toc227069777"/>
      <w:r w:rsidRPr="7F6D3BD5">
        <w:rPr>
          <w:rFonts w:eastAsia="Arial Unicode MS" w:cs="Arial Unicode MS"/>
          <w:sz w:val="30"/>
          <w:szCs w:val="30"/>
        </w:rPr>
        <w:t>Rebate Application Data</w:t>
      </w:r>
      <w:bookmarkEnd w:id="9"/>
    </w:p>
    <w:p w14:paraId="3FB5DE1D" w14:textId="003AC9D5" w:rsidR="00514A46" w:rsidRDefault="3A757960" w:rsidP="00514A46">
      <w:r>
        <w:t xml:space="preserve">The studied dataset was sourced from </w:t>
      </w:r>
      <w:r w:rsidR="002B3A1C">
        <w:t xml:space="preserve">approved </w:t>
      </w:r>
      <w:r>
        <w:t>CVRP rebate applications</w:t>
      </w:r>
      <w:r w:rsidR="00930944">
        <w:t xml:space="preserve"> as of </w:t>
      </w:r>
      <w:r w:rsidR="00135DA8">
        <w:t>April 2025</w:t>
      </w:r>
      <w:r w:rsidR="00F72ADD">
        <w:t>, spanning</w:t>
      </w:r>
      <w:r w:rsidR="00F72ADD" w:rsidRPr="006F3A45">
        <w:t xml:space="preserve"> </w:t>
      </w:r>
      <w:r w:rsidR="00F72ADD">
        <w:t xml:space="preserve">the program’s </w:t>
      </w:r>
      <w:r w:rsidR="00F72ADD" w:rsidRPr="006F3A45">
        <w:t>inception in March 2010 through its closure in late 2023</w:t>
      </w:r>
      <w:r>
        <w:t xml:space="preserve">. </w:t>
      </w:r>
      <w:r w:rsidR="357DB43B">
        <w:t xml:space="preserve">Public and private fleet vehicles totaled </w:t>
      </w:r>
      <w:r w:rsidR="00D27EBD">
        <w:t>2</w:t>
      </w:r>
      <w:r w:rsidR="357DB43B">
        <w:t xml:space="preserve">% of all records and </w:t>
      </w:r>
      <w:r w:rsidR="00D57F3F">
        <w:t>are analyzed separately</w:t>
      </w:r>
      <w:r w:rsidR="003A31C4">
        <w:t xml:space="preserve"> from personal (nonfleet) </w:t>
      </w:r>
      <w:r w:rsidR="00654C75">
        <w:t>participants</w:t>
      </w:r>
      <w:r w:rsidR="00265133">
        <w:t xml:space="preserve"> (see Appendix </w:t>
      </w:r>
      <w:r w:rsidR="00C33ADC">
        <w:t>D</w:t>
      </w:r>
      <w:r w:rsidR="00265133">
        <w:t>)</w:t>
      </w:r>
      <w:r w:rsidR="357DB43B">
        <w:t>. Zero-emission motorcycles</w:t>
      </w:r>
      <w:r w:rsidR="00CE03E2">
        <w:t>, neighborhood EVs</w:t>
      </w:r>
      <w:r w:rsidR="00A27C79">
        <w:t>,</w:t>
      </w:r>
      <w:r w:rsidR="357DB43B">
        <w:t xml:space="preserve"> </w:t>
      </w:r>
      <w:r w:rsidR="00654C75">
        <w:t>and</w:t>
      </w:r>
      <w:r w:rsidR="00A27C79">
        <w:t xml:space="preserve"> </w:t>
      </w:r>
      <w:r w:rsidR="00071E23">
        <w:t>comm</w:t>
      </w:r>
      <w:r w:rsidR="00B43780">
        <w:t>ercial EVs</w:t>
      </w:r>
      <w:r w:rsidR="00654C75">
        <w:t xml:space="preserve"> </w:t>
      </w:r>
      <w:r w:rsidR="357DB43B">
        <w:t xml:space="preserve">totaled </w:t>
      </w:r>
      <w:r w:rsidR="00D6159C">
        <w:t>0.2</w:t>
      </w:r>
      <w:r w:rsidR="357DB43B">
        <w:t xml:space="preserve">% of rebates and were excluded from this study. </w:t>
      </w:r>
      <w:r w:rsidR="77B06683">
        <w:t xml:space="preserve">The final </w:t>
      </w:r>
      <w:r w:rsidR="00D77523">
        <w:t xml:space="preserve">nonfleet </w:t>
      </w:r>
      <w:r w:rsidR="77B06683">
        <w:t xml:space="preserve">dataset </w:t>
      </w:r>
      <w:r w:rsidR="007A223A">
        <w:t xml:space="preserve">analyzed </w:t>
      </w:r>
      <w:r w:rsidR="77B06683">
        <w:t xml:space="preserve">includes </w:t>
      </w:r>
      <w:r w:rsidR="00D500CE">
        <w:t>570,</w:t>
      </w:r>
      <w:r w:rsidR="007E2047">
        <w:t>668</w:t>
      </w:r>
      <w:r w:rsidR="77B06683">
        <w:t xml:space="preserve"> rebates totaling $</w:t>
      </w:r>
      <w:r w:rsidR="001E5500">
        <w:t>1.4</w:t>
      </w:r>
      <w:r w:rsidR="00136FE2">
        <w:t>5</w:t>
      </w:r>
      <w:r w:rsidR="001E5500">
        <w:t>B</w:t>
      </w:r>
      <w:r w:rsidR="77B06683">
        <w:t>.</w:t>
      </w:r>
      <w:r w:rsidR="0070640B" w:rsidDel="00971E49">
        <w:t xml:space="preserve"> </w:t>
      </w:r>
      <w:r w:rsidR="77B06683">
        <w:t xml:space="preserve">Note that not all EVs purchased in California receive rebates, nor are all EVs or EV consumers eligible </w:t>
      </w:r>
      <w:r w:rsidR="00FD2EAE" w:rsidRPr="00FD2EAE">
        <w:rPr>
          <w:rFonts w:cs="Calibri"/>
        </w:rPr>
        <w:t>(CVRP, 2024)</w:t>
      </w:r>
      <w:r w:rsidR="77B06683">
        <w:t>. Compared to</w:t>
      </w:r>
      <w:r w:rsidR="09339A9D">
        <w:t xml:space="preserve"> </w:t>
      </w:r>
      <w:r w:rsidR="77B06683">
        <w:t xml:space="preserve">light-duty EV registration totals in the state </w:t>
      </w:r>
      <w:r w:rsidR="00122DA4">
        <w:t xml:space="preserve">from </w:t>
      </w:r>
      <w:r w:rsidR="00FC44A0">
        <w:t>20</w:t>
      </w:r>
      <w:r w:rsidR="005F5F7F">
        <w:t>1</w:t>
      </w:r>
      <w:r w:rsidR="00CF2368">
        <w:t>2</w:t>
      </w:r>
      <w:r w:rsidR="005F5F7F">
        <w:t xml:space="preserve"> </w:t>
      </w:r>
      <w:r w:rsidR="00122DA4">
        <w:t xml:space="preserve">to </w:t>
      </w:r>
      <w:r w:rsidR="005F5F7F">
        <w:t>2023</w:t>
      </w:r>
      <w:r w:rsidR="0071454A">
        <w:t xml:space="preserve"> </w:t>
      </w:r>
      <w:r w:rsidR="00FD2EAE" w:rsidRPr="00FD2EAE">
        <w:rPr>
          <w:rFonts w:cs="Calibri"/>
        </w:rPr>
        <w:t>(Auto Innovators, 2025)</w:t>
      </w:r>
      <w:r w:rsidR="77B06683">
        <w:t>, approximately</w:t>
      </w:r>
      <w:r w:rsidR="005E5307">
        <w:t xml:space="preserve"> </w:t>
      </w:r>
      <w:r w:rsidR="006427C1">
        <w:t>33</w:t>
      </w:r>
      <w:r w:rsidR="77B06683">
        <w:t xml:space="preserve">% </w:t>
      </w:r>
      <w:r w:rsidR="005E5307">
        <w:t>overall</w:t>
      </w:r>
      <w:r w:rsidR="00A765CC">
        <w:t xml:space="preserve"> </w:t>
      </w:r>
      <w:r w:rsidR="00AD7092">
        <w:t>(</w:t>
      </w:r>
      <w:r w:rsidR="00685746">
        <w:t xml:space="preserve">ranging from </w:t>
      </w:r>
      <w:r w:rsidR="00DF7BA2">
        <w:t>11</w:t>
      </w:r>
      <w:r w:rsidR="00A765CC">
        <w:t xml:space="preserve">% and </w:t>
      </w:r>
      <w:r w:rsidR="00DF7BA2">
        <w:t>79</w:t>
      </w:r>
      <w:r w:rsidR="00A765CC">
        <w:t>% annually</w:t>
      </w:r>
      <w:r w:rsidR="00AD7092">
        <w:t>)</w:t>
      </w:r>
      <w:r w:rsidR="005E5307">
        <w:t xml:space="preserve"> </w:t>
      </w:r>
      <w:r w:rsidR="77B06683">
        <w:t>received rebates.</w:t>
      </w:r>
    </w:p>
    <w:p w14:paraId="7C1A4994" w14:textId="60385B96" w:rsidR="002A7F7D" w:rsidRDefault="3487F16C" w:rsidP="00514A46">
      <w:r>
        <w:t>As detailed in</w:t>
      </w:r>
      <w:r w:rsidR="00F74E63">
        <w:t xml:space="preserve"> </w:t>
      </w:r>
      <w:r w:rsidR="0023364B">
        <w:t xml:space="preserve">Table </w:t>
      </w:r>
      <w:r w:rsidR="0023364B">
        <w:rPr>
          <w:noProof/>
        </w:rPr>
        <w:t>1</w:t>
      </w:r>
      <w:r>
        <w:t>, the data</w:t>
      </w:r>
      <w:r w:rsidR="007D36FB">
        <w:t xml:space="preserve"> analyzed</w:t>
      </w:r>
      <w:r>
        <w:t xml:space="preserve"> include </w:t>
      </w:r>
      <w:r w:rsidRPr="00336A72">
        <w:t xml:space="preserve">plug-in hybrid electric vehicles (PHEVs), </w:t>
      </w:r>
      <w:r w:rsidR="750940A7">
        <w:t>all-battery electric vehicles (</w:t>
      </w:r>
      <w:r w:rsidRPr="00336A72">
        <w:t>BEVs</w:t>
      </w:r>
      <w:r w:rsidR="750940A7">
        <w:t>)</w:t>
      </w:r>
      <w:r w:rsidRPr="00336A72">
        <w:t>, and fuel-cell electric vehicles (FCEVs)</w:t>
      </w:r>
      <w:r>
        <w:t>.</w:t>
      </w:r>
      <w:r w:rsidR="00CB276E" w:rsidRPr="001E5E83">
        <w:rPr>
          <w:rStyle w:val="FootnoteReference"/>
        </w:rPr>
        <w:footnoteReference w:id="2"/>
      </w:r>
      <w:r w:rsidRPr="00336A72">
        <w:t xml:space="preserve"> </w:t>
      </w:r>
      <w:r>
        <w:t xml:space="preserve"> </w:t>
      </w:r>
    </w:p>
    <w:p w14:paraId="2329AB93" w14:textId="5C9A5384" w:rsidR="002A7F7D" w:rsidRPr="00B90CFD" w:rsidRDefault="00F74E63" w:rsidP="00F74E63">
      <w:pPr>
        <w:pStyle w:val="TableFigureNumber0"/>
        <w:rPr>
          <w:b/>
          <w:bCs/>
          <w:color w:val="0579BD"/>
        </w:rPr>
      </w:pPr>
      <w:bookmarkStart w:id="10" w:name="_Ref216033135"/>
      <w:r w:rsidRPr="00B90CFD">
        <w:rPr>
          <w:color w:val="0579BD"/>
        </w:rPr>
        <w:t xml:space="preserve">Table </w:t>
      </w:r>
      <w:r w:rsidR="0023364B" w:rsidRPr="00B90CFD">
        <w:rPr>
          <w:noProof/>
          <w:color w:val="0579BD"/>
        </w:rPr>
        <w:t>1</w:t>
      </w:r>
      <w:bookmarkEnd w:id="10"/>
    </w:p>
    <w:p w14:paraId="04AA0963" w14:textId="4B6439E9" w:rsidR="002A7F7D" w:rsidRDefault="777A3BCD" w:rsidP="187DA56C">
      <w:pPr>
        <w:pStyle w:val="TableFigureheader"/>
      </w:pPr>
      <w:r>
        <w:t>Rebates by Vehicle Technology Type</w:t>
      </w:r>
    </w:p>
    <w:p w14:paraId="3213305F" w14:textId="6817B7D5" w:rsidR="00A03312" w:rsidRPr="003A15C4" w:rsidRDefault="00A03312" w:rsidP="000831CD">
      <w:pPr>
        <w:pStyle w:val="TableFigureSubtitle"/>
        <w:rPr>
          <w:rStyle w:val="Bold"/>
        </w:rPr>
      </w:pPr>
      <w:r>
        <w:t>Personal Consumers</w:t>
      </w:r>
    </w:p>
    <w:tbl>
      <w:tblPr>
        <w:tblpPr w:leftFromText="187" w:rightFromText="187" w:topFromText="29" w:bottomFromText="29" w:vertAnchor="text" w:horzAnchor="margin" w:tblpY="59"/>
        <w:tblW w:w="93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1705"/>
        <w:gridCol w:w="3420"/>
        <w:gridCol w:w="2010"/>
        <w:gridCol w:w="2230"/>
      </w:tblGrid>
      <w:tr w:rsidR="001A24E3" w14:paraId="007A9CDA" w14:textId="77777777" w:rsidTr="7ACA0E52">
        <w:trPr>
          <w:trHeight w:val="260"/>
        </w:trPr>
        <w:tc>
          <w:tcPr>
            <w:tcW w:w="1705" w:type="dxa"/>
            <w:shd w:val="clear" w:color="auto" w:fill="3C3A4C"/>
            <w:tcMar>
              <w:top w:w="80" w:type="dxa"/>
              <w:left w:w="80" w:type="dxa"/>
              <w:bottom w:w="80" w:type="dxa"/>
              <w:right w:w="80" w:type="dxa"/>
            </w:tcMar>
          </w:tcPr>
          <w:p w14:paraId="2917C5E9" w14:textId="67953104" w:rsidR="002A7F7D" w:rsidRPr="003A15C4" w:rsidRDefault="777A3BCD" w:rsidP="187DA56C">
            <w:pPr>
              <w:pStyle w:val="Body"/>
              <w:spacing w:after="0" w:line="240" w:lineRule="auto"/>
              <w:rPr>
                <w:sz w:val="20"/>
                <w:szCs w:val="20"/>
              </w:rPr>
            </w:pPr>
            <w:r w:rsidRPr="7ACA0E52">
              <w:rPr>
                <w:b/>
                <w:bCs/>
                <w:color w:val="FFFFFF" w:themeColor="background1"/>
                <w:sz w:val="20"/>
                <w:szCs w:val="20"/>
              </w:rPr>
              <w:t>Technology Type</w:t>
            </w:r>
          </w:p>
        </w:tc>
        <w:tc>
          <w:tcPr>
            <w:tcW w:w="3420" w:type="dxa"/>
            <w:shd w:val="clear" w:color="auto" w:fill="3C3A4C"/>
            <w:tcMar>
              <w:top w:w="80" w:type="dxa"/>
              <w:left w:w="80" w:type="dxa"/>
              <w:bottom w:w="80" w:type="dxa"/>
              <w:right w:w="80" w:type="dxa"/>
            </w:tcMar>
          </w:tcPr>
          <w:p w14:paraId="101045E7" w14:textId="72E73E9C" w:rsidR="002A7F7D" w:rsidRPr="003A15C4" w:rsidRDefault="777A3BCD" w:rsidP="187DA56C">
            <w:pPr>
              <w:pStyle w:val="Body"/>
              <w:spacing w:after="0" w:line="240" w:lineRule="auto"/>
              <w:jc w:val="center"/>
              <w:rPr>
                <w:sz w:val="20"/>
                <w:szCs w:val="20"/>
              </w:rPr>
            </w:pPr>
            <w:r w:rsidRPr="003A15C4">
              <w:rPr>
                <w:b/>
                <w:color w:val="FFFFFF"/>
                <w:sz w:val="20"/>
                <w:szCs w:val="20"/>
              </w:rPr>
              <w:t>Rebate Amou</w:t>
            </w:r>
            <w:r w:rsidRPr="00CC3F06">
              <w:rPr>
                <w:b/>
                <w:color w:val="FFFFFF" w:themeColor="background1"/>
                <w:sz w:val="20"/>
                <w:szCs w:val="20"/>
              </w:rPr>
              <w:t>nt</w:t>
            </w:r>
            <w:r w:rsidR="001A24E3" w:rsidRPr="00EE5613">
              <w:rPr>
                <w:rStyle w:val="FootnoteReference"/>
                <w:color w:val="FFFFFF" w:themeColor="background1"/>
              </w:rPr>
              <w:footnoteReference w:id="3"/>
            </w:r>
          </w:p>
        </w:tc>
        <w:tc>
          <w:tcPr>
            <w:tcW w:w="2010" w:type="dxa"/>
            <w:shd w:val="clear" w:color="auto" w:fill="3C3A4C"/>
            <w:tcMar>
              <w:top w:w="80" w:type="dxa"/>
              <w:left w:w="80" w:type="dxa"/>
              <w:bottom w:w="80" w:type="dxa"/>
              <w:right w:w="80" w:type="dxa"/>
            </w:tcMar>
          </w:tcPr>
          <w:p w14:paraId="5B56629E" w14:textId="4DFA1446" w:rsidR="002A7F7D" w:rsidRPr="003A15C4" w:rsidRDefault="777A3BCD" w:rsidP="187DA56C">
            <w:pPr>
              <w:pStyle w:val="Body"/>
              <w:spacing w:after="0" w:line="240" w:lineRule="auto"/>
              <w:jc w:val="center"/>
              <w:rPr>
                <w:sz w:val="20"/>
                <w:szCs w:val="20"/>
              </w:rPr>
            </w:pPr>
            <w:r w:rsidRPr="7ACA0E52">
              <w:rPr>
                <w:b/>
                <w:bCs/>
                <w:color w:val="FFFFFF" w:themeColor="background1"/>
                <w:sz w:val="20"/>
                <w:szCs w:val="20"/>
              </w:rPr>
              <w:t>Rebate Counts</w:t>
            </w:r>
          </w:p>
        </w:tc>
        <w:tc>
          <w:tcPr>
            <w:tcW w:w="2230" w:type="dxa"/>
            <w:shd w:val="clear" w:color="auto" w:fill="3C3A4C"/>
            <w:tcMar>
              <w:top w:w="80" w:type="dxa"/>
              <w:left w:w="80" w:type="dxa"/>
              <w:bottom w:w="80" w:type="dxa"/>
              <w:right w:w="80" w:type="dxa"/>
            </w:tcMar>
          </w:tcPr>
          <w:p w14:paraId="1C122DFA" w14:textId="12ED2EAD" w:rsidR="002A7F7D" w:rsidRPr="003A15C4" w:rsidRDefault="777A3BCD" w:rsidP="187DA56C">
            <w:pPr>
              <w:pStyle w:val="Body"/>
              <w:spacing w:after="0" w:line="240" w:lineRule="auto"/>
              <w:jc w:val="center"/>
              <w:rPr>
                <w:sz w:val="20"/>
                <w:szCs w:val="20"/>
              </w:rPr>
            </w:pPr>
            <w:r w:rsidRPr="7ACA0E52">
              <w:rPr>
                <w:b/>
                <w:bCs/>
                <w:color w:val="FFFFFF" w:themeColor="background1"/>
                <w:sz w:val="20"/>
                <w:szCs w:val="20"/>
              </w:rPr>
              <w:t>Total Rebate Dollars</w:t>
            </w:r>
          </w:p>
        </w:tc>
      </w:tr>
      <w:tr w:rsidR="001A24E3" w14:paraId="1771047F" w14:textId="77777777" w:rsidTr="00BA7234">
        <w:trPr>
          <w:trHeight w:val="20"/>
        </w:trPr>
        <w:tc>
          <w:tcPr>
            <w:tcW w:w="1705" w:type="dxa"/>
            <w:tcMar>
              <w:top w:w="80" w:type="dxa"/>
              <w:left w:w="80" w:type="dxa"/>
              <w:bottom w:w="80" w:type="dxa"/>
              <w:right w:w="80" w:type="dxa"/>
            </w:tcMar>
            <w:vAlign w:val="center"/>
          </w:tcPr>
          <w:p w14:paraId="7AE0002E" w14:textId="7BF10349" w:rsidR="002A7F7D" w:rsidRPr="00E65889" w:rsidRDefault="5EFE13C4" w:rsidP="00301093">
            <w:pPr>
              <w:pStyle w:val="Body"/>
              <w:spacing w:after="0"/>
              <w:rPr>
                <w:sz w:val="20"/>
                <w:szCs w:val="20"/>
              </w:rPr>
            </w:pPr>
            <w:r w:rsidRPr="7ACA0E52">
              <w:rPr>
                <w:b/>
                <w:bCs/>
                <w:sz w:val="20"/>
                <w:szCs w:val="20"/>
              </w:rPr>
              <w:t>PHEV</w:t>
            </w:r>
          </w:p>
        </w:tc>
        <w:tc>
          <w:tcPr>
            <w:tcW w:w="3420" w:type="dxa"/>
            <w:tcMar>
              <w:top w:w="80" w:type="dxa"/>
              <w:left w:w="80" w:type="dxa"/>
              <w:bottom w:w="80" w:type="dxa"/>
              <w:right w:w="80" w:type="dxa"/>
            </w:tcMar>
            <w:vAlign w:val="center"/>
          </w:tcPr>
          <w:p w14:paraId="493F750E" w14:textId="44FCCB5C" w:rsidR="00E10CE5" w:rsidRPr="003A15C4" w:rsidRDefault="777A3BCD" w:rsidP="187DA56C">
            <w:pPr>
              <w:pStyle w:val="Body"/>
              <w:spacing w:after="0" w:line="240" w:lineRule="auto"/>
              <w:jc w:val="center"/>
              <w:rPr>
                <w:sz w:val="20"/>
                <w:szCs w:val="20"/>
              </w:rPr>
            </w:pPr>
            <w:r w:rsidRPr="7ACA0E52">
              <w:rPr>
                <w:sz w:val="20"/>
                <w:szCs w:val="20"/>
              </w:rPr>
              <w:t>Standard</w:t>
            </w:r>
            <w:r w:rsidR="78BD9F09" w:rsidRPr="7ACA0E52">
              <w:rPr>
                <w:sz w:val="20"/>
                <w:szCs w:val="20"/>
              </w:rPr>
              <w:t>/Increased</w:t>
            </w:r>
            <w:r w:rsidRPr="7ACA0E52">
              <w:rPr>
                <w:sz w:val="20"/>
                <w:szCs w:val="20"/>
              </w:rPr>
              <w:t xml:space="preserve">: </w:t>
            </w:r>
          </w:p>
          <w:p w14:paraId="7E73CC42" w14:textId="55A95102" w:rsidR="002A7F7D" w:rsidRPr="00E65889" w:rsidRDefault="00557413" w:rsidP="00301093">
            <w:pPr>
              <w:pStyle w:val="Body"/>
              <w:spacing w:after="0" w:line="240" w:lineRule="auto"/>
              <w:jc w:val="center"/>
              <w:rPr>
                <w:sz w:val="20"/>
                <w:szCs w:val="20"/>
              </w:rPr>
            </w:pPr>
            <w:r w:rsidRPr="7ACA0E52">
              <w:rPr>
                <w:sz w:val="20"/>
                <w:szCs w:val="20"/>
              </w:rPr>
              <w:t>$1,000</w:t>
            </w:r>
            <w:r w:rsidR="004A0D3B">
              <w:rPr>
                <w:sz w:val="20"/>
                <w:szCs w:val="20"/>
              </w:rPr>
              <w:t>–</w:t>
            </w:r>
            <w:r w:rsidR="004A0D3B" w:rsidRPr="7ACA0E52">
              <w:rPr>
                <w:sz w:val="20"/>
                <w:szCs w:val="20"/>
              </w:rPr>
              <w:t>$</w:t>
            </w:r>
            <w:r w:rsidR="00EE0534">
              <w:rPr>
                <w:sz w:val="20"/>
                <w:szCs w:val="20"/>
              </w:rPr>
              <w:t>1</w:t>
            </w:r>
            <w:r w:rsidR="004A0D3B" w:rsidRPr="7ACA0E52">
              <w:rPr>
                <w:sz w:val="20"/>
                <w:szCs w:val="20"/>
              </w:rPr>
              <w:t>,</w:t>
            </w:r>
            <w:r w:rsidR="00EE0534">
              <w:rPr>
                <w:sz w:val="20"/>
                <w:szCs w:val="20"/>
              </w:rPr>
              <w:t>500</w:t>
            </w:r>
            <w:r w:rsidR="6CDC0F16" w:rsidRPr="7ACA0E52">
              <w:rPr>
                <w:sz w:val="20"/>
                <w:szCs w:val="20"/>
              </w:rPr>
              <w:t>/</w:t>
            </w:r>
            <w:r w:rsidRPr="7ACA0E52">
              <w:rPr>
                <w:sz w:val="20"/>
                <w:szCs w:val="20"/>
              </w:rPr>
              <w:t>$3,</w:t>
            </w:r>
            <w:r>
              <w:rPr>
                <w:sz w:val="20"/>
                <w:szCs w:val="20"/>
              </w:rPr>
              <w:t>0</w:t>
            </w:r>
            <w:r w:rsidRPr="7ACA0E52">
              <w:rPr>
                <w:sz w:val="20"/>
                <w:szCs w:val="20"/>
              </w:rPr>
              <w:t>00</w:t>
            </w:r>
            <w:r w:rsidR="004A0D3B">
              <w:rPr>
                <w:sz w:val="20"/>
                <w:szCs w:val="20"/>
              </w:rPr>
              <w:t>–</w:t>
            </w:r>
            <w:r w:rsidR="004A0D3B" w:rsidRPr="7ACA0E52">
              <w:rPr>
                <w:sz w:val="20"/>
                <w:szCs w:val="20"/>
              </w:rPr>
              <w:t>$</w:t>
            </w:r>
            <w:r w:rsidR="00D44D42">
              <w:rPr>
                <w:sz w:val="20"/>
                <w:szCs w:val="20"/>
              </w:rPr>
              <w:t>6</w:t>
            </w:r>
            <w:r w:rsidR="004A0D3B" w:rsidRPr="7ACA0E52">
              <w:rPr>
                <w:sz w:val="20"/>
                <w:szCs w:val="20"/>
              </w:rPr>
              <w:t>,</w:t>
            </w:r>
            <w:r w:rsidR="000831CD">
              <w:rPr>
                <w:sz w:val="20"/>
                <w:szCs w:val="20"/>
              </w:rPr>
              <w:t>500</w:t>
            </w:r>
          </w:p>
        </w:tc>
        <w:tc>
          <w:tcPr>
            <w:tcW w:w="2010" w:type="dxa"/>
            <w:tcMar>
              <w:top w:w="80" w:type="dxa"/>
              <w:left w:w="80" w:type="dxa"/>
              <w:bottom w:w="80" w:type="dxa"/>
              <w:right w:w="80" w:type="dxa"/>
            </w:tcMar>
            <w:vAlign w:val="center"/>
          </w:tcPr>
          <w:p w14:paraId="1D8B55C2" w14:textId="14117263" w:rsidR="00000DF3" w:rsidRDefault="00D64682" w:rsidP="667853D8">
            <w:pPr>
              <w:pStyle w:val="Body"/>
              <w:spacing w:after="0" w:line="240" w:lineRule="auto"/>
              <w:jc w:val="center"/>
              <w:rPr>
                <w:sz w:val="20"/>
                <w:szCs w:val="20"/>
              </w:rPr>
            </w:pPr>
            <w:r>
              <w:rPr>
                <w:sz w:val="20"/>
                <w:szCs w:val="20"/>
              </w:rPr>
              <w:t>148,472</w:t>
            </w:r>
          </w:p>
          <w:p w14:paraId="3B700CC4" w14:textId="4D6FFE6A" w:rsidR="002A7F7D" w:rsidRPr="00E51F92" w:rsidRDefault="3A757960" w:rsidP="667853D8">
            <w:pPr>
              <w:pStyle w:val="Body"/>
              <w:spacing w:after="0" w:line="240" w:lineRule="auto"/>
              <w:jc w:val="center"/>
              <w:rPr>
                <w:sz w:val="20"/>
                <w:szCs w:val="20"/>
              </w:rPr>
            </w:pPr>
            <w:r w:rsidRPr="00E51F92">
              <w:rPr>
                <w:sz w:val="20"/>
                <w:szCs w:val="20"/>
              </w:rPr>
              <w:t>(</w:t>
            </w:r>
            <w:r w:rsidR="00000DF3">
              <w:rPr>
                <w:sz w:val="20"/>
                <w:szCs w:val="20"/>
              </w:rPr>
              <w:t>26</w:t>
            </w:r>
            <w:r w:rsidRPr="00E51F92">
              <w:rPr>
                <w:sz w:val="20"/>
                <w:szCs w:val="20"/>
              </w:rPr>
              <w:t>%)</w:t>
            </w:r>
          </w:p>
        </w:tc>
        <w:tc>
          <w:tcPr>
            <w:tcW w:w="2230" w:type="dxa"/>
            <w:tcMar>
              <w:top w:w="80" w:type="dxa"/>
              <w:left w:w="80" w:type="dxa"/>
              <w:bottom w:w="80" w:type="dxa"/>
              <w:right w:w="80" w:type="dxa"/>
            </w:tcMar>
            <w:vAlign w:val="center"/>
          </w:tcPr>
          <w:p w14:paraId="5779ACEB" w14:textId="22BD0C30" w:rsidR="002A7F7D" w:rsidRPr="00E51F92" w:rsidRDefault="3A757960" w:rsidP="00BA7234">
            <w:pPr>
              <w:pStyle w:val="Body"/>
              <w:spacing w:after="0" w:line="240" w:lineRule="auto"/>
              <w:ind w:right="385"/>
              <w:jc w:val="center"/>
              <w:rPr>
                <w:sz w:val="20"/>
                <w:szCs w:val="20"/>
              </w:rPr>
            </w:pPr>
            <w:r w:rsidRPr="00E51F92">
              <w:rPr>
                <w:sz w:val="20"/>
                <w:szCs w:val="20"/>
              </w:rPr>
              <w:t>$</w:t>
            </w:r>
            <w:r w:rsidR="00220732">
              <w:rPr>
                <w:sz w:val="20"/>
                <w:szCs w:val="20"/>
              </w:rPr>
              <w:t>242,048,295</w:t>
            </w:r>
          </w:p>
          <w:p w14:paraId="54A6A0BB" w14:textId="5F5E41EE" w:rsidR="002A7F7D" w:rsidRPr="00E65889" w:rsidRDefault="5EFE13C4" w:rsidP="00BA7234">
            <w:pPr>
              <w:pStyle w:val="Body"/>
              <w:spacing w:after="0" w:line="240" w:lineRule="auto"/>
              <w:ind w:right="385"/>
              <w:jc w:val="center"/>
              <w:rPr>
                <w:sz w:val="20"/>
                <w:szCs w:val="20"/>
              </w:rPr>
            </w:pPr>
            <w:r w:rsidRPr="00E51F92">
              <w:rPr>
                <w:sz w:val="20"/>
                <w:szCs w:val="20"/>
              </w:rPr>
              <w:t>(</w:t>
            </w:r>
            <w:r w:rsidR="00AE647B" w:rsidRPr="00AE647B">
              <w:rPr>
                <w:sz w:val="20"/>
                <w:szCs w:val="20"/>
              </w:rPr>
              <w:t>17</w:t>
            </w:r>
            <w:r w:rsidRPr="00E51F92">
              <w:rPr>
                <w:sz w:val="20"/>
                <w:szCs w:val="20"/>
              </w:rPr>
              <w:t>%)</w:t>
            </w:r>
          </w:p>
        </w:tc>
      </w:tr>
      <w:tr w:rsidR="001A24E3" w14:paraId="5E14EC6E" w14:textId="77777777" w:rsidTr="00BA7234">
        <w:trPr>
          <w:trHeight w:val="20"/>
        </w:trPr>
        <w:tc>
          <w:tcPr>
            <w:tcW w:w="1705" w:type="dxa"/>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3B60D866" w14:textId="160BD63A" w:rsidR="00DD598C" w:rsidRPr="00E65889" w:rsidRDefault="6FE0FBA9" w:rsidP="00301093">
            <w:pPr>
              <w:pStyle w:val="Body"/>
              <w:spacing w:after="0"/>
              <w:rPr>
                <w:sz w:val="20"/>
                <w:szCs w:val="20"/>
              </w:rPr>
            </w:pPr>
            <w:r w:rsidRPr="7ACA0E52">
              <w:rPr>
                <w:b/>
                <w:bCs/>
                <w:sz w:val="20"/>
                <w:szCs w:val="20"/>
              </w:rPr>
              <w:t>BEV</w:t>
            </w:r>
          </w:p>
        </w:tc>
        <w:tc>
          <w:tcPr>
            <w:tcW w:w="3420" w:type="dxa"/>
            <w:tcBorders>
              <w:bottom w:val="single" w:sz="6" w:space="0" w:color="FFFFFF" w:themeColor="background1"/>
            </w:tcBorders>
            <w:shd w:val="clear" w:color="auto" w:fill="F2F2F2" w:themeFill="background1" w:themeFillShade="F2"/>
            <w:tcMar>
              <w:top w:w="80" w:type="dxa"/>
              <w:left w:w="80" w:type="dxa"/>
              <w:bottom w:w="80" w:type="dxa"/>
              <w:right w:w="80" w:type="dxa"/>
            </w:tcMar>
          </w:tcPr>
          <w:p w14:paraId="0E44DCFF" w14:textId="34E89AED" w:rsidR="00E10CE5" w:rsidRPr="003A15C4" w:rsidRDefault="2B285107" w:rsidP="187DA56C">
            <w:pPr>
              <w:pStyle w:val="Body"/>
              <w:spacing w:after="0" w:line="240" w:lineRule="auto"/>
              <w:jc w:val="center"/>
              <w:rPr>
                <w:sz w:val="20"/>
                <w:szCs w:val="20"/>
              </w:rPr>
            </w:pPr>
            <w:r w:rsidRPr="7ACA0E52">
              <w:rPr>
                <w:sz w:val="20"/>
                <w:szCs w:val="20"/>
              </w:rPr>
              <w:t xml:space="preserve">Standard/Increased: </w:t>
            </w:r>
          </w:p>
          <w:p w14:paraId="0D5A841E" w14:textId="5F774CCD" w:rsidR="00DD598C" w:rsidRPr="00E65889" w:rsidRDefault="005162FD" w:rsidP="00301093">
            <w:pPr>
              <w:pStyle w:val="Body"/>
              <w:spacing w:after="0"/>
              <w:jc w:val="center"/>
              <w:rPr>
                <w:sz w:val="20"/>
                <w:szCs w:val="20"/>
              </w:rPr>
            </w:pPr>
            <w:r w:rsidRPr="7ACA0E52">
              <w:rPr>
                <w:sz w:val="20"/>
                <w:szCs w:val="20"/>
              </w:rPr>
              <w:t>$2,000</w:t>
            </w:r>
            <w:r>
              <w:rPr>
                <w:sz w:val="20"/>
                <w:szCs w:val="20"/>
              </w:rPr>
              <w:t>–</w:t>
            </w:r>
            <w:r w:rsidRPr="7ACA0E52">
              <w:rPr>
                <w:sz w:val="20"/>
                <w:szCs w:val="20"/>
              </w:rPr>
              <w:t>$</w:t>
            </w:r>
            <w:r>
              <w:rPr>
                <w:sz w:val="20"/>
                <w:szCs w:val="20"/>
              </w:rPr>
              <w:t>5</w:t>
            </w:r>
            <w:r w:rsidRPr="7ACA0E52">
              <w:rPr>
                <w:sz w:val="20"/>
                <w:szCs w:val="20"/>
              </w:rPr>
              <w:t>,</w:t>
            </w:r>
            <w:r>
              <w:rPr>
                <w:sz w:val="20"/>
                <w:szCs w:val="20"/>
              </w:rPr>
              <w:t>000</w:t>
            </w:r>
            <w:r w:rsidR="478245C1" w:rsidRPr="7ACA0E52">
              <w:rPr>
                <w:sz w:val="20"/>
                <w:szCs w:val="20"/>
              </w:rPr>
              <w:t>/</w:t>
            </w:r>
            <w:r w:rsidR="00557413" w:rsidRPr="7ACA0E52">
              <w:rPr>
                <w:sz w:val="20"/>
                <w:szCs w:val="20"/>
              </w:rPr>
              <w:t>$</w:t>
            </w:r>
            <w:r w:rsidR="00557413">
              <w:rPr>
                <w:sz w:val="20"/>
                <w:szCs w:val="20"/>
              </w:rPr>
              <w:t>4</w:t>
            </w:r>
            <w:r w:rsidR="00557413" w:rsidRPr="7ACA0E52">
              <w:rPr>
                <w:sz w:val="20"/>
                <w:szCs w:val="20"/>
              </w:rPr>
              <w:t>,</w:t>
            </w:r>
            <w:r w:rsidR="00557413">
              <w:rPr>
                <w:sz w:val="20"/>
                <w:szCs w:val="20"/>
              </w:rPr>
              <w:t>0</w:t>
            </w:r>
            <w:r w:rsidR="00557413" w:rsidRPr="7ACA0E52">
              <w:rPr>
                <w:sz w:val="20"/>
                <w:szCs w:val="20"/>
              </w:rPr>
              <w:t>00</w:t>
            </w:r>
            <w:r w:rsidR="004A0D3B">
              <w:rPr>
                <w:sz w:val="20"/>
                <w:szCs w:val="20"/>
              </w:rPr>
              <w:t>–</w:t>
            </w:r>
            <w:r w:rsidR="000831CD" w:rsidRPr="7ACA0E52">
              <w:rPr>
                <w:sz w:val="20"/>
                <w:szCs w:val="20"/>
              </w:rPr>
              <w:t>$</w:t>
            </w:r>
            <w:r w:rsidR="000831CD">
              <w:rPr>
                <w:sz w:val="20"/>
                <w:szCs w:val="20"/>
              </w:rPr>
              <w:t>7</w:t>
            </w:r>
            <w:r w:rsidR="000831CD" w:rsidRPr="7ACA0E52">
              <w:rPr>
                <w:sz w:val="20"/>
                <w:szCs w:val="20"/>
              </w:rPr>
              <w:t>,</w:t>
            </w:r>
            <w:r w:rsidR="000831CD">
              <w:rPr>
                <w:sz w:val="20"/>
                <w:szCs w:val="20"/>
              </w:rPr>
              <w:t>500</w:t>
            </w:r>
          </w:p>
        </w:tc>
        <w:tc>
          <w:tcPr>
            <w:tcW w:w="2010" w:type="dxa"/>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703AA7A0" w14:textId="77777777" w:rsidR="00811FE9" w:rsidRDefault="003B7959" w:rsidP="00811FE9">
            <w:pPr>
              <w:pStyle w:val="Body"/>
              <w:spacing w:after="0" w:line="240" w:lineRule="auto"/>
              <w:jc w:val="center"/>
              <w:rPr>
                <w:sz w:val="20"/>
                <w:szCs w:val="20"/>
              </w:rPr>
            </w:pPr>
            <w:r>
              <w:rPr>
                <w:sz w:val="20"/>
                <w:szCs w:val="20"/>
              </w:rPr>
              <w:t>408,286</w:t>
            </w:r>
          </w:p>
          <w:p w14:paraId="648B3C2D" w14:textId="2B36CBF1" w:rsidR="00DD598C" w:rsidRPr="00E51F92" w:rsidRDefault="6DE5D893" w:rsidP="00811FE9">
            <w:pPr>
              <w:pStyle w:val="Body"/>
              <w:spacing w:after="0" w:line="240" w:lineRule="auto"/>
              <w:jc w:val="center"/>
              <w:rPr>
                <w:sz w:val="20"/>
                <w:szCs w:val="20"/>
              </w:rPr>
            </w:pPr>
            <w:r w:rsidRPr="00E51F92">
              <w:rPr>
                <w:sz w:val="20"/>
                <w:szCs w:val="20"/>
              </w:rPr>
              <w:t>(</w:t>
            </w:r>
            <w:r w:rsidR="00000DF3">
              <w:rPr>
                <w:sz w:val="20"/>
                <w:szCs w:val="20"/>
              </w:rPr>
              <w:t>72</w:t>
            </w:r>
            <w:r w:rsidR="00E55AA6">
              <w:rPr>
                <w:sz w:val="20"/>
                <w:szCs w:val="20"/>
              </w:rPr>
              <w:t>%</w:t>
            </w:r>
            <w:r w:rsidRPr="00E51F92">
              <w:rPr>
                <w:sz w:val="20"/>
                <w:szCs w:val="20"/>
              </w:rPr>
              <w:t>)</w:t>
            </w:r>
          </w:p>
        </w:tc>
        <w:tc>
          <w:tcPr>
            <w:tcW w:w="2230" w:type="dxa"/>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19606015" w14:textId="1C178136" w:rsidR="00E55AA6" w:rsidRDefault="6DE5D893" w:rsidP="00BA7234">
            <w:pPr>
              <w:pStyle w:val="Body"/>
              <w:spacing w:after="0" w:line="240" w:lineRule="auto"/>
              <w:ind w:right="385"/>
              <w:jc w:val="center"/>
              <w:rPr>
                <w:color w:val="auto"/>
                <w:sz w:val="20"/>
                <w:szCs w:val="20"/>
              </w:rPr>
            </w:pPr>
            <w:r w:rsidRPr="7ACA0E52">
              <w:rPr>
                <w:color w:val="auto"/>
                <w:sz w:val="20"/>
                <w:szCs w:val="20"/>
              </w:rPr>
              <w:t>$</w:t>
            </w:r>
            <w:r w:rsidR="00E67176">
              <w:rPr>
                <w:color w:val="auto"/>
                <w:sz w:val="20"/>
                <w:szCs w:val="20"/>
              </w:rPr>
              <w:t>1,133,373,299</w:t>
            </w:r>
          </w:p>
          <w:p w14:paraId="4C907CEA" w14:textId="13DCD987" w:rsidR="00DD598C" w:rsidRPr="00E51F92" w:rsidRDefault="6DE5D893" w:rsidP="00BA7234">
            <w:pPr>
              <w:pStyle w:val="Body"/>
              <w:spacing w:after="0" w:line="240" w:lineRule="auto"/>
              <w:ind w:right="385"/>
              <w:jc w:val="center"/>
              <w:rPr>
                <w:color w:val="FFFF00"/>
                <w:sz w:val="20"/>
                <w:szCs w:val="20"/>
              </w:rPr>
            </w:pPr>
            <w:r w:rsidRPr="00E51F92">
              <w:rPr>
                <w:color w:val="auto"/>
                <w:sz w:val="20"/>
                <w:szCs w:val="20"/>
              </w:rPr>
              <w:t>(</w:t>
            </w:r>
            <w:r w:rsidR="009F7C52" w:rsidRPr="009F7C52">
              <w:rPr>
                <w:color w:val="auto"/>
                <w:sz w:val="20"/>
                <w:szCs w:val="20"/>
              </w:rPr>
              <w:t>78</w:t>
            </w:r>
            <w:r w:rsidRPr="00E51F92">
              <w:rPr>
                <w:color w:val="auto"/>
                <w:sz w:val="20"/>
                <w:szCs w:val="20"/>
              </w:rPr>
              <w:t>%)</w:t>
            </w:r>
          </w:p>
        </w:tc>
      </w:tr>
      <w:tr w:rsidR="001A24E3" w14:paraId="6D0383E7" w14:textId="77777777" w:rsidTr="00BA7234">
        <w:trPr>
          <w:trHeight w:val="20"/>
        </w:trPr>
        <w:tc>
          <w:tcPr>
            <w:tcW w:w="1705" w:type="dxa"/>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63BF267A" w14:textId="120EA21E" w:rsidR="00DD598C" w:rsidRPr="00E65889" w:rsidRDefault="6FE0FBA9" w:rsidP="00301093">
            <w:pPr>
              <w:pStyle w:val="Body"/>
              <w:spacing w:after="0"/>
              <w:rPr>
                <w:sz w:val="20"/>
                <w:szCs w:val="20"/>
              </w:rPr>
            </w:pPr>
            <w:r w:rsidRPr="7ACA0E52">
              <w:rPr>
                <w:b/>
                <w:bCs/>
                <w:sz w:val="20"/>
                <w:szCs w:val="20"/>
              </w:rPr>
              <w:t>FCEV</w:t>
            </w:r>
          </w:p>
        </w:tc>
        <w:tc>
          <w:tcPr>
            <w:tcW w:w="3420" w:type="dxa"/>
            <w:tcBorders>
              <w:top w:val="single" w:sz="6" w:space="0" w:color="FFFFFF" w:themeColor="background1"/>
              <w:bottom w:val="single" w:sz="4" w:space="0" w:color="535353" w:themeColor="text2" w:themeShade="80"/>
            </w:tcBorders>
            <w:tcMar>
              <w:top w:w="80" w:type="dxa"/>
              <w:left w:w="80" w:type="dxa"/>
              <w:bottom w:w="80" w:type="dxa"/>
              <w:right w:w="80" w:type="dxa"/>
            </w:tcMar>
          </w:tcPr>
          <w:p w14:paraId="5807B7DF" w14:textId="43A8EEEF" w:rsidR="00E10CE5" w:rsidRPr="003A15C4" w:rsidRDefault="2B285107" w:rsidP="187DA56C">
            <w:pPr>
              <w:pStyle w:val="Body"/>
              <w:spacing w:after="0" w:line="240" w:lineRule="auto"/>
              <w:jc w:val="center"/>
              <w:rPr>
                <w:sz w:val="20"/>
                <w:szCs w:val="20"/>
              </w:rPr>
            </w:pPr>
            <w:r w:rsidRPr="7ACA0E52">
              <w:rPr>
                <w:sz w:val="20"/>
                <w:szCs w:val="20"/>
              </w:rPr>
              <w:t xml:space="preserve">Standard/Increased: </w:t>
            </w:r>
          </w:p>
          <w:p w14:paraId="37341374" w14:textId="2CA3012E" w:rsidR="00DD598C" w:rsidRPr="00E65889" w:rsidRDefault="00557413" w:rsidP="00301093">
            <w:pPr>
              <w:pStyle w:val="Body"/>
              <w:spacing w:after="0"/>
              <w:jc w:val="center"/>
              <w:rPr>
                <w:sz w:val="20"/>
                <w:szCs w:val="20"/>
              </w:rPr>
            </w:pPr>
            <w:r w:rsidRPr="7ACA0E52">
              <w:rPr>
                <w:sz w:val="20"/>
                <w:szCs w:val="20"/>
              </w:rPr>
              <w:t>$</w:t>
            </w:r>
            <w:r>
              <w:rPr>
                <w:sz w:val="20"/>
                <w:szCs w:val="20"/>
              </w:rPr>
              <w:t>2</w:t>
            </w:r>
            <w:r w:rsidRPr="7ACA0E52">
              <w:rPr>
                <w:sz w:val="20"/>
                <w:szCs w:val="20"/>
              </w:rPr>
              <w:t>,500</w:t>
            </w:r>
            <w:r w:rsidR="004A0D3B">
              <w:rPr>
                <w:sz w:val="20"/>
                <w:szCs w:val="20"/>
              </w:rPr>
              <w:t>–</w:t>
            </w:r>
            <w:r w:rsidR="004A0D3B" w:rsidRPr="7ACA0E52">
              <w:rPr>
                <w:sz w:val="20"/>
                <w:szCs w:val="20"/>
              </w:rPr>
              <w:t>$</w:t>
            </w:r>
            <w:r w:rsidR="004735F7">
              <w:rPr>
                <w:sz w:val="20"/>
                <w:szCs w:val="20"/>
              </w:rPr>
              <w:t>5</w:t>
            </w:r>
            <w:r w:rsidR="004A0D3B" w:rsidRPr="7ACA0E52">
              <w:rPr>
                <w:sz w:val="20"/>
                <w:szCs w:val="20"/>
              </w:rPr>
              <w:t>,</w:t>
            </w:r>
            <w:r w:rsidR="004735F7">
              <w:rPr>
                <w:sz w:val="20"/>
                <w:szCs w:val="20"/>
              </w:rPr>
              <w:t>000</w:t>
            </w:r>
            <w:r w:rsidR="478245C1" w:rsidRPr="7ACA0E52">
              <w:rPr>
                <w:sz w:val="20"/>
                <w:szCs w:val="20"/>
              </w:rPr>
              <w:t>/$</w:t>
            </w:r>
            <w:r w:rsidR="000E0B4B">
              <w:rPr>
                <w:sz w:val="20"/>
                <w:szCs w:val="20"/>
              </w:rPr>
              <w:t>6</w:t>
            </w:r>
            <w:r w:rsidR="478245C1" w:rsidRPr="7ACA0E52">
              <w:rPr>
                <w:sz w:val="20"/>
                <w:szCs w:val="20"/>
              </w:rPr>
              <w:t>,</w:t>
            </w:r>
            <w:r w:rsidR="000E0B4B">
              <w:rPr>
                <w:sz w:val="20"/>
                <w:szCs w:val="20"/>
              </w:rPr>
              <w:t>5</w:t>
            </w:r>
            <w:r w:rsidR="000E0B4B" w:rsidRPr="7ACA0E52">
              <w:rPr>
                <w:sz w:val="20"/>
                <w:szCs w:val="20"/>
              </w:rPr>
              <w:t>00</w:t>
            </w:r>
            <w:r w:rsidR="004A0D3B">
              <w:rPr>
                <w:sz w:val="20"/>
                <w:szCs w:val="20"/>
              </w:rPr>
              <w:t>–</w:t>
            </w:r>
            <w:r w:rsidR="004A0D3B" w:rsidRPr="7ACA0E52">
              <w:rPr>
                <w:sz w:val="20"/>
                <w:szCs w:val="20"/>
              </w:rPr>
              <w:t>$</w:t>
            </w:r>
            <w:r w:rsidR="000E0B4B">
              <w:rPr>
                <w:sz w:val="20"/>
                <w:szCs w:val="20"/>
              </w:rPr>
              <w:t>7</w:t>
            </w:r>
            <w:r w:rsidR="004A0D3B" w:rsidRPr="7ACA0E52">
              <w:rPr>
                <w:sz w:val="20"/>
                <w:szCs w:val="20"/>
              </w:rPr>
              <w:t>,</w:t>
            </w:r>
            <w:r w:rsidR="000E0B4B">
              <w:rPr>
                <w:sz w:val="20"/>
                <w:szCs w:val="20"/>
              </w:rPr>
              <w:t>500</w:t>
            </w:r>
          </w:p>
        </w:tc>
        <w:tc>
          <w:tcPr>
            <w:tcW w:w="2010" w:type="dxa"/>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0E327426" w14:textId="321D4DC4" w:rsidR="00DD598C" w:rsidRPr="00E51F92" w:rsidRDefault="00811AF0" w:rsidP="00501B42">
            <w:pPr>
              <w:pStyle w:val="Body"/>
              <w:spacing w:after="0" w:line="240" w:lineRule="auto"/>
              <w:jc w:val="center"/>
              <w:rPr>
                <w:sz w:val="20"/>
                <w:szCs w:val="20"/>
              </w:rPr>
            </w:pPr>
            <w:r>
              <w:rPr>
                <w:sz w:val="20"/>
                <w:szCs w:val="20"/>
              </w:rPr>
              <w:t>13,910</w:t>
            </w:r>
          </w:p>
          <w:p w14:paraId="63DB09A7" w14:textId="2EDDCE22" w:rsidR="00DD598C" w:rsidRPr="00E65889" w:rsidRDefault="6FE0FBA9" w:rsidP="00301093">
            <w:pPr>
              <w:pStyle w:val="Body"/>
              <w:spacing w:after="0"/>
              <w:jc w:val="center"/>
              <w:rPr>
                <w:sz w:val="20"/>
                <w:szCs w:val="20"/>
              </w:rPr>
            </w:pPr>
            <w:r w:rsidRPr="00E51F92">
              <w:rPr>
                <w:sz w:val="20"/>
                <w:szCs w:val="20"/>
              </w:rPr>
              <w:t>(</w:t>
            </w:r>
            <w:r w:rsidR="00000DF3">
              <w:rPr>
                <w:sz w:val="20"/>
                <w:szCs w:val="20"/>
              </w:rPr>
              <w:t>2</w:t>
            </w:r>
            <w:r w:rsidRPr="00E51F92">
              <w:rPr>
                <w:sz w:val="20"/>
                <w:szCs w:val="20"/>
              </w:rPr>
              <w:t>%)</w:t>
            </w:r>
          </w:p>
        </w:tc>
        <w:tc>
          <w:tcPr>
            <w:tcW w:w="2230" w:type="dxa"/>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1456B153" w14:textId="77833908" w:rsidR="00E55AA6" w:rsidRDefault="6FE0FBA9" w:rsidP="00BA7234">
            <w:pPr>
              <w:pStyle w:val="Body"/>
              <w:spacing w:after="0" w:line="240" w:lineRule="auto"/>
              <w:ind w:right="385"/>
              <w:jc w:val="center"/>
              <w:rPr>
                <w:sz w:val="20"/>
                <w:szCs w:val="20"/>
              </w:rPr>
            </w:pPr>
            <w:r w:rsidRPr="7ACA0E52">
              <w:rPr>
                <w:sz w:val="20"/>
                <w:szCs w:val="20"/>
              </w:rPr>
              <w:t>$</w:t>
            </w:r>
            <w:r w:rsidR="00B53051">
              <w:rPr>
                <w:sz w:val="20"/>
                <w:szCs w:val="20"/>
              </w:rPr>
              <w:t>71,234,818</w:t>
            </w:r>
          </w:p>
          <w:p w14:paraId="650E3491" w14:textId="5B7CA6CB" w:rsidR="00DD598C" w:rsidRPr="00E65889" w:rsidRDefault="6FE0FBA9" w:rsidP="00BA7234">
            <w:pPr>
              <w:pStyle w:val="Body"/>
              <w:spacing w:after="0" w:line="240" w:lineRule="auto"/>
              <w:ind w:right="385"/>
              <w:jc w:val="center"/>
              <w:rPr>
                <w:sz w:val="20"/>
                <w:szCs w:val="20"/>
              </w:rPr>
            </w:pPr>
            <w:r w:rsidRPr="00E51F92">
              <w:rPr>
                <w:sz w:val="20"/>
                <w:szCs w:val="20"/>
              </w:rPr>
              <w:t>(</w:t>
            </w:r>
            <w:r w:rsidR="00AE647B" w:rsidRPr="00AE647B">
              <w:rPr>
                <w:sz w:val="20"/>
                <w:szCs w:val="20"/>
              </w:rPr>
              <w:t>5</w:t>
            </w:r>
            <w:r w:rsidRPr="00E51F92">
              <w:rPr>
                <w:sz w:val="20"/>
                <w:szCs w:val="20"/>
              </w:rPr>
              <w:t>%)</w:t>
            </w:r>
          </w:p>
        </w:tc>
      </w:tr>
      <w:tr w:rsidR="00301093" w14:paraId="445D8F57" w14:textId="77777777" w:rsidTr="00BA7234">
        <w:trPr>
          <w:trHeight w:val="20"/>
        </w:trPr>
        <w:tc>
          <w:tcPr>
            <w:tcW w:w="1705" w:type="dxa"/>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0B47B42D" w14:textId="00278541" w:rsidR="00301093" w:rsidRPr="003A15C4" w:rsidRDefault="199701CB" w:rsidP="187DA56C">
            <w:pPr>
              <w:pStyle w:val="Body"/>
              <w:spacing w:after="0"/>
              <w:rPr>
                <w:b/>
                <w:sz w:val="20"/>
                <w:szCs w:val="20"/>
              </w:rPr>
            </w:pPr>
            <w:r w:rsidRPr="7ACA0E52">
              <w:rPr>
                <w:b/>
                <w:bCs/>
                <w:sz w:val="20"/>
                <w:szCs w:val="20"/>
              </w:rPr>
              <w:t>All</w:t>
            </w:r>
          </w:p>
        </w:tc>
        <w:tc>
          <w:tcPr>
            <w:tcW w:w="3420" w:type="dxa"/>
            <w:tcBorders>
              <w:top w:val="single" w:sz="4" w:space="0" w:color="535353" w:themeColor="text2" w:themeShade="80"/>
            </w:tcBorders>
            <w:shd w:val="clear" w:color="auto" w:fill="F2F2F2" w:themeFill="background1" w:themeFillShade="F2"/>
            <w:tcMar>
              <w:top w:w="80" w:type="dxa"/>
              <w:left w:w="80" w:type="dxa"/>
              <w:bottom w:w="80" w:type="dxa"/>
              <w:right w:w="80" w:type="dxa"/>
            </w:tcMar>
          </w:tcPr>
          <w:p w14:paraId="6F9557CC" w14:textId="13CF6585" w:rsidR="00301093" w:rsidRPr="003A15C4" w:rsidRDefault="199701CB" w:rsidP="187DA56C">
            <w:pPr>
              <w:pStyle w:val="Body"/>
              <w:spacing w:after="0" w:line="240" w:lineRule="auto"/>
              <w:jc w:val="center"/>
              <w:rPr>
                <w:b/>
                <w:sz w:val="20"/>
                <w:szCs w:val="20"/>
              </w:rPr>
            </w:pPr>
            <w:r w:rsidRPr="7ACA0E52">
              <w:rPr>
                <w:b/>
                <w:bCs/>
                <w:sz w:val="20"/>
                <w:szCs w:val="20"/>
              </w:rPr>
              <w:t xml:space="preserve">Standard/Increased: </w:t>
            </w:r>
          </w:p>
          <w:p w14:paraId="58D7E123" w14:textId="73DA72DB" w:rsidR="00301093" w:rsidRPr="00301093" w:rsidRDefault="750AEED1" w:rsidP="00301093">
            <w:pPr>
              <w:pStyle w:val="Body"/>
              <w:spacing w:after="0" w:line="240" w:lineRule="auto"/>
              <w:jc w:val="center"/>
              <w:rPr>
                <w:b/>
                <w:bCs/>
                <w:sz w:val="20"/>
                <w:szCs w:val="20"/>
              </w:rPr>
            </w:pPr>
            <w:r w:rsidRPr="7ACA0E52">
              <w:rPr>
                <w:b/>
                <w:bCs/>
                <w:sz w:val="20"/>
                <w:szCs w:val="20"/>
              </w:rPr>
              <w:t>$1,000</w:t>
            </w:r>
            <w:r w:rsidR="00731911" w:rsidRPr="00A75DF5">
              <w:rPr>
                <w:b/>
                <w:bCs/>
                <w:sz w:val="20"/>
                <w:szCs w:val="20"/>
              </w:rPr>
              <w:t>–$</w:t>
            </w:r>
            <w:r w:rsidR="009A7DE8">
              <w:rPr>
                <w:b/>
                <w:bCs/>
                <w:sz w:val="20"/>
                <w:szCs w:val="20"/>
              </w:rPr>
              <w:t>5</w:t>
            </w:r>
            <w:r w:rsidR="00731911" w:rsidRPr="00A75DF5">
              <w:rPr>
                <w:b/>
                <w:bCs/>
                <w:sz w:val="20"/>
                <w:szCs w:val="20"/>
              </w:rPr>
              <w:t>,</w:t>
            </w:r>
            <w:r w:rsidR="009A7DE8">
              <w:rPr>
                <w:b/>
                <w:bCs/>
                <w:sz w:val="20"/>
                <w:szCs w:val="20"/>
              </w:rPr>
              <w:t>000</w:t>
            </w:r>
            <w:r w:rsidRPr="7ACA0E52">
              <w:rPr>
                <w:b/>
                <w:bCs/>
                <w:sz w:val="20"/>
                <w:szCs w:val="20"/>
              </w:rPr>
              <w:t>/$</w:t>
            </w:r>
            <w:r w:rsidR="009A7DE8">
              <w:rPr>
                <w:b/>
                <w:bCs/>
                <w:sz w:val="20"/>
                <w:szCs w:val="20"/>
              </w:rPr>
              <w:t>3</w:t>
            </w:r>
            <w:r w:rsidRPr="7ACA0E52">
              <w:rPr>
                <w:b/>
                <w:bCs/>
                <w:sz w:val="20"/>
                <w:szCs w:val="20"/>
              </w:rPr>
              <w:t>,000</w:t>
            </w:r>
            <w:r w:rsidR="00A75DF5" w:rsidRPr="00A75DF5">
              <w:rPr>
                <w:b/>
                <w:bCs/>
                <w:sz w:val="20"/>
                <w:szCs w:val="20"/>
              </w:rPr>
              <w:t>–$</w:t>
            </w:r>
            <w:r w:rsidR="009A7DE8">
              <w:rPr>
                <w:b/>
                <w:bCs/>
                <w:sz w:val="20"/>
                <w:szCs w:val="20"/>
              </w:rPr>
              <w:t>7</w:t>
            </w:r>
            <w:r w:rsidR="00A75DF5" w:rsidRPr="00A75DF5">
              <w:rPr>
                <w:b/>
                <w:bCs/>
                <w:sz w:val="20"/>
                <w:szCs w:val="20"/>
              </w:rPr>
              <w:t>,</w:t>
            </w:r>
            <w:r w:rsidR="009A7DE8">
              <w:rPr>
                <w:b/>
                <w:bCs/>
                <w:sz w:val="20"/>
                <w:szCs w:val="20"/>
              </w:rPr>
              <w:t>500</w:t>
            </w:r>
          </w:p>
        </w:tc>
        <w:tc>
          <w:tcPr>
            <w:tcW w:w="2010" w:type="dxa"/>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68A5756E" w14:textId="1B3971D9" w:rsidR="00A75DF5" w:rsidRPr="00633004" w:rsidRDefault="00811AF0" w:rsidP="00301093">
            <w:pPr>
              <w:pStyle w:val="Body"/>
              <w:spacing w:after="0" w:line="240" w:lineRule="auto"/>
              <w:jc w:val="center"/>
              <w:rPr>
                <w:b/>
                <w:bCs/>
                <w:sz w:val="20"/>
                <w:szCs w:val="20"/>
              </w:rPr>
            </w:pPr>
            <w:r w:rsidRPr="00633004">
              <w:rPr>
                <w:b/>
                <w:bCs/>
                <w:sz w:val="20"/>
                <w:szCs w:val="20"/>
              </w:rPr>
              <w:t>570,668</w:t>
            </w:r>
          </w:p>
          <w:p w14:paraId="6CE4DDCB" w14:textId="7BDD0212" w:rsidR="00301093" w:rsidRPr="00301093" w:rsidRDefault="462D183E" w:rsidP="00301093">
            <w:pPr>
              <w:pStyle w:val="Body"/>
              <w:spacing w:after="0" w:line="240" w:lineRule="auto"/>
              <w:jc w:val="center"/>
              <w:rPr>
                <w:b/>
                <w:bCs/>
                <w:sz w:val="20"/>
                <w:szCs w:val="20"/>
              </w:rPr>
            </w:pPr>
            <w:r w:rsidRPr="00E51F92">
              <w:rPr>
                <w:b/>
                <w:sz w:val="20"/>
                <w:szCs w:val="20"/>
              </w:rPr>
              <w:t>(100%)</w:t>
            </w:r>
          </w:p>
        </w:tc>
        <w:tc>
          <w:tcPr>
            <w:tcW w:w="2230" w:type="dxa"/>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1336057F" w14:textId="76F31DF6" w:rsidR="00301093" w:rsidRPr="00A75DF5" w:rsidRDefault="462D183E" w:rsidP="00BA7234">
            <w:pPr>
              <w:pStyle w:val="Body"/>
              <w:spacing w:after="0" w:line="240" w:lineRule="auto"/>
              <w:ind w:right="385"/>
              <w:jc w:val="center"/>
              <w:rPr>
                <w:b/>
                <w:bCs/>
                <w:color w:val="auto"/>
                <w:sz w:val="20"/>
                <w:szCs w:val="20"/>
              </w:rPr>
            </w:pPr>
            <w:r w:rsidRPr="7ACA0E52">
              <w:rPr>
                <w:b/>
                <w:bCs/>
                <w:color w:val="auto"/>
                <w:sz w:val="20"/>
                <w:szCs w:val="20"/>
              </w:rPr>
              <w:t>$</w:t>
            </w:r>
            <w:r w:rsidR="00D14490" w:rsidRPr="00633004">
              <w:rPr>
                <w:b/>
                <w:bCs/>
                <w:sz w:val="20"/>
                <w:szCs w:val="20"/>
              </w:rPr>
              <w:t>1,446,656,412</w:t>
            </w:r>
          </w:p>
          <w:p w14:paraId="231DAC09" w14:textId="6A315A46" w:rsidR="00301093" w:rsidRPr="00301093" w:rsidRDefault="462D183E" w:rsidP="00BA7234">
            <w:pPr>
              <w:pStyle w:val="Body"/>
              <w:spacing w:after="0" w:line="240" w:lineRule="auto"/>
              <w:ind w:right="385"/>
              <w:jc w:val="center"/>
              <w:rPr>
                <w:b/>
                <w:bCs/>
                <w:color w:val="00B0F0"/>
                <w:sz w:val="20"/>
                <w:szCs w:val="20"/>
              </w:rPr>
            </w:pPr>
            <w:r w:rsidRPr="7ACA0E52">
              <w:rPr>
                <w:b/>
                <w:bCs/>
                <w:color w:val="auto"/>
                <w:sz w:val="20"/>
                <w:szCs w:val="20"/>
              </w:rPr>
              <w:t>(100%)</w:t>
            </w:r>
          </w:p>
        </w:tc>
      </w:tr>
    </w:tbl>
    <w:p w14:paraId="4470D212" w14:textId="5E46738E" w:rsidR="00DD598C" w:rsidRDefault="42A97F08" w:rsidP="001A24E3">
      <w:pPr>
        <w:rPr>
          <w:rStyle w:val="Bold"/>
        </w:rPr>
      </w:pPr>
      <w:r>
        <w:lastRenderedPageBreak/>
        <w:t xml:space="preserve">As detailed in </w:t>
      </w:r>
      <w:r w:rsidR="0023364B">
        <w:t xml:space="preserve">Table </w:t>
      </w:r>
      <w:r w:rsidR="0023364B">
        <w:rPr>
          <w:noProof/>
        </w:rPr>
        <w:t>1</w:t>
      </w:r>
      <w:r w:rsidR="00F74E63">
        <w:t xml:space="preserve"> </w:t>
      </w:r>
      <w:r>
        <w:t xml:space="preserve">and </w:t>
      </w:r>
      <w:r w:rsidR="0023364B">
        <w:t xml:space="preserve">Table </w:t>
      </w:r>
      <w:r w:rsidR="0023364B">
        <w:rPr>
          <w:noProof/>
        </w:rPr>
        <w:t>2</w:t>
      </w:r>
      <w:r>
        <w:t xml:space="preserve">, </w:t>
      </w:r>
      <w:r w:rsidR="00AC56B6">
        <w:t>personal</w:t>
      </w:r>
      <w:r>
        <w:t xml:space="preserve"> consumers received one of two rebate types: Standard Rebates and Increased Rebates for </w:t>
      </w:r>
      <w:r w:rsidR="00A80541">
        <w:t>l</w:t>
      </w:r>
      <w:r>
        <w:t>ow-/</w:t>
      </w:r>
      <w:r w:rsidR="00A80541">
        <w:t>m</w:t>
      </w:r>
      <w:r>
        <w:t>oderate-</w:t>
      </w:r>
      <w:r w:rsidR="001005B7">
        <w:t>i</w:t>
      </w:r>
      <w:r>
        <w:t xml:space="preserve">ncome </w:t>
      </w:r>
      <w:r w:rsidR="001005B7">
        <w:t>c</w:t>
      </w:r>
      <w:r>
        <w:t xml:space="preserve">onsumers </w:t>
      </w:r>
      <w:r w:rsidR="00FD2EAE" w:rsidRPr="00FD2EAE">
        <w:rPr>
          <w:rFonts w:cs="Calibri"/>
        </w:rPr>
        <w:t>(CSE, 2021)</w:t>
      </w:r>
      <w:r>
        <w:t>.</w:t>
      </w:r>
      <w:r w:rsidR="001E1FC6">
        <w:t xml:space="preserve"> Increased Rebates were introduced </w:t>
      </w:r>
      <w:r w:rsidR="00962517">
        <w:t xml:space="preserve">to the program </w:t>
      </w:r>
      <w:r w:rsidR="006C3846">
        <w:t>in March 2016</w:t>
      </w:r>
      <w:r w:rsidR="000E25B7">
        <w:t xml:space="preserve"> to broaden inclusion</w:t>
      </w:r>
      <w:r w:rsidR="006C3846">
        <w:t>.</w:t>
      </w:r>
    </w:p>
    <w:p w14:paraId="3737E31E" w14:textId="02CD01B6" w:rsidR="00DD598C" w:rsidRPr="00B90CFD" w:rsidRDefault="00F74E63" w:rsidP="00F74E63">
      <w:pPr>
        <w:pStyle w:val="TableFigureNumber0"/>
        <w:rPr>
          <w:b/>
          <w:bCs/>
          <w:color w:val="0579BD"/>
        </w:rPr>
      </w:pPr>
      <w:bookmarkStart w:id="11" w:name="_Ref216033195"/>
      <w:r w:rsidRPr="00B90CFD">
        <w:rPr>
          <w:color w:val="0579BD"/>
        </w:rPr>
        <w:t xml:space="preserve">Table </w:t>
      </w:r>
      <w:r w:rsidR="0023364B" w:rsidRPr="00B90CFD">
        <w:rPr>
          <w:noProof/>
          <w:color w:val="0579BD"/>
        </w:rPr>
        <w:t>2</w:t>
      </w:r>
      <w:bookmarkEnd w:id="11"/>
    </w:p>
    <w:p w14:paraId="7610C2EC" w14:textId="5B0C3621" w:rsidR="00DD598C" w:rsidRDefault="4F04D5ED" w:rsidP="187DA56C">
      <w:pPr>
        <w:pStyle w:val="TableFigureheader"/>
      </w:pPr>
      <w:r>
        <w:t>Rebates by Vehicle Rebate Type</w:t>
      </w:r>
    </w:p>
    <w:p w14:paraId="061F79D6" w14:textId="0764E144" w:rsidR="00A03312" w:rsidRPr="003A15C4" w:rsidRDefault="00A03312" w:rsidP="004600C1">
      <w:pPr>
        <w:pStyle w:val="TableFigureSubtitle"/>
        <w:rPr>
          <w:rStyle w:val="Bold"/>
        </w:rPr>
      </w:pPr>
      <w:r>
        <w:t>Personal Consumers</w:t>
      </w:r>
    </w:p>
    <w:tbl>
      <w:tblPr>
        <w:tblpPr w:leftFromText="187" w:rightFromText="187" w:topFromText="29" w:bottomFromText="29" w:vertAnchor="text" w:horzAnchor="margin" w:tblpY="59"/>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1885"/>
        <w:gridCol w:w="1890"/>
        <w:gridCol w:w="2700"/>
        <w:gridCol w:w="2610"/>
      </w:tblGrid>
      <w:tr w:rsidR="001A24E3" w14:paraId="4837FBF1" w14:textId="77777777" w:rsidTr="000C1746">
        <w:trPr>
          <w:trHeight w:val="260"/>
        </w:trPr>
        <w:tc>
          <w:tcPr>
            <w:tcW w:w="1885" w:type="dxa"/>
            <w:shd w:val="clear" w:color="auto" w:fill="3C3A4C"/>
            <w:tcMar>
              <w:top w:w="80" w:type="dxa"/>
              <w:left w:w="80" w:type="dxa"/>
              <w:bottom w:w="80" w:type="dxa"/>
              <w:right w:w="80" w:type="dxa"/>
            </w:tcMar>
          </w:tcPr>
          <w:p w14:paraId="7C12CD72" w14:textId="2B8D7905" w:rsidR="00DD598C" w:rsidRPr="003A15C4" w:rsidRDefault="4BDE0D6D" w:rsidP="187DA56C">
            <w:pPr>
              <w:pStyle w:val="Body"/>
              <w:keepNext/>
              <w:keepLines/>
              <w:spacing w:after="0" w:line="240" w:lineRule="auto"/>
              <w:rPr>
                <w:sz w:val="20"/>
                <w:szCs w:val="20"/>
              </w:rPr>
            </w:pPr>
            <w:r w:rsidRPr="7ACA0E52">
              <w:rPr>
                <w:b/>
                <w:bCs/>
                <w:color w:val="FFFFFF" w:themeColor="background1"/>
                <w:sz w:val="20"/>
                <w:szCs w:val="20"/>
              </w:rPr>
              <w:t>Rebate Type</w:t>
            </w:r>
          </w:p>
        </w:tc>
        <w:tc>
          <w:tcPr>
            <w:tcW w:w="1890" w:type="dxa"/>
            <w:shd w:val="clear" w:color="auto" w:fill="3C3A4C"/>
            <w:tcMar>
              <w:top w:w="80" w:type="dxa"/>
              <w:left w:w="80" w:type="dxa"/>
              <w:bottom w:w="80" w:type="dxa"/>
              <w:right w:w="80" w:type="dxa"/>
            </w:tcMar>
          </w:tcPr>
          <w:p w14:paraId="78607609" w14:textId="77777777" w:rsidR="00DD598C" w:rsidRPr="003A15C4" w:rsidRDefault="4BDE0D6D" w:rsidP="187DA56C">
            <w:pPr>
              <w:pStyle w:val="Body"/>
              <w:keepNext/>
              <w:keepLines/>
              <w:spacing w:after="0" w:line="240" w:lineRule="auto"/>
              <w:jc w:val="center"/>
              <w:rPr>
                <w:sz w:val="20"/>
                <w:szCs w:val="20"/>
              </w:rPr>
            </w:pPr>
            <w:r w:rsidRPr="7ACA0E52">
              <w:rPr>
                <w:b/>
                <w:bCs/>
                <w:color w:val="FFFFFF" w:themeColor="background1"/>
                <w:sz w:val="20"/>
                <w:szCs w:val="20"/>
              </w:rPr>
              <w:t>Rebate Amount</w:t>
            </w:r>
          </w:p>
        </w:tc>
        <w:tc>
          <w:tcPr>
            <w:tcW w:w="2700" w:type="dxa"/>
            <w:shd w:val="clear" w:color="auto" w:fill="3C3A4C"/>
            <w:tcMar>
              <w:top w:w="80" w:type="dxa"/>
              <w:left w:w="80" w:type="dxa"/>
              <w:bottom w:w="80" w:type="dxa"/>
              <w:right w:w="80" w:type="dxa"/>
            </w:tcMar>
          </w:tcPr>
          <w:p w14:paraId="693CE769" w14:textId="77777777" w:rsidR="00DD598C" w:rsidRDefault="4BDE0D6D" w:rsidP="187DA56C">
            <w:pPr>
              <w:pStyle w:val="Body"/>
              <w:keepNext/>
              <w:keepLines/>
              <w:spacing w:after="0" w:line="240" w:lineRule="auto"/>
              <w:jc w:val="center"/>
              <w:rPr>
                <w:b/>
                <w:bCs/>
                <w:color w:val="FFFFFF" w:themeColor="background1"/>
                <w:sz w:val="20"/>
                <w:szCs w:val="20"/>
              </w:rPr>
            </w:pPr>
            <w:r w:rsidRPr="7ACA0E52">
              <w:rPr>
                <w:b/>
                <w:bCs/>
                <w:color w:val="FFFFFF" w:themeColor="background1"/>
                <w:sz w:val="20"/>
                <w:szCs w:val="20"/>
              </w:rPr>
              <w:t>Rebate Counts</w:t>
            </w:r>
          </w:p>
          <w:p w14:paraId="279D3F91" w14:textId="73C9E856" w:rsidR="002D756B" w:rsidRPr="003A15C4" w:rsidRDefault="002D756B" w:rsidP="187DA56C">
            <w:pPr>
              <w:pStyle w:val="Body"/>
              <w:keepNext/>
              <w:keepLines/>
              <w:spacing w:after="0" w:line="240" w:lineRule="auto"/>
              <w:jc w:val="center"/>
              <w:rPr>
                <w:sz w:val="20"/>
                <w:szCs w:val="20"/>
              </w:rPr>
            </w:pPr>
            <w:r>
              <w:rPr>
                <w:b/>
                <w:bCs/>
                <w:color w:val="FFFFFF" w:themeColor="background1"/>
                <w:sz w:val="20"/>
                <w:szCs w:val="20"/>
              </w:rPr>
              <w:t>(201</w:t>
            </w:r>
            <w:r w:rsidR="00E52575">
              <w:rPr>
                <w:b/>
                <w:bCs/>
                <w:color w:val="FFFFFF" w:themeColor="background1"/>
                <w:sz w:val="20"/>
                <w:szCs w:val="20"/>
              </w:rPr>
              <w:t>0–2023)</w:t>
            </w:r>
          </w:p>
        </w:tc>
        <w:tc>
          <w:tcPr>
            <w:tcW w:w="2610" w:type="dxa"/>
            <w:shd w:val="clear" w:color="auto" w:fill="3C3A4C"/>
            <w:tcMar>
              <w:top w:w="80" w:type="dxa"/>
              <w:left w:w="80" w:type="dxa"/>
              <w:bottom w:w="80" w:type="dxa"/>
              <w:right w:w="80" w:type="dxa"/>
            </w:tcMar>
          </w:tcPr>
          <w:p w14:paraId="5EB3E269" w14:textId="77777777" w:rsidR="00DD598C" w:rsidRDefault="4BDE0D6D" w:rsidP="187DA56C">
            <w:pPr>
              <w:pStyle w:val="Body"/>
              <w:keepNext/>
              <w:keepLines/>
              <w:spacing w:after="0" w:line="240" w:lineRule="auto"/>
              <w:jc w:val="center"/>
              <w:rPr>
                <w:b/>
                <w:bCs/>
                <w:color w:val="FFFFFF" w:themeColor="background1"/>
                <w:sz w:val="20"/>
                <w:szCs w:val="20"/>
              </w:rPr>
            </w:pPr>
            <w:r w:rsidRPr="7ACA0E52">
              <w:rPr>
                <w:b/>
                <w:bCs/>
                <w:color w:val="FFFFFF" w:themeColor="background1"/>
                <w:sz w:val="20"/>
                <w:szCs w:val="20"/>
              </w:rPr>
              <w:t>Total Rebate Dollars</w:t>
            </w:r>
          </w:p>
          <w:p w14:paraId="569C60BC" w14:textId="5DC96520" w:rsidR="00E52575" w:rsidRPr="003A15C4" w:rsidRDefault="00E52575" w:rsidP="187DA56C">
            <w:pPr>
              <w:pStyle w:val="Body"/>
              <w:keepNext/>
              <w:keepLines/>
              <w:spacing w:after="0" w:line="240" w:lineRule="auto"/>
              <w:jc w:val="center"/>
              <w:rPr>
                <w:sz w:val="20"/>
                <w:szCs w:val="20"/>
              </w:rPr>
            </w:pPr>
            <w:r>
              <w:rPr>
                <w:b/>
                <w:bCs/>
                <w:color w:val="FFFFFF" w:themeColor="background1"/>
                <w:sz w:val="20"/>
                <w:szCs w:val="20"/>
              </w:rPr>
              <w:t>(2010–2023)</w:t>
            </w:r>
          </w:p>
        </w:tc>
      </w:tr>
      <w:tr w:rsidR="001A24E3" w14:paraId="7ABCE002" w14:textId="77777777" w:rsidTr="000C1746">
        <w:trPr>
          <w:trHeight w:val="280"/>
        </w:trPr>
        <w:tc>
          <w:tcPr>
            <w:tcW w:w="1885" w:type="dxa"/>
            <w:tcBorders>
              <w:bottom w:val="single" w:sz="6" w:space="0" w:color="FFFFFF" w:themeColor="background1"/>
            </w:tcBorders>
            <w:tcMar>
              <w:top w:w="80" w:type="dxa"/>
              <w:left w:w="80" w:type="dxa"/>
              <w:bottom w:w="80" w:type="dxa"/>
              <w:right w:w="80" w:type="dxa"/>
            </w:tcMar>
            <w:vAlign w:val="center"/>
          </w:tcPr>
          <w:p w14:paraId="6C6DEBD2" w14:textId="77777777" w:rsidR="00AB049B" w:rsidRDefault="6FE0FBA9" w:rsidP="0089001B">
            <w:pPr>
              <w:pStyle w:val="Body"/>
              <w:keepNext/>
              <w:keepLines/>
              <w:spacing w:after="0"/>
              <w:rPr>
                <w:b/>
                <w:bCs/>
                <w:sz w:val="20"/>
                <w:szCs w:val="20"/>
              </w:rPr>
            </w:pPr>
            <w:r w:rsidRPr="7ACA0E52">
              <w:rPr>
                <w:b/>
                <w:bCs/>
                <w:sz w:val="20"/>
                <w:szCs w:val="20"/>
              </w:rPr>
              <w:t>Standard</w:t>
            </w:r>
            <w:r w:rsidR="00AB049B">
              <w:rPr>
                <w:b/>
                <w:bCs/>
                <w:sz w:val="20"/>
                <w:szCs w:val="20"/>
              </w:rPr>
              <w:t xml:space="preserve"> </w:t>
            </w:r>
          </w:p>
          <w:p w14:paraId="26C918C1" w14:textId="6370760E" w:rsidR="00DD598C" w:rsidRPr="00E65889" w:rsidRDefault="00AB049B" w:rsidP="0089001B">
            <w:pPr>
              <w:pStyle w:val="Body"/>
              <w:keepNext/>
              <w:keepLines/>
              <w:spacing w:after="0"/>
              <w:rPr>
                <w:sz w:val="20"/>
                <w:szCs w:val="20"/>
              </w:rPr>
            </w:pPr>
            <w:r>
              <w:rPr>
                <w:b/>
                <w:bCs/>
                <w:sz w:val="20"/>
                <w:szCs w:val="20"/>
              </w:rPr>
              <w:t>(2010–2023)</w:t>
            </w:r>
          </w:p>
        </w:tc>
        <w:tc>
          <w:tcPr>
            <w:tcW w:w="1890" w:type="dxa"/>
            <w:tcBorders>
              <w:bottom w:val="single" w:sz="6" w:space="0" w:color="FFFFFF" w:themeColor="background1"/>
            </w:tcBorders>
            <w:tcMar>
              <w:top w:w="80" w:type="dxa"/>
              <w:left w:w="80" w:type="dxa"/>
              <w:bottom w:w="80" w:type="dxa"/>
              <w:right w:w="80" w:type="dxa"/>
            </w:tcMar>
            <w:vAlign w:val="center"/>
          </w:tcPr>
          <w:p w14:paraId="7DA83D49" w14:textId="106FFBE4" w:rsidR="00DD598C" w:rsidRPr="00E65889" w:rsidRDefault="005162FD" w:rsidP="00395DAC">
            <w:pPr>
              <w:pStyle w:val="Body"/>
              <w:keepNext/>
              <w:keepLines/>
              <w:spacing w:after="0" w:line="240" w:lineRule="auto"/>
              <w:jc w:val="center"/>
              <w:rPr>
                <w:sz w:val="20"/>
                <w:szCs w:val="20"/>
              </w:rPr>
            </w:pPr>
            <w:r w:rsidRPr="7ACA0E52">
              <w:rPr>
                <w:sz w:val="20"/>
                <w:szCs w:val="20"/>
              </w:rPr>
              <w:t>$</w:t>
            </w:r>
            <w:r>
              <w:rPr>
                <w:sz w:val="20"/>
                <w:szCs w:val="20"/>
              </w:rPr>
              <w:t>1</w:t>
            </w:r>
            <w:r w:rsidRPr="7ACA0E52">
              <w:rPr>
                <w:sz w:val="20"/>
                <w:szCs w:val="20"/>
              </w:rPr>
              <w:t>,000</w:t>
            </w:r>
            <w:r>
              <w:rPr>
                <w:sz w:val="20"/>
                <w:szCs w:val="20"/>
              </w:rPr>
              <w:t>–</w:t>
            </w:r>
            <w:r w:rsidRPr="7ACA0E52">
              <w:rPr>
                <w:sz w:val="20"/>
                <w:szCs w:val="20"/>
              </w:rPr>
              <w:t>$</w:t>
            </w:r>
            <w:r>
              <w:rPr>
                <w:sz w:val="20"/>
                <w:szCs w:val="20"/>
              </w:rPr>
              <w:t>5</w:t>
            </w:r>
            <w:r w:rsidRPr="7ACA0E52">
              <w:rPr>
                <w:sz w:val="20"/>
                <w:szCs w:val="20"/>
              </w:rPr>
              <w:t>,</w:t>
            </w:r>
            <w:r>
              <w:rPr>
                <w:sz w:val="20"/>
                <w:szCs w:val="20"/>
              </w:rPr>
              <w:t>000</w:t>
            </w:r>
          </w:p>
        </w:tc>
        <w:tc>
          <w:tcPr>
            <w:tcW w:w="2700" w:type="dxa"/>
            <w:tcBorders>
              <w:bottom w:val="single" w:sz="6" w:space="0" w:color="FFFFFF" w:themeColor="background1"/>
            </w:tcBorders>
            <w:tcMar>
              <w:top w:w="80" w:type="dxa"/>
              <w:left w:w="80" w:type="dxa"/>
              <w:bottom w:w="80" w:type="dxa"/>
              <w:right w:w="80" w:type="dxa"/>
            </w:tcMar>
          </w:tcPr>
          <w:p w14:paraId="4CBB8E34" w14:textId="55A1F66A" w:rsidR="00D4121B" w:rsidRDefault="00806E7E" w:rsidP="667853D8">
            <w:pPr>
              <w:pStyle w:val="Body"/>
              <w:keepNext/>
              <w:keepLines/>
              <w:spacing w:after="0" w:line="240" w:lineRule="auto"/>
              <w:jc w:val="center"/>
              <w:rPr>
                <w:sz w:val="20"/>
                <w:szCs w:val="20"/>
              </w:rPr>
            </w:pPr>
            <w:r>
              <w:rPr>
                <w:sz w:val="20"/>
                <w:szCs w:val="20"/>
              </w:rPr>
              <w:t>501,791</w:t>
            </w:r>
          </w:p>
          <w:p w14:paraId="6125C554" w14:textId="3ECD65E4" w:rsidR="00DD598C" w:rsidRPr="000931F2" w:rsidRDefault="6DE5D893" w:rsidP="667853D8">
            <w:pPr>
              <w:pStyle w:val="Body"/>
              <w:keepNext/>
              <w:keepLines/>
              <w:spacing w:after="0" w:line="240" w:lineRule="auto"/>
              <w:jc w:val="center"/>
              <w:rPr>
                <w:sz w:val="20"/>
                <w:szCs w:val="20"/>
              </w:rPr>
            </w:pPr>
            <w:r w:rsidRPr="000931F2">
              <w:rPr>
                <w:sz w:val="20"/>
                <w:szCs w:val="20"/>
              </w:rPr>
              <w:t>(</w:t>
            </w:r>
            <w:r w:rsidR="004600C1" w:rsidRPr="004600C1">
              <w:rPr>
                <w:sz w:val="20"/>
                <w:szCs w:val="20"/>
              </w:rPr>
              <w:t>88</w:t>
            </w:r>
            <w:r w:rsidRPr="000931F2">
              <w:rPr>
                <w:sz w:val="20"/>
                <w:szCs w:val="20"/>
              </w:rPr>
              <w:t>%)</w:t>
            </w:r>
          </w:p>
        </w:tc>
        <w:tc>
          <w:tcPr>
            <w:tcW w:w="2610" w:type="dxa"/>
            <w:tcBorders>
              <w:bottom w:val="single" w:sz="6" w:space="0" w:color="FFFFFF" w:themeColor="background1"/>
            </w:tcBorders>
            <w:tcMar>
              <w:top w:w="80" w:type="dxa"/>
              <w:left w:w="80" w:type="dxa"/>
              <w:bottom w:w="80" w:type="dxa"/>
              <w:right w:w="80" w:type="dxa"/>
            </w:tcMar>
          </w:tcPr>
          <w:p w14:paraId="1887B1B0" w14:textId="2D1CDA3D" w:rsidR="00D4121B" w:rsidRDefault="6DE5D893" w:rsidP="00ED6235">
            <w:pPr>
              <w:pStyle w:val="Body"/>
              <w:keepNext/>
              <w:keepLines/>
              <w:spacing w:after="0" w:line="240" w:lineRule="auto"/>
              <w:ind w:right="385"/>
              <w:jc w:val="center"/>
              <w:rPr>
                <w:sz w:val="20"/>
                <w:szCs w:val="20"/>
              </w:rPr>
            </w:pPr>
            <w:r w:rsidRPr="000931F2">
              <w:rPr>
                <w:sz w:val="20"/>
                <w:szCs w:val="20"/>
              </w:rPr>
              <w:t>$</w:t>
            </w:r>
            <w:r w:rsidR="00725EF0">
              <w:rPr>
                <w:sz w:val="20"/>
                <w:szCs w:val="20"/>
              </w:rPr>
              <w:t>1,072,590,613</w:t>
            </w:r>
          </w:p>
          <w:p w14:paraId="62693FAE" w14:textId="27578DCA" w:rsidR="00DD598C" w:rsidRPr="000931F2" w:rsidRDefault="6DE5D893" w:rsidP="00ED6235">
            <w:pPr>
              <w:pStyle w:val="Body"/>
              <w:keepNext/>
              <w:keepLines/>
              <w:spacing w:after="0" w:line="240" w:lineRule="auto"/>
              <w:ind w:right="385"/>
              <w:jc w:val="center"/>
              <w:rPr>
                <w:sz w:val="20"/>
                <w:szCs w:val="20"/>
              </w:rPr>
            </w:pPr>
            <w:r w:rsidRPr="000931F2">
              <w:rPr>
                <w:sz w:val="20"/>
                <w:szCs w:val="20"/>
              </w:rPr>
              <w:t>(</w:t>
            </w:r>
            <w:r w:rsidR="00C143F0">
              <w:rPr>
                <w:sz w:val="20"/>
                <w:szCs w:val="20"/>
              </w:rPr>
              <w:t>74</w:t>
            </w:r>
            <w:r w:rsidRPr="000931F2">
              <w:rPr>
                <w:sz w:val="20"/>
                <w:szCs w:val="20"/>
              </w:rPr>
              <w:t>%)</w:t>
            </w:r>
          </w:p>
        </w:tc>
      </w:tr>
      <w:tr w:rsidR="001A24E3" w14:paraId="7ACF70F9" w14:textId="77777777" w:rsidTr="000C1746">
        <w:trPr>
          <w:trHeight w:val="280"/>
        </w:trPr>
        <w:tc>
          <w:tcPr>
            <w:tcW w:w="1885" w:type="dxa"/>
            <w:tcBorders>
              <w:top w:val="single" w:sz="6" w:space="0" w:color="FFFFFF" w:themeColor="background1"/>
              <w:bottom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64A54DEB" w14:textId="77777777" w:rsidR="00AB049B" w:rsidRDefault="4BDE0D6D" w:rsidP="187DA56C">
            <w:pPr>
              <w:pStyle w:val="Body"/>
              <w:keepNext/>
              <w:spacing w:after="0"/>
              <w:rPr>
                <w:b/>
                <w:bCs/>
                <w:sz w:val="20"/>
                <w:szCs w:val="20"/>
              </w:rPr>
            </w:pPr>
            <w:r w:rsidRPr="7ACA0E52">
              <w:rPr>
                <w:b/>
                <w:bCs/>
                <w:sz w:val="20"/>
                <w:szCs w:val="20"/>
              </w:rPr>
              <w:t>Increased</w:t>
            </w:r>
            <w:r w:rsidR="00AB049B">
              <w:rPr>
                <w:b/>
                <w:bCs/>
                <w:sz w:val="20"/>
                <w:szCs w:val="20"/>
              </w:rPr>
              <w:t xml:space="preserve"> </w:t>
            </w:r>
          </w:p>
          <w:p w14:paraId="3AEAA450" w14:textId="3680B6DD" w:rsidR="00DD598C" w:rsidRPr="003A15C4" w:rsidRDefault="00AB049B" w:rsidP="187DA56C">
            <w:pPr>
              <w:pStyle w:val="Body"/>
              <w:keepNext/>
              <w:spacing w:after="0"/>
              <w:rPr>
                <w:sz w:val="20"/>
                <w:szCs w:val="20"/>
              </w:rPr>
            </w:pPr>
            <w:r>
              <w:rPr>
                <w:b/>
                <w:bCs/>
                <w:sz w:val="20"/>
                <w:szCs w:val="20"/>
              </w:rPr>
              <w:t>(</w:t>
            </w:r>
            <w:r w:rsidR="006A2A36">
              <w:rPr>
                <w:b/>
                <w:bCs/>
                <w:sz w:val="20"/>
                <w:szCs w:val="20"/>
              </w:rPr>
              <w:t xml:space="preserve">Starting </w:t>
            </w:r>
            <w:r w:rsidR="000C1746">
              <w:rPr>
                <w:b/>
                <w:bCs/>
                <w:sz w:val="20"/>
                <w:szCs w:val="20"/>
              </w:rPr>
              <w:t xml:space="preserve">Mar. </w:t>
            </w:r>
            <w:r w:rsidR="006A2A36">
              <w:rPr>
                <w:b/>
                <w:bCs/>
                <w:sz w:val="20"/>
                <w:szCs w:val="20"/>
              </w:rPr>
              <w:t>2016</w:t>
            </w:r>
            <w:r>
              <w:rPr>
                <w:b/>
                <w:bCs/>
                <w:sz w:val="20"/>
                <w:szCs w:val="20"/>
              </w:rPr>
              <w:t>)</w:t>
            </w:r>
          </w:p>
        </w:tc>
        <w:tc>
          <w:tcPr>
            <w:tcW w:w="1890" w:type="dxa"/>
            <w:tcBorders>
              <w:top w:val="single" w:sz="6" w:space="0" w:color="FFFFFF" w:themeColor="background1"/>
              <w:bottom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7BB27850" w14:textId="1BE0C141" w:rsidR="00DD598C" w:rsidRPr="00E65889" w:rsidRDefault="005162FD" w:rsidP="00395DAC">
            <w:pPr>
              <w:pStyle w:val="Body"/>
              <w:keepNext/>
              <w:spacing w:after="0"/>
              <w:jc w:val="center"/>
              <w:rPr>
                <w:sz w:val="20"/>
                <w:szCs w:val="20"/>
              </w:rPr>
            </w:pPr>
            <w:r w:rsidRPr="004C3E98">
              <w:rPr>
                <w:sz w:val="20"/>
                <w:szCs w:val="20"/>
              </w:rPr>
              <w:t>$</w:t>
            </w:r>
            <w:r w:rsidR="004C3E98" w:rsidRPr="004C3E98">
              <w:rPr>
                <w:sz w:val="20"/>
                <w:szCs w:val="20"/>
              </w:rPr>
              <w:t>3</w:t>
            </w:r>
            <w:r w:rsidRPr="004C3E98">
              <w:rPr>
                <w:sz w:val="20"/>
                <w:szCs w:val="20"/>
              </w:rPr>
              <w:t>,000</w:t>
            </w:r>
            <w:r w:rsidRPr="004C3E98">
              <w:rPr>
                <w:rFonts w:cs="Calibri"/>
                <w:sz w:val="20"/>
                <w:szCs w:val="20"/>
              </w:rPr>
              <w:t>–</w:t>
            </w:r>
            <w:r w:rsidRPr="004C3E98">
              <w:rPr>
                <w:sz w:val="20"/>
                <w:szCs w:val="20"/>
              </w:rPr>
              <w:t>$</w:t>
            </w:r>
            <w:r w:rsidR="004C3E98" w:rsidRPr="004C3E98">
              <w:rPr>
                <w:sz w:val="20"/>
                <w:szCs w:val="20"/>
              </w:rPr>
              <w:t>7,500</w:t>
            </w:r>
          </w:p>
        </w:tc>
        <w:tc>
          <w:tcPr>
            <w:tcW w:w="2700" w:type="dxa"/>
            <w:tcBorders>
              <w:top w:val="single" w:sz="6" w:space="0" w:color="FFFFFF" w:themeColor="background1"/>
              <w:bottom w:val="single" w:sz="4" w:space="0" w:color="535353" w:themeColor="text2" w:themeShade="80"/>
            </w:tcBorders>
            <w:shd w:val="clear" w:color="auto" w:fill="F2F2F2" w:themeFill="background1" w:themeFillShade="F2"/>
            <w:tcMar>
              <w:top w:w="80" w:type="dxa"/>
              <w:left w:w="80" w:type="dxa"/>
              <w:bottom w:w="80" w:type="dxa"/>
              <w:right w:w="80" w:type="dxa"/>
            </w:tcMar>
          </w:tcPr>
          <w:p w14:paraId="08BE84EF" w14:textId="2DC51474" w:rsidR="00DD598C" w:rsidRPr="000931F2" w:rsidRDefault="004600C1" w:rsidP="667853D8">
            <w:pPr>
              <w:pStyle w:val="Body"/>
              <w:keepNext/>
              <w:spacing w:after="0" w:line="240" w:lineRule="auto"/>
              <w:jc w:val="center"/>
              <w:rPr>
                <w:sz w:val="20"/>
                <w:szCs w:val="20"/>
              </w:rPr>
            </w:pPr>
            <w:r w:rsidRPr="004600C1">
              <w:rPr>
                <w:sz w:val="20"/>
                <w:szCs w:val="20"/>
              </w:rPr>
              <w:t>68,877</w:t>
            </w:r>
          </w:p>
          <w:p w14:paraId="4928AF74" w14:textId="1EA87600" w:rsidR="00517186" w:rsidRDefault="6DE5D893" w:rsidP="667853D8">
            <w:pPr>
              <w:pStyle w:val="Body"/>
              <w:keepNext/>
              <w:spacing w:after="0"/>
              <w:jc w:val="center"/>
              <w:rPr>
                <w:sz w:val="20"/>
                <w:szCs w:val="20"/>
              </w:rPr>
            </w:pPr>
            <w:r w:rsidRPr="000931F2">
              <w:rPr>
                <w:sz w:val="20"/>
                <w:szCs w:val="20"/>
              </w:rPr>
              <w:t>(</w:t>
            </w:r>
            <w:r w:rsidR="00F24AF2">
              <w:rPr>
                <w:sz w:val="20"/>
                <w:szCs w:val="20"/>
              </w:rPr>
              <w:t>Life of program</w:t>
            </w:r>
            <w:r w:rsidR="00517186">
              <w:rPr>
                <w:sz w:val="20"/>
                <w:szCs w:val="20"/>
              </w:rPr>
              <w:t xml:space="preserve">: </w:t>
            </w:r>
            <w:r w:rsidR="004600C1" w:rsidRPr="004600C1">
              <w:rPr>
                <w:sz w:val="20"/>
                <w:szCs w:val="20"/>
              </w:rPr>
              <w:t>12</w:t>
            </w:r>
            <w:r w:rsidRPr="000931F2">
              <w:rPr>
                <w:sz w:val="20"/>
                <w:szCs w:val="20"/>
              </w:rPr>
              <w:t>%</w:t>
            </w:r>
          </w:p>
          <w:p w14:paraId="0FFE7FA5" w14:textId="4815065F" w:rsidR="00DD598C" w:rsidRPr="000931F2" w:rsidRDefault="00F24AF2" w:rsidP="667853D8">
            <w:pPr>
              <w:pStyle w:val="Body"/>
              <w:keepNext/>
              <w:spacing w:after="0"/>
              <w:jc w:val="center"/>
              <w:rPr>
                <w:sz w:val="20"/>
                <w:szCs w:val="20"/>
              </w:rPr>
            </w:pPr>
            <w:r>
              <w:rPr>
                <w:sz w:val="20"/>
                <w:szCs w:val="20"/>
              </w:rPr>
              <w:t xml:space="preserve">Since </w:t>
            </w:r>
            <w:r w:rsidR="00D64815">
              <w:rPr>
                <w:sz w:val="20"/>
                <w:szCs w:val="20"/>
              </w:rPr>
              <w:t>inception</w:t>
            </w:r>
            <w:r>
              <w:rPr>
                <w:sz w:val="20"/>
                <w:szCs w:val="20"/>
              </w:rPr>
              <w:t>:</w:t>
            </w:r>
            <w:r w:rsidR="00517186">
              <w:rPr>
                <w:sz w:val="20"/>
                <w:szCs w:val="20"/>
              </w:rPr>
              <w:t xml:space="preserve"> </w:t>
            </w:r>
            <w:r w:rsidR="00EE41C0">
              <w:rPr>
                <w:sz w:val="20"/>
                <w:szCs w:val="20"/>
              </w:rPr>
              <w:t>16</w:t>
            </w:r>
            <w:r w:rsidR="00517186">
              <w:rPr>
                <w:sz w:val="20"/>
                <w:szCs w:val="20"/>
              </w:rPr>
              <w:t>%</w:t>
            </w:r>
            <w:r w:rsidR="6DE5D893" w:rsidRPr="000931F2">
              <w:rPr>
                <w:sz w:val="20"/>
                <w:szCs w:val="20"/>
              </w:rPr>
              <w:t>)</w:t>
            </w:r>
          </w:p>
        </w:tc>
        <w:tc>
          <w:tcPr>
            <w:tcW w:w="2610" w:type="dxa"/>
            <w:tcBorders>
              <w:top w:val="single" w:sz="6" w:space="0" w:color="FFFFFF" w:themeColor="background1"/>
              <w:bottom w:val="single" w:sz="4" w:space="0" w:color="535353" w:themeColor="text2" w:themeShade="80"/>
            </w:tcBorders>
            <w:shd w:val="clear" w:color="auto" w:fill="F2F2F2" w:themeFill="background1" w:themeFillShade="F2"/>
            <w:tcMar>
              <w:top w:w="80" w:type="dxa"/>
              <w:left w:w="80" w:type="dxa"/>
              <w:bottom w:w="80" w:type="dxa"/>
              <w:right w:w="80" w:type="dxa"/>
            </w:tcMar>
          </w:tcPr>
          <w:p w14:paraId="2EE9867B" w14:textId="74C0E253" w:rsidR="00D4121B" w:rsidRDefault="6DE5D893" w:rsidP="00ED6235">
            <w:pPr>
              <w:pStyle w:val="Body"/>
              <w:keepNext/>
              <w:spacing w:after="0" w:line="240" w:lineRule="auto"/>
              <w:ind w:right="385"/>
              <w:jc w:val="center"/>
              <w:rPr>
                <w:sz w:val="20"/>
                <w:szCs w:val="20"/>
              </w:rPr>
            </w:pPr>
            <w:r w:rsidRPr="000931F2">
              <w:rPr>
                <w:sz w:val="20"/>
                <w:szCs w:val="20"/>
              </w:rPr>
              <w:t>$</w:t>
            </w:r>
            <w:r w:rsidR="004600C1" w:rsidRPr="004600C1">
              <w:rPr>
                <w:sz w:val="20"/>
                <w:szCs w:val="20"/>
              </w:rPr>
              <w:t>374,065,799</w:t>
            </w:r>
          </w:p>
          <w:p w14:paraId="18C020D3" w14:textId="21C42D5F" w:rsidR="00F17F8C" w:rsidRDefault="6DE5D893" w:rsidP="00ED6235">
            <w:pPr>
              <w:pStyle w:val="Body"/>
              <w:keepNext/>
              <w:spacing w:after="0" w:line="240" w:lineRule="auto"/>
              <w:ind w:right="385"/>
              <w:jc w:val="center"/>
              <w:rPr>
                <w:sz w:val="20"/>
                <w:szCs w:val="20"/>
              </w:rPr>
            </w:pPr>
            <w:r w:rsidRPr="000931F2">
              <w:rPr>
                <w:sz w:val="20"/>
                <w:szCs w:val="20"/>
              </w:rPr>
              <w:t>(</w:t>
            </w:r>
            <w:r w:rsidR="00F24AF2">
              <w:rPr>
                <w:sz w:val="20"/>
                <w:szCs w:val="20"/>
              </w:rPr>
              <w:t>Life of program</w:t>
            </w:r>
            <w:r w:rsidR="00F17F8C">
              <w:rPr>
                <w:sz w:val="20"/>
                <w:szCs w:val="20"/>
              </w:rPr>
              <w:t xml:space="preserve">: </w:t>
            </w:r>
            <w:r w:rsidR="00C143F0">
              <w:rPr>
                <w:sz w:val="20"/>
                <w:szCs w:val="20"/>
              </w:rPr>
              <w:t>26</w:t>
            </w:r>
            <w:r w:rsidRPr="000931F2">
              <w:rPr>
                <w:sz w:val="20"/>
                <w:szCs w:val="20"/>
              </w:rPr>
              <w:t>%</w:t>
            </w:r>
          </w:p>
          <w:p w14:paraId="3CD9639E" w14:textId="342BF189" w:rsidR="00DD598C" w:rsidRPr="000931F2" w:rsidRDefault="00F24AF2" w:rsidP="00ED6235">
            <w:pPr>
              <w:pStyle w:val="Body"/>
              <w:keepNext/>
              <w:spacing w:after="0" w:line="240" w:lineRule="auto"/>
              <w:ind w:right="385"/>
              <w:jc w:val="center"/>
              <w:rPr>
                <w:sz w:val="20"/>
                <w:szCs w:val="20"/>
              </w:rPr>
            </w:pPr>
            <w:r>
              <w:rPr>
                <w:sz w:val="20"/>
                <w:szCs w:val="20"/>
              </w:rPr>
              <w:t xml:space="preserve">Since </w:t>
            </w:r>
            <w:r w:rsidR="00D64815">
              <w:rPr>
                <w:sz w:val="20"/>
                <w:szCs w:val="20"/>
              </w:rPr>
              <w:t>inception</w:t>
            </w:r>
            <w:r>
              <w:rPr>
                <w:sz w:val="20"/>
                <w:szCs w:val="20"/>
              </w:rPr>
              <w:t xml:space="preserve">: </w:t>
            </w:r>
            <w:r w:rsidR="00730B61">
              <w:rPr>
                <w:sz w:val="20"/>
                <w:szCs w:val="20"/>
              </w:rPr>
              <w:t>3</w:t>
            </w:r>
            <w:r w:rsidR="00D64815">
              <w:rPr>
                <w:sz w:val="20"/>
                <w:szCs w:val="20"/>
              </w:rPr>
              <w:t>3</w:t>
            </w:r>
            <w:r w:rsidR="00F17F8C">
              <w:rPr>
                <w:sz w:val="20"/>
                <w:szCs w:val="20"/>
              </w:rPr>
              <w:t>%</w:t>
            </w:r>
            <w:r w:rsidR="6DE5D893" w:rsidRPr="000931F2">
              <w:rPr>
                <w:sz w:val="20"/>
                <w:szCs w:val="20"/>
              </w:rPr>
              <w:t>)</w:t>
            </w:r>
          </w:p>
        </w:tc>
      </w:tr>
      <w:tr w:rsidR="00314C61" w14:paraId="5A020284" w14:textId="77777777" w:rsidTr="000C1746">
        <w:trPr>
          <w:trHeight w:val="280"/>
        </w:trPr>
        <w:tc>
          <w:tcPr>
            <w:tcW w:w="1885" w:type="dxa"/>
            <w:tcBorders>
              <w:top w:val="single" w:sz="4" w:space="0" w:color="535353" w:themeColor="text2" w:themeShade="80"/>
            </w:tcBorders>
            <w:tcMar>
              <w:top w:w="80" w:type="dxa"/>
              <w:left w:w="80" w:type="dxa"/>
              <w:bottom w:w="80" w:type="dxa"/>
              <w:right w:w="80" w:type="dxa"/>
            </w:tcMar>
            <w:vAlign w:val="center"/>
          </w:tcPr>
          <w:p w14:paraId="15B61324" w14:textId="07B37B89" w:rsidR="00314C61" w:rsidRPr="003A15C4" w:rsidRDefault="7BD21D5D" w:rsidP="187DA56C">
            <w:pPr>
              <w:pStyle w:val="Body"/>
              <w:keepNext/>
              <w:spacing w:after="0"/>
              <w:rPr>
                <w:b/>
                <w:sz w:val="20"/>
                <w:szCs w:val="20"/>
              </w:rPr>
            </w:pPr>
            <w:r w:rsidRPr="7ACA0E52">
              <w:rPr>
                <w:b/>
                <w:bCs/>
                <w:sz w:val="20"/>
                <w:szCs w:val="20"/>
              </w:rPr>
              <w:t>All</w:t>
            </w:r>
          </w:p>
        </w:tc>
        <w:tc>
          <w:tcPr>
            <w:tcW w:w="1890" w:type="dxa"/>
            <w:tcBorders>
              <w:top w:val="single" w:sz="4" w:space="0" w:color="535353" w:themeColor="text2" w:themeShade="80"/>
            </w:tcBorders>
            <w:tcMar>
              <w:top w:w="80" w:type="dxa"/>
              <w:left w:w="80" w:type="dxa"/>
              <w:bottom w:w="80" w:type="dxa"/>
              <w:right w:w="80" w:type="dxa"/>
            </w:tcMar>
            <w:vAlign w:val="center"/>
          </w:tcPr>
          <w:p w14:paraId="050908D9" w14:textId="1EBF5865" w:rsidR="00314C61" w:rsidRPr="002A7F7D" w:rsidRDefault="005162FD" w:rsidP="00314C61">
            <w:pPr>
              <w:pStyle w:val="Body"/>
              <w:keepNext/>
              <w:spacing w:after="0"/>
              <w:jc w:val="center"/>
              <w:rPr>
                <w:sz w:val="20"/>
                <w:szCs w:val="20"/>
              </w:rPr>
            </w:pPr>
            <w:r w:rsidRPr="7ACA0E52">
              <w:rPr>
                <w:b/>
                <w:bCs/>
                <w:sz w:val="20"/>
                <w:szCs w:val="20"/>
              </w:rPr>
              <w:t>$1,000</w:t>
            </w:r>
            <w:r w:rsidRPr="7ACA0E52">
              <w:rPr>
                <w:rFonts w:cs="Calibri"/>
                <w:sz w:val="20"/>
                <w:szCs w:val="20"/>
              </w:rPr>
              <w:t>–</w:t>
            </w:r>
            <w:r w:rsidRPr="7ACA0E52">
              <w:rPr>
                <w:b/>
                <w:bCs/>
                <w:sz w:val="20"/>
                <w:szCs w:val="20"/>
              </w:rPr>
              <w:t>$</w:t>
            </w:r>
            <w:r>
              <w:rPr>
                <w:b/>
                <w:bCs/>
                <w:sz w:val="20"/>
                <w:szCs w:val="20"/>
              </w:rPr>
              <w:t>7,500</w:t>
            </w:r>
          </w:p>
        </w:tc>
        <w:tc>
          <w:tcPr>
            <w:tcW w:w="2700" w:type="dxa"/>
            <w:tcBorders>
              <w:top w:val="single" w:sz="4" w:space="0" w:color="535353" w:themeColor="text2" w:themeShade="80"/>
            </w:tcBorders>
            <w:tcMar>
              <w:top w:w="80" w:type="dxa"/>
              <w:left w:w="80" w:type="dxa"/>
              <w:bottom w:w="80" w:type="dxa"/>
              <w:right w:w="80" w:type="dxa"/>
            </w:tcMar>
            <w:vAlign w:val="center"/>
          </w:tcPr>
          <w:p w14:paraId="51C4F3D9" w14:textId="69BC1727" w:rsidR="00541A56" w:rsidRPr="00A75DF5" w:rsidRDefault="00CF598E" w:rsidP="00541A56">
            <w:pPr>
              <w:pStyle w:val="Body"/>
              <w:spacing w:after="0" w:line="240" w:lineRule="auto"/>
              <w:jc w:val="center"/>
              <w:rPr>
                <w:b/>
                <w:bCs/>
                <w:sz w:val="20"/>
                <w:szCs w:val="20"/>
              </w:rPr>
            </w:pPr>
            <w:r>
              <w:rPr>
                <w:b/>
                <w:bCs/>
                <w:sz w:val="20"/>
                <w:szCs w:val="20"/>
              </w:rPr>
              <w:t>570,668</w:t>
            </w:r>
            <w:r w:rsidR="00541A56" w:rsidRPr="00A75DF5">
              <w:rPr>
                <w:b/>
                <w:bCs/>
                <w:sz w:val="20"/>
                <w:szCs w:val="20"/>
              </w:rPr>
              <w:t xml:space="preserve"> </w:t>
            </w:r>
          </w:p>
          <w:p w14:paraId="46A52C39" w14:textId="0BCB9BC9" w:rsidR="00314C61" w:rsidRPr="000931F2" w:rsidRDefault="00541A56" w:rsidP="00541A56">
            <w:pPr>
              <w:pStyle w:val="Body"/>
              <w:keepNext/>
              <w:spacing w:after="0" w:line="240" w:lineRule="auto"/>
              <w:jc w:val="center"/>
              <w:rPr>
                <w:color w:val="auto"/>
                <w:sz w:val="20"/>
                <w:szCs w:val="20"/>
              </w:rPr>
            </w:pPr>
            <w:r w:rsidRPr="00E51F92">
              <w:rPr>
                <w:b/>
                <w:sz w:val="20"/>
                <w:szCs w:val="20"/>
              </w:rPr>
              <w:t>(100%)</w:t>
            </w:r>
          </w:p>
        </w:tc>
        <w:tc>
          <w:tcPr>
            <w:tcW w:w="2610" w:type="dxa"/>
            <w:tcBorders>
              <w:top w:val="single" w:sz="4" w:space="0" w:color="535353" w:themeColor="text2" w:themeShade="80"/>
            </w:tcBorders>
            <w:tcMar>
              <w:top w:w="80" w:type="dxa"/>
              <w:left w:w="80" w:type="dxa"/>
              <w:bottom w:w="80" w:type="dxa"/>
              <w:right w:w="80" w:type="dxa"/>
            </w:tcMar>
          </w:tcPr>
          <w:p w14:paraId="627FBD0B" w14:textId="6C254E0E" w:rsidR="00541A56" w:rsidRPr="00A75DF5" w:rsidRDefault="00541A56" w:rsidP="00ED6235">
            <w:pPr>
              <w:pStyle w:val="Body"/>
              <w:spacing w:after="0" w:line="240" w:lineRule="auto"/>
              <w:ind w:right="385"/>
              <w:jc w:val="center"/>
              <w:rPr>
                <w:b/>
                <w:bCs/>
                <w:color w:val="auto"/>
                <w:sz w:val="20"/>
                <w:szCs w:val="20"/>
              </w:rPr>
            </w:pPr>
            <w:r w:rsidRPr="7ACA0E52">
              <w:rPr>
                <w:b/>
                <w:bCs/>
                <w:color w:val="auto"/>
                <w:sz w:val="20"/>
                <w:szCs w:val="20"/>
              </w:rPr>
              <w:t>$</w:t>
            </w:r>
            <w:r w:rsidR="00292871" w:rsidRPr="00D80A96">
              <w:rPr>
                <w:b/>
                <w:bCs/>
                <w:sz w:val="20"/>
                <w:szCs w:val="20"/>
              </w:rPr>
              <w:t>1,446,656,412</w:t>
            </w:r>
          </w:p>
          <w:p w14:paraId="499E53CF" w14:textId="59843AD1" w:rsidR="00314C61" w:rsidRPr="000931F2" w:rsidRDefault="00541A56" w:rsidP="00ED6235">
            <w:pPr>
              <w:pStyle w:val="Body"/>
              <w:spacing w:after="0" w:line="240" w:lineRule="auto"/>
              <w:ind w:right="385"/>
              <w:jc w:val="center"/>
              <w:rPr>
                <w:color w:val="auto"/>
                <w:sz w:val="20"/>
                <w:szCs w:val="20"/>
              </w:rPr>
            </w:pPr>
            <w:r w:rsidRPr="7ACA0E52">
              <w:rPr>
                <w:b/>
                <w:bCs/>
                <w:color w:val="auto"/>
                <w:sz w:val="20"/>
                <w:szCs w:val="20"/>
              </w:rPr>
              <w:t>(100%)</w:t>
            </w:r>
          </w:p>
        </w:tc>
      </w:tr>
    </w:tbl>
    <w:p w14:paraId="52CAFF0B" w14:textId="1978B85C" w:rsidR="00DD598C" w:rsidRPr="003A15C4" w:rsidRDefault="4BDE0D6D" w:rsidP="187DA56C">
      <w:pPr>
        <w:pStyle w:val="Heading2"/>
        <w:rPr>
          <w:rStyle w:val="Bold"/>
          <w:rFonts w:eastAsia="Calibri" w:cs="Calibri"/>
          <w:b w:val="0"/>
          <w:sz w:val="30"/>
          <w:szCs w:val="30"/>
        </w:rPr>
      </w:pPr>
      <w:bookmarkStart w:id="12" w:name="_Toc227069778"/>
      <w:r w:rsidRPr="7ACA0E52">
        <w:rPr>
          <w:rFonts w:eastAsia="Arial Unicode MS" w:cs="Arial Unicode MS"/>
          <w:sz w:val="30"/>
          <w:szCs w:val="30"/>
        </w:rPr>
        <w:t>Participant Survey Data</w:t>
      </w:r>
      <w:bookmarkEnd w:id="12"/>
    </w:p>
    <w:p w14:paraId="11C281A3" w14:textId="150BF6D5" w:rsidR="00DD598C" w:rsidRDefault="00B373B3" w:rsidP="001A24E3">
      <w:r>
        <w:t xml:space="preserve">Since </w:t>
      </w:r>
      <w:r w:rsidR="004A05A1">
        <w:t xml:space="preserve">2012, </w:t>
      </w:r>
      <w:r w:rsidR="6FE0FBA9">
        <w:t>CVRP invite</w:t>
      </w:r>
      <w:r w:rsidR="004A05A1">
        <w:t>d</w:t>
      </w:r>
      <w:r w:rsidR="6FE0FBA9">
        <w:t xml:space="preserve"> </w:t>
      </w:r>
      <w:r w:rsidR="00F17BED">
        <w:t>personal</w:t>
      </w:r>
      <w:r w:rsidR="6FE0FBA9">
        <w:t xml:space="preserve"> participants</w:t>
      </w:r>
      <w:r w:rsidR="22E05F37">
        <w:t xml:space="preserve"> approved for a rebate</w:t>
      </w:r>
      <w:r w:rsidR="6FE0FBA9">
        <w:t xml:space="preserve"> to fill out a voluntary Consumer Survey. Survey responses are weighted using the raking method (iterative proportional fitting) to make them more representative of the program population along the dimensions of technology type</w:t>
      </w:r>
      <w:r w:rsidR="003D5370">
        <w:t>, rebate type</w:t>
      </w:r>
      <w:r w:rsidR="6FE0FBA9">
        <w:t xml:space="preserve">, vehicle model, purchase vs. </w:t>
      </w:r>
      <w:r w:rsidR="35EC7CD1">
        <w:t>l</w:t>
      </w:r>
      <w:r w:rsidR="6FE0FBA9">
        <w:t xml:space="preserve">ease, </w:t>
      </w:r>
      <w:r w:rsidR="4E7B4E29">
        <w:t xml:space="preserve">year of purchase/lease, </w:t>
      </w:r>
      <w:r w:rsidR="6FE0FBA9">
        <w:t>county of residence</w:t>
      </w:r>
      <w:r>
        <w:t>, and survey edition</w:t>
      </w:r>
      <w:r w:rsidR="008A2702">
        <w:t xml:space="preserve"> received</w:t>
      </w:r>
      <w:r w:rsidR="6FE0FBA9">
        <w:t>. The survey data include</w:t>
      </w:r>
      <w:r w:rsidR="006E24DF">
        <w:t>s</w:t>
      </w:r>
      <w:r w:rsidR="6FE0FBA9">
        <w:t xml:space="preserve"> </w:t>
      </w:r>
      <w:r w:rsidR="00E36013">
        <w:t>100,505</w:t>
      </w:r>
      <w:r w:rsidR="6FE0FBA9">
        <w:t xml:space="preserve"> responses</w:t>
      </w:r>
      <w:r w:rsidR="00751E33">
        <w:t xml:space="preserve">. More information </w:t>
      </w:r>
      <w:r w:rsidR="00AE30A1">
        <w:t xml:space="preserve">on the CVRP Consumer Survey </w:t>
      </w:r>
      <w:r w:rsidR="00716D1E">
        <w:t xml:space="preserve">is available in </w:t>
      </w:r>
      <w:r w:rsidR="00FD2EAE" w:rsidRPr="00FD2EAE">
        <w:rPr>
          <w:rFonts w:cs="Calibri"/>
        </w:rPr>
        <w:t>(B. Williams et al., 2018)</w:t>
      </w:r>
      <w:r w:rsidR="009240F6">
        <w:t xml:space="preserve"> </w:t>
      </w:r>
      <w:r w:rsidR="00AE0E2F">
        <w:t xml:space="preserve">and updated details </w:t>
      </w:r>
      <w:r w:rsidR="00B11206">
        <w:t xml:space="preserve">will be made available </w:t>
      </w:r>
      <w:r w:rsidR="00AE30A1">
        <w:t xml:space="preserve">in </w:t>
      </w:r>
      <w:r w:rsidR="00F25111">
        <w:t>forthcoming</w:t>
      </w:r>
      <w:r w:rsidR="00BA1869">
        <w:t xml:space="preserve"> survey documentation</w:t>
      </w:r>
      <w:r w:rsidR="007F3860">
        <w:t>.</w:t>
      </w:r>
      <w:r w:rsidR="6FE0FBA9">
        <w:t xml:space="preserve"> </w:t>
      </w:r>
    </w:p>
    <w:p w14:paraId="42E77267" w14:textId="5E7066DA" w:rsidR="00DD598C" w:rsidRPr="003A15C4" w:rsidRDefault="4BDE0D6D" w:rsidP="187DA56C">
      <w:pPr>
        <w:pStyle w:val="Heading2"/>
        <w:rPr>
          <w:rStyle w:val="Bold"/>
          <w:rFonts w:eastAsia="Calibri" w:cs="Calibri"/>
          <w:b w:val="0"/>
          <w:sz w:val="30"/>
          <w:szCs w:val="30"/>
        </w:rPr>
      </w:pPr>
      <w:bookmarkStart w:id="13" w:name="_Toc227069779"/>
      <w:r w:rsidRPr="7ACA0E52">
        <w:rPr>
          <w:rFonts w:eastAsia="Arial Unicode MS" w:cs="Arial Unicode MS"/>
          <w:sz w:val="30"/>
          <w:szCs w:val="30"/>
        </w:rPr>
        <w:t>Vehicle Registration Data</w:t>
      </w:r>
      <w:bookmarkEnd w:id="13"/>
    </w:p>
    <w:p w14:paraId="3CFFE53A" w14:textId="1514B0B0" w:rsidR="00377696" w:rsidRDefault="00EA77C3" w:rsidP="001A24E3">
      <w:r>
        <w:t>CSE</w:t>
      </w:r>
      <w:r w:rsidR="02CA83A5" w:rsidRPr="00DD598C">
        <w:t xml:space="preserve"> calculated sales-weighted </w:t>
      </w:r>
      <w:r w:rsidR="002F3A66">
        <w:t>average</w:t>
      </w:r>
      <w:r w:rsidR="02CA83A5" w:rsidRPr="00DD598C">
        <w:t xml:space="preserve"> fuel consumption rates </w:t>
      </w:r>
      <w:r w:rsidR="004D1A16" w:rsidRPr="00DD598C">
        <w:t>using monthly California new</w:t>
      </w:r>
      <w:r w:rsidR="004D1A16">
        <w:t>-</w:t>
      </w:r>
      <w:r w:rsidR="004D1A16" w:rsidRPr="00DD598C">
        <w:t xml:space="preserve">vehicle registration data </w:t>
      </w:r>
      <w:r w:rsidR="004D1A16">
        <w:t>to characterize</w:t>
      </w:r>
      <w:r w:rsidR="02CA83A5" w:rsidRPr="00DD598C">
        <w:t xml:space="preserve"> vehicles used for emissions comparison to rebated EV</w:t>
      </w:r>
      <w:r w:rsidR="004D1A16">
        <w:t>s</w:t>
      </w:r>
      <w:r w:rsidR="02CA83A5" w:rsidRPr="00DD598C">
        <w:t>.</w:t>
      </w:r>
      <w:r w:rsidR="00242210" w:rsidRPr="001E5E83">
        <w:rPr>
          <w:rStyle w:val="FootnoteReference"/>
        </w:rPr>
        <w:footnoteReference w:id="4"/>
      </w:r>
      <w:r w:rsidR="02CA83A5" w:rsidRPr="00DD598C">
        <w:t xml:space="preserve"> The dataset spans registration dates from </w:t>
      </w:r>
      <w:r w:rsidR="00321694">
        <w:t xml:space="preserve">March 2010 </w:t>
      </w:r>
      <w:r w:rsidR="02CA83A5" w:rsidRPr="00DD598C">
        <w:t xml:space="preserve">through </w:t>
      </w:r>
      <w:r w:rsidR="00D05994">
        <w:t>December 2024</w:t>
      </w:r>
      <w:r w:rsidR="00AB2144">
        <w:t xml:space="preserve"> </w:t>
      </w:r>
      <w:r w:rsidR="02CA83A5" w:rsidRPr="00DD598C">
        <w:t>and is used to characterize</w:t>
      </w:r>
      <w:r w:rsidR="293A3E28">
        <w:t xml:space="preserve"> vehicles of</w:t>
      </w:r>
      <w:r w:rsidR="02CA83A5" w:rsidRPr="00DD598C">
        <w:t xml:space="preserve"> </w:t>
      </w:r>
      <w:r w:rsidR="00E20658">
        <w:t>model years (</w:t>
      </w:r>
      <w:r w:rsidR="02CA83A5" w:rsidRPr="00DD598C">
        <w:t>MY</w:t>
      </w:r>
      <w:r w:rsidR="21033D5C">
        <w:t>s</w:t>
      </w:r>
      <w:r w:rsidR="00E20658">
        <w:t>)</w:t>
      </w:r>
      <w:r w:rsidR="02CA83A5" w:rsidRPr="00DD598C">
        <w:t xml:space="preserve"> </w:t>
      </w:r>
      <w:r w:rsidR="006D5B14">
        <w:t>2010</w:t>
      </w:r>
      <w:r w:rsidR="00E042C1">
        <w:t xml:space="preserve"> </w:t>
      </w:r>
      <w:r w:rsidR="00E042C1" w:rsidRPr="0009420A">
        <w:t>(u</w:t>
      </w:r>
      <w:r w:rsidR="00E042C1">
        <w:t xml:space="preserve">sed for </w:t>
      </w:r>
      <w:r w:rsidR="00EB08F1">
        <w:t>MY</w:t>
      </w:r>
      <w:r w:rsidR="00E042C1">
        <w:t xml:space="preserve"> 2010 and a few earlier vehicles</w:t>
      </w:r>
      <w:r w:rsidR="00E042C1" w:rsidRPr="0009420A">
        <w:t xml:space="preserve">) </w:t>
      </w:r>
      <w:r w:rsidR="0009420A" w:rsidRPr="0009420A">
        <w:t>through</w:t>
      </w:r>
      <w:r w:rsidR="0009420A" w:rsidRPr="0009420A">
        <w:rPr>
          <w:b/>
          <w:bCs/>
        </w:rPr>
        <w:t xml:space="preserve"> </w:t>
      </w:r>
      <w:r w:rsidR="02CA83A5" w:rsidRPr="00DD598C">
        <w:t>202</w:t>
      </w:r>
      <w:r w:rsidR="221A001B">
        <w:t>3</w:t>
      </w:r>
      <w:r w:rsidR="0009420A">
        <w:t xml:space="preserve"> (used for </w:t>
      </w:r>
      <w:r w:rsidR="00D71210">
        <w:t xml:space="preserve">MY </w:t>
      </w:r>
      <w:r w:rsidR="0009420A">
        <w:t xml:space="preserve">2023 and a small number of </w:t>
      </w:r>
      <w:r w:rsidR="00D71210">
        <w:t xml:space="preserve">MY </w:t>
      </w:r>
      <w:r w:rsidR="0009420A">
        <w:t>2024 vehicles)</w:t>
      </w:r>
      <w:r w:rsidR="02CA83A5" w:rsidRPr="00DD598C">
        <w:t>.</w:t>
      </w:r>
    </w:p>
    <w:p w14:paraId="06D9FB33" w14:textId="67A3DF61" w:rsidR="00377696" w:rsidRDefault="64A1D878" w:rsidP="00377696">
      <w:pPr>
        <w:pStyle w:val="Heading"/>
      </w:pPr>
      <w:bookmarkStart w:id="14" w:name="_Toc227069780"/>
      <w:r w:rsidRPr="7ACA0E52">
        <w:rPr>
          <w:rStyle w:val="Heading1Char"/>
        </w:rPr>
        <w:lastRenderedPageBreak/>
        <w:t>3. Methods and Inputs</w:t>
      </w:r>
      <w:bookmarkEnd w:id="14"/>
    </w:p>
    <w:p w14:paraId="42EE8896" w14:textId="32CF2D7E" w:rsidR="00377696" w:rsidRPr="00377696" w:rsidRDefault="26BAC967" w:rsidP="00377696">
      <w:pPr>
        <w:pStyle w:val="Body"/>
      </w:pPr>
      <w:r>
        <w:t xml:space="preserve">GHG reductions associated with the project are calculated by comparing estimates of </w:t>
      </w:r>
      <w:r w:rsidR="5428667C">
        <w:t>fuel-cycle</w:t>
      </w:r>
      <w:r>
        <w:t xml:space="preserve"> emissions </w:t>
      </w:r>
      <w:r w:rsidR="5428667C">
        <w:t xml:space="preserve">for </w:t>
      </w:r>
      <w:r>
        <w:t xml:space="preserve">each </w:t>
      </w:r>
      <w:r w:rsidR="6C6B1E17">
        <w:t xml:space="preserve">rebated </w:t>
      </w:r>
      <w:r>
        <w:t xml:space="preserve">electric vehicle to a baseline vehicle. </w:t>
      </w:r>
      <w:r w:rsidR="5428667C">
        <w:t>Fuel-cycle estimates</w:t>
      </w:r>
      <w:r w:rsidR="6B7F0211">
        <w:t xml:space="preserve"> account for “well-to-wheels” GHGs, including upstream (e.g., fuel production and distribution) and combustion emissions. </w:t>
      </w:r>
      <w:r w:rsidR="00C42C51">
        <w:t xml:space="preserve">As in precursor work, </w:t>
      </w:r>
      <w:r w:rsidR="004A419E">
        <w:t>(</w:t>
      </w:r>
      <w:r w:rsidR="002D6A46">
        <w:t xml:space="preserve">e.g., </w:t>
      </w:r>
      <w:r w:rsidR="004A419E">
        <w:t>[</w:t>
      </w:r>
      <w:r w:rsidR="00403905" w:rsidRPr="00403905">
        <w:rPr>
          <w:rFonts w:cs="Calibri"/>
        </w:rPr>
        <w:t>Pallonetti &amp; Williams, 2021; Pallonetti et al., 2024</w:t>
      </w:r>
      <w:r w:rsidR="00A54C96">
        <w:t>]</w:t>
      </w:r>
      <w:r w:rsidR="004A419E">
        <w:t>)</w:t>
      </w:r>
      <w:r w:rsidR="002D6A46">
        <w:t xml:space="preserve"> </w:t>
      </w:r>
      <w:r w:rsidR="000F2327">
        <w:t>reductions are quantified relative to a new gasoline baseline at two levels: 1) savings associated with all rebated project participants (“rebated reductions”) and 2) savings associated with consumers influenced by the rebate to purchase/lease an EV (“rebate-influenced reductions”). Here, we fully incorporate analysis at an additional level: 3) savings attributable to the program relative to more detailed information about counterfactual purchase and use decisions that participants reportedly think they would have made in absence of CVRP, or “detailed counterfactual reductions.”</w:t>
      </w:r>
    </w:p>
    <w:p w14:paraId="522F97A8" w14:textId="7377A342" w:rsidR="00377696" w:rsidRDefault="26BAC967" w:rsidP="00377696">
      <w:pPr>
        <w:pStyle w:val="Body"/>
      </w:pPr>
      <w:r>
        <w:t xml:space="preserve">The methodology for estimating emissions </w:t>
      </w:r>
      <w:r w:rsidR="006D7503">
        <w:t>follows</w:t>
      </w:r>
      <w:r w:rsidR="68132EC1">
        <w:t>.</w:t>
      </w:r>
      <w:r>
        <w:t xml:space="preserve"> </w:t>
      </w:r>
      <w:r w:rsidR="006D7503">
        <w:t>Det</w:t>
      </w:r>
      <w:r w:rsidR="006B5E6F">
        <w:t>ails on i</w:t>
      </w:r>
      <w:r>
        <w:t xml:space="preserve">nputs and sources are </w:t>
      </w:r>
      <w:r w:rsidR="00375D1B">
        <w:t xml:space="preserve">provided </w:t>
      </w:r>
      <w:r w:rsidR="2463A7AD">
        <w:t xml:space="preserve">in Appendix </w:t>
      </w:r>
      <w:r w:rsidR="12183694">
        <w:t>A</w:t>
      </w:r>
      <w:r>
        <w:t xml:space="preserve">, and sensitivity testing </w:t>
      </w:r>
      <w:r w:rsidR="68132EC1">
        <w:t xml:space="preserve">of those inputs is </w:t>
      </w:r>
      <w:r>
        <w:t xml:space="preserve">described in </w:t>
      </w:r>
      <w:r w:rsidR="12183694">
        <w:t>Appendix</w:t>
      </w:r>
      <w:r>
        <w:t xml:space="preserve"> </w:t>
      </w:r>
      <w:r w:rsidR="4A80C6AD">
        <w:t>B</w:t>
      </w:r>
      <w:r>
        <w:t>. Only light-duty vehicles are included in the input data and assumptions throughout.</w:t>
      </w:r>
    </w:p>
    <w:p w14:paraId="7AAA4975" w14:textId="05AAD6B9" w:rsidR="00377696" w:rsidRPr="003A15C4" w:rsidRDefault="26BAC967" w:rsidP="187DA56C">
      <w:pPr>
        <w:pStyle w:val="Heading2"/>
        <w:rPr>
          <w:rStyle w:val="Bold"/>
          <w:rFonts w:eastAsia="Calibri" w:cs="Calibri"/>
          <w:b w:val="0"/>
          <w:sz w:val="30"/>
          <w:szCs w:val="30"/>
        </w:rPr>
      </w:pPr>
      <w:bookmarkStart w:id="15" w:name="_Toc227069781"/>
      <w:r w:rsidRPr="7ACA0E52">
        <w:rPr>
          <w:rFonts w:eastAsia="Arial Unicode MS" w:cs="Arial Unicode MS"/>
          <w:sz w:val="30"/>
          <w:szCs w:val="30"/>
        </w:rPr>
        <w:t>Methodology for Calculating GHG Emission Reductions</w:t>
      </w:r>
      <w:bookmarkEnd w:id="15"/>
    </w:p>
    <w:p w14:paraId="543EFBA2" w14:textId="017D7533" w:rsidR="00593E0F" w:rsidRPr="00593E0F" w:rsidRDefault="00DE1CB5" w:rsidP="00C92A2B">
      <w:pPr>
        <w:rPr>
          <w:rStyle w:val="Bold"/>
          <w:b w:val="0"/>
          <w:bCs w:val="0"/>
        </w:rPr>
      </w:pPr>
      <w:r>
        <w:t>Following the general approach in precursor work</w:t>
      </w:r>
      <w:r w:rsidR="00F131A6">
        <w:rPr>
          <w:rStyle w:val="Bold"/>
          <w:b w:val="0"/>
          <w:bCs w:val="0"/>
        </w:rPr>
        <w:t xml:space="preserve">, </w:t>
      </w:r>
      <w:r w:rsidR="00E22EE1">
        <w:rPr>
          <w:rStyle w:val="Bold"/>
          <w:b w:val="0"/>
          <w:bCs w:val="0"/>
        </w:rPr>
        <w:t>GHG</w:t>
      </w:r>
      <w:r w:rsidR="00E22EE1" w:rsidRPr="0113ADF5">
        <w:rPr>
          <w:rStyle w:val="Bold"/>
          <w:b w:val="0"/>
          <w:bCs w:val="0"/>
        </w:rPr>
        <w:t xml:space="preserve"> </w:t>
      </w:r>
      <w:r w:rsidR="26BAC967" w:rsidRPr="0113ADF5">
        <w:rPr>
          <w:rStyle w:val="Bold"/>
          <w:b w:val="0"/>
          <w:bCs w:val="0"/>
        </w:rPr>
        <w:t xml:space="preserve">reductions (in metric tons of </w:t>
      </w:r>
      <w:r w:rsidR="00912BCA" w:rsidRPr="00656A63">
        <w:rPr>
          <w:rStyle w:val="Bold"/>
          <w:b w:val="0"/>
          <w:bCs w:val="0"/>
        </w:rPr>
        <w:t>CO</w:t>
      </w:r>
      <w:r w:rsidR="00912BCA" w:rsidRPr="00912BCA">
        <w:rPr>
          <w:rStyle w:val="Bold"/>
          <w:b w:val="0"/>
          <w:bCs w:val="0"/>
          <w:vertAlign w:val="subscript"/>
        </w:rPr>
        <w:t>2</w:t>
      </w:r>
      <w:r w:rsidR="00912BCA" w:rsidRPr="00656A63">
        <w:rPr>
          <w:rStyle w:val="Bold"/>
          <w:b w:val="0"/>
          <w:bCs w:val="0"/>
        </w:rPr>
        <w:t>e</w:t>
      </w:r>
      <w:r w:rsidR="00912BCA" w:rsidRPr="00656A63" w:rsidDel="00656A63">
        <w:rPr>
          <w:rStyle w:val="Bold"/>
          <w:b w:val="0"/>
          <w:bCs w:val="0"/>
        </w:rPr>
        <w:t xml:space="preserve"> </w:t>
      </w:r>
      <w:r w:rsidR="26BAC967" w:rsidRPr="0113ADF5">
        <w:rPr>
          <w:rStyle w:val="Bold"/>
          <w:b w:val="0"/>
          <w:bCs w:val="0"/>
        </w:rPr>
        <w:t>emissions</w:t>
      </w:r>
      <w:r w:rsidR="2B47601C" w:rsidRPr="0113ADF5">
        <w:rPr>
          <w:rStyle w:val="Bold"/>
          <w:b w:val="0"/>
          <w:bCs w:val="0"/>
        </w:rPr>
        <w:t>, or “tons”</w:t>
      </w:r>
      <w:r w:rsidR="26BAC967" w:rsidRPr="0113ADF5">
        <w:rPr>
          <w:rStyle w:val="Bold"/>
          <w:b w:val="0"/>
          <w:bCs w:val="0"/>
        </w:rPr>
        <w:t xml:space="preserve">) are calculated by summing for each rebate the difference between estimates of the emissions avoided (from a baseline </w:t>
      </w:r>
      <w:r w:rsidR="00AD2453">
        <w:rPr>
          <w:rStyle w:val="Bold"/>
          <w:b w:val="0"/>
          <w:bCs w:val="0"/>
        </w:rPr>
        <w:t xml:space="preserve">gasoline </w:t>
      </w:r>
      <w:r w:rsidR="006F5436">
        <w:rPr>
          <w:rStyle w:val="Bold"/>
          <w:b w:val="0"/>
          <w:bCs w:val="0"/>
        </w:rPr>
        <w:t xml:space="preserve">or counterfactual </w:t>
      </w:r>
      <w:r w:rsidR="00AD2453">
        <w:rPr>
          <w:rStyle w:val="Bold"/>
          <w:b w:val="0"/>
          <w:bCs w:val="0"/>
        </w:rPr>
        <w:t xml:space="preserve">comparison </w:t>
      </w:r>
      <w:r w:rsidR="26BAC967" w:rsidRPr="0113ADF5">
        <w:rPr>
          <w:rStyle w:val="Bold"/>
          <w:b w:val="0"/>
          <w:bCs w:val="0"/>
        </w:rPr>
        <w:t>vehicle) and the emissions produced (by a rebated vehicle)</w:t>
      </w:r>
      <w:r w:rsidR="00933CAD">
        <w:rPr>
          <w:rStyle w:val="Bold"/>
          <w:b w:val="0"/>
          <w:bCs w:val="0"/>
        </w:rPr>
        <w:t>.</w:t>
      </w:r>
      <w:r w:rsidR="007F5D2C">
        <w:rPr>
          <w:rStyle w:val="Bold"/>
          <w:b w:val="0"/>
          <w:bCs w:val="0"/>
        </w:rPr>
        <w:t xml:space="preserve"> </w:t>
      </w:r>
      <w:r w:rsidR="007F315E">
        <w:rPr>
          <w:rStyle w:val="Bold"/>
          <w:b w:val="0"/>
          <w:bCs w:val="0"/>
        </w:rPr>
        <w:t xml:space="preserve">Calculations for rebated vehicles, baseline vehicles, and the quantification period are described next, followed by </w:t>
      </w:r>
      <w:r w:rsidR="00A370C2">
        <w:rPr>
          <w:rStyle w:val="Bold"/>
          <w:b w:val="0"/>
          <w:bCs w:val="0"/>
        </w:rPr>
        <w:t xml:space="preserve">details </w:t>
      </w:r>
      <w:r w:rsidR="007F315E">
        <w:rPr>
          <w:rStyle w:val="Bold"/>
          <w:b w:val="0"/>
          <w:bCs w:val="0"/>
        </w:rPr>
        <w:t xml:space="preserve">of rebate influence and counterfactual behaviors. </w:t>
      </w:r>
    </w:p>
    <w:p w14:paraId="2FA3445D" w14:textId="71E9DC80" w:rsidR="00EF5F99" w:rsidRDefault="00C30F5F" w:rsidP="00527AED">
      <w:pPr>
        <w:rPr>
          <w:rStyle w:val="Bold"/>
          <w:b w:val="0"/>
          <w:bCs w:val="0"/>
        </w:rPr>
      </w:pPr>
      <w:r>
        <w:rPr>
          <w:rStyle w:val="Bold"/>
          <w:b w:val="0"/>
          <w:bCs w:val="0"/>
        </w:rPr>
        <w:t>Time-variant and s</w:t>
      </w:r>
      <w:r w:rsidR="64A1D878" w:rsidRPr="7ACA0E52">
        <w:rPr>
          <w:rStyle w:val="Bold"/>
          <w:b w:val="0"/>
          <w:bCs w:val="0"/>
        </w:rPr>
        <w:t xml:space="preserve">tate-specific or other best-available inputs tailored to the </w:t>
      </w:r>
      <w:r w:rsidR="00D305AC">
        <w:rPr>
          <w:rStyle w:val="Bold"/>
          <w:b w:val="0"/>
          <w:bCs w:val="0"/>
        </w:rPr>
        <w:t xml:space="preserve">program </w:t>
      </w:r>
      <w:r w:rsidR="64A1D878" w:rsidRPr="7ACA0E52">
        <w:rPr>
          <w:rStyle w:val="Bold"/>
          <w:b w:val="0"/>
          <w:bCs w:val="0"/>
        </w:rPr>
        <w:t>are used to quantify emissions from each baseline and rebated vehicle.</w:t>
      </w:r>
      <w:r w:rsidR="2B8AE3E3" w:rsidRPr="7ACA0E52">
        <w:rPr>
          <w:rStyle w:val="Bold"/>
          <w:b w:val="0"/>
          <w:bCs w:val="0"/>
        </w:rPr>
        <w:t xml:space="preserve"> These inputs </w:t>
      </w:r>
      <w:r w:rsidR="00213C95">
        <w:rPr>
          <w:rStyle w:val="Bold"/>
          <w:b w:val="0"/>
          <w:bCs w:val="0"/>
        </w:rPr>
        <w:t xml:space="preserve">(detailed further in Appendix A) </w:t>
      </w:r>
      <w:r w:rsidR="2B8AE3E3" w:rsidRPr="7ACA0E52">
        <w:rPr>
          <w:rStyle w:val="Bold"/>
          <w:b w:val="0"/>
          <w:bCs w:val="0"/>
        </w:rPr>
        <w:t xml:space="preserve">characterize the carbon intensity of fuels, the vehicle consumption rate of fuel, and the vehicle miles traveled. </w:t>
      </w:r>
    </w:p>
    <w:p w14:paraId="2EB63A4B" w14:textId="7EA66D2B" w:rsidR="00F62BA1" w:rsidRDefault="00F62BA1" w:rsidP="00815F9E">
      <w:pPr>
        <w:pStyle w:val="Heading3"/>
        <w:rPr>
          <w:rStyle w:val="Bold"/>
        </w:rPr>
      </w:pPr>
      <w:bookmarkStart w:id="16" w:name="_Toc227069782"/>
      <w:r>
        <w:rPr>
          <w:rFonts w:eastAsia="Arial Unicode MS" w:cs="Arial Unicode MS"/>
        </w:rPr>
        <w:t>Rebated Vehicles</w:t>
      </w:r>
      <w:bookmarkEnd w:id="16"/>
    </w:p>
    <w:p w14:paraId="19F3465A" w14:textId="264C99F9" w:rsidR="00071DE9" w:rsidRDefault="2B8AE3E3" w:rsidP="00602C52">
      <w:pPr>
        <w:rPr>
          <w:rStyle w:val="Bold"/>
          <w:b w:val="0"/>
          <w:bCs w:val="0"/>
        </w:rPr>
      </w:pPr>
      <w:r>
        <w:t xml:space="preserve">Following the approach in </w:t>
      </w:r>
      <w:r w:rsidR="00FD2EAE" w:rsidRPr="00FD2EAE">
        <w:rPr>
          <w:rFonts w:cs="Calibri"/>
        </w:rPr>
        <w:t>(CARB, 2017b)</w:t>
      </w:r>
      <w:r>
        <w:t>, emissions are calculated using statewide average carbon intensity (CI) values for each fuel</w:t>
      </w:r>
      <w:r w:rsidR="00FC0CD2">
        <w:t>.</w:t>
      </w:r>
      <w:r w:rsidR="00C32AD3" w:rsidRPr="001E5E83">
        <w:rPr>
          <w:rStyle w:val="FootnoteReference"/>
        </w:rPr>
        <w:footnoteReference w:id="5"/>
      </w:r>
      <w:r w:rsidR="003D4C5F" w:rsidRPr="003D4C5F">
        <w:t xml:space="preserve"> </w:t>
      </w:r>
      <w:r w:rsidR="00051D15" w:rsidRPr="0077F6DE">
        <w:rPr>
          <w:rStyle w:val="Bold"/>
          <w:b w:val="0"/>
          <w:bCs w:val="0"/>
        </w:rPr>
        <w:t xml:space="preserve">To account for </w:t>
      </w:r>
      <w:r w:rsidR="0062624B" w:rsidRPr="0077F6DE">
        <w:rPr>
          <w:rStyle w:val="Bold"/>
          <w:b w:val="0"/>
          <w:bCs w:val="0"/>
        </w:rPr>
        <w:t xml:space="preserve">cleaning of the California </w:t>
      </w:r>
      <w:r w:rsidR="00EA2DDD" w:rsidRPr="0077F6DE">
        <w:rPr>
          <w:rStyle w:val="Bold"/>
          <w:b w:val="0"/>
          <w:bCs w:val="0"/>
        </w:rPr>
        <w:t xml:space="preserve">electric </w:t>
      </w:r>
      <w:r w:rsidR="0062624B" w:rsidRPr="0077F6DE">
        <w:rPr>
          <w:rStyle w:val="Bold"/>
          <w:b w:val="0"/>
          <w:bCs w:val="0"/>
        </w:rPr>
        <w:t>fuel pool under the Low Carbon Fuel Standard (LCFS)</w:t>
      </w:r>
      <w:r w:rsidR="006533DA" w:rsidRPr="0077F6DE">
        <w:rPr>
          <w:rStyle w:val="Bold"/>
          <w:b w:val="0"/>
          <w:bCs w:val="0"/>
        </w:rPr>
        <w:t xml:space="preserve">, </w:t>
      </w:r>
      <w:r w:rsidR="00A33C5D" w:rsidRPr="0077F6DE">
        <w:rPr>
          <w:rStyle w:val="Bold"/>
          <w:b w:val="0"/>
          <w:bCs w:val="0"/>
        </w:rPr>
        <w:t xml:space="preserve">time-variant inputs are used </w:t>
      </w:r>
      <w:r w:rsidR="00EA2DDD" w:rsidRPr="0077F6DE">
        <w:rPr>
          <w:rStyle w:val="Bold"/>
          <w:b w:val="0"/>
          <w:bCs w:val="0"/>
        </w:rPr>
        <w:t xml:space="preserve">based on </w:t>
      </w:r>
      <w:r w:rsidR="006533DA" w:rsidRPr="0077F6DE">
        <w:rPr>
          <w:rStyle w:val="Bold"/>
          <w:b w:val="0"/>
          <w:bCs w:val="0"/>
        </w:rPr>
        <w:t xml:space="preserve">annual </w:t>
      </w:r>
      <w:r w:rsidR="00A33C5D" w:rsidRPr="0077F6DE">
        <w:rPr>
          <w:rStyle w:val="Bold"/>
          <w:b w:val="0"/>
          <w:bCs w:val="0"/>
        </w:rPr>
        <w:t xml:space="preserve">carbon intensity data from </w:t>
      </w:r>
      <w:r w:rsidR="00E4530D" w:rsidRPr="0077F6DE">
        <w:rPr>
          <w:rStyle w:val="Bold"/>
          <w:b w:val="0"/>
          <w:bCs w:val="0"/>
        </w:rPr>
        <w:t xml:space="preserve">LCFS </w:t>
      </w:r>
      <w:r w:rsidR="008842D8" w:rsidRPr="0077F6DE">
        <w:rPr>
          <w:rStyle w:val="Bold"/>
          <w:b w:val="0"/>
          <w:bCs w:val="0"/>
        </w:rPr>
        <w:t>reporting</w:t>
      </w:r>
      <w:r w:rsidR="00E4530D" w:rsidRPr="0077F6DE">
        <w:rPr>
          <w:rStyle w:val="Bold"/>
          <w:b w:val="0"/>
          <w:bCs w:val="0"/>
        </w:rPr>
        <w:t xml:space="preserve"> </w:t>
      </w:r>
      <w:r w:rsidR="00114737">
        <w:rPr>
          <w:rStyle w:val="Bold"/>
          <w:b w:val="0"/>
          <w:bCs w:val="0"/>
        </w:rPr>
        <w:t>(</w:t>
      </w:r>
      <w:r w:rsidR="00E4530D" w:rsidRPr="0077F6DE">
        <w:rPr>
          <w:rStyle w:val="Bold"/>
          <w:b w:val="0"/>
          <w:bCs w:val="0"/>
        </w:rPr>
        <w:t xml:space="preserve">see Appendix </w:t>
      </w:r>
      <w:r w:rsidR="008842D8" w:rsidRPr="0077F6DE">
        <w:rPr>
          <w:rStyle w:val="Bold"/>
          <w:b w:val="0"/>
          <w:bCs w:val="0"/>
        </w:rPr>
        <w:t>A</w:t>
      </w:r>
      <w:r w:rsidR="00114737">
        <w:rPr>
          <w:rStyle w:val="Bold"/>
          <w:b w:val="0"/>
          <w:bCs w:val="0"/>
        </w:rPr>
        <w:t>)</w:t>
      </w:r>
      <w:r w:rsidR="00E4530D" w:rsidRPr="0077F6DE">
        <w:rPr>
          <w:rStyle w:val="Bold"/>
          <w:b w:val="0"/>
          <w:bCs w:val="0"/>
        </w:rPr>
        <w:t>.</w:t>
      </w:r>
    </w:p>
    <w:p w14:paraId="2216FC63" w14:textId="1CDB43A9" w:rsidR="001E1FF1" w:rsidRPr="003A15C4" w:rsidRDefault="001E1FF1" w:rsidP="001E1FF1">
      <w:pPr>
        <w:pStyle w:val="Body"/>
        <w:rPr>
          <w:rStyle w:val="Bold"/>
          <w:b w:val="0"/>
          <w:bCs w:val="0"/>
        </w:rPr>
      </w:pPr>
      <w:r>
        <w:lastRenderedPageBreak/>
        <w:t xml:space="preserve">Rebated-vehicle fuel consumption rates are converted from the model- and model-year-specific combined city/highway fuel economy label ratings from the EPA </w:t>
      </w:r>
      <w:r w:rsidR="00FD2EAE" w:rsidRPr="00FD2EAE">
        <w:rPr>
          <w:rFonts w:cs="Calibri"/>
        </w:rPr>
        <w:t>(US Department of Energy &amp; US Environmental Protection Agency, 2024)</w:t>
      </w:r>
      <w:r>
        <w:t xml:space="preserve">. Annual vehicle miles traveled (VMT) estimates are derived from surveys of EV drivers in California (detailed along with other inputs in Appendix A). These estimates vary by the rebated vehicle technology type and, for BEVs, a range subcategory (short or long range) of the model. </w:t>
      </w:r>
      <w:r w:rsidR="00CF7594">
        <w:rPr>
          <w:rStyle w:val="Bold"/>
          <w:b w:val="0"/>
          <w:bCs w:val="0"/>
        </w:rPr>
        <w:t xml:space="preserve">Annual VMT is </w:t>
      </w:r>
      <w:r w:rsidR="00CF7594" w:rsidRPr="001C4F7A">
        <w:rPr>
          <w:rStyle w:val="Bold"/>
          <w:b w:val="0"/>
          <w:bCs w:val="0"/>
        </w:rPr>
        <w:t>assumed to decrease year over year based on the</w:t>
      </w:r>
      <w:r w:rsidR="00C457E7">
        <w:rPr>
          <w:rStyle w:val="Bold"/>
          <w:b w:val="0"/>
          <w:bCs w:val="0"/>
        </w:rPr>
        <w:t xml:space="preserve"> Transportation Energy Data Book</w:t>
      </w:r>
      <w:r w:rsidR="00CF7594" w:rsidRPr="001C4F7A">
        <w:rPr>
          <w:rStyle w:val="Bold"/>
          <w:b w:val="0"/>
          <w:bCs w:val="0"/>
        </w:rPr>
        <w:t xml:space="preserve"> </w:t>
      </w:r>
      <w:r w:rsidR="00873255" w:rsidRPr="00873255">
        <w:rPr>
          <w:rFonts w:cs="Calibri"/>
        </w:rPr>
        <w:t>(Davis &amp; Boundy, 2022)</w:t>
      </w:r>
      <w:r w:rsidR="00CF7594">
        <w:rPr>
          <w:rStyle w:val="Bold"/>
          <w:b w:val="0"/>
          <w:bCs w:val="0"/>
        </w:rPr>
        <w:t xml:space="preserve"> </w:t>
      </w:r>
      <w:r w:rsidR="00CF7594" w:rsidRPr="001C4F7A">
        <w:rPr>
          <w:rStyle w:val="Bold"/>
          <w:b w:val="0"/>
          <w:bCs w:val="0"/>
        </w:rPr>
        <w:t>Table 3.14 schedule</w:t>
      </w:r>
      <w:r w:rsidR="00CF7594">
        <w:rPr>
          <w:rStyle w:val="Bold"/>
          <w:b w:val="0"/>
          <w:bCs w:val="0"/>
        </w:rPr>
        <w:t>.</w:t>
      </w:r>
      <w:r w:rsidR="00CF7594" w:rsidRPr="001C4F7A">
        <w:rPr>
          <w:rStyle w:val="Bold"/>
          <w:b w:val="0"/>
          <w:bCs w:val="0"/>
        </w:rPr>
        <w:t xml:space="preserve"> </w:t>
      </w:r>
      <w:r>
        <w:t xml:space="preserve">For PHEVs, which use both electric and gasoline fuels, a curve </w:t>
      </w:r>
      <w:proofErr w:type="gramStart"/>
      <w:r>
        <w:t>is fit</w:t>
      </w:r>
      <w:proofErr w:type="gramEnd"/>
      <w:r>
        <w:t xml:space="preserve"> through key data points in the literature to produce model-specific electric</w:t>
      </w:r>
      <w:r w:rsidR="002C6728">
        <w:t xml:space="preserve"> </w:t>
      </w:r>
      <w:r>
        <w:t>VMT percentages (or utility factors) to assign proportions of total travel to electricity (see Appendix A).</w:t>
      </w:r>
      <w:r w:rsidRPr="2F1055DC">
        <w:rPr>
          <w:rStyle w:val="Bold"/>
          <w:b w:val="0"/>
          <w:bCs w:val="0"/>
        </w:rPr>
        <w:t xml:space="preserve"> The emissions produced by each individual rebated vehicle are calculated as:</w:t>
      </w:r>
    </w:p>
    <w:p w14:paraId="66DD2912" w14:textId="77777777" w:rsidR="001E1FF1" w:rsidRPr="009A372B" w:rsidRDefault="00000000" w:rsidP="001E1FF1">
      <w:pPr>
        <w:jc w:val="center"/>
      </w:pPr>
      <m:oMathPara>
        <m:oMath>
          <m:sSub>
            <m:sSubPr>
              <m:ctrlPr>
                <w:rPr>
                  <w:rFonts w:ascii="Cambria Math" w:hAnsi="Cambria Math"/>
                </w:rPr>
              </m:ctrlPr>
            </m:sSubPr>
            <m:e>
              <m:r>
                <w:rPr>
                  <w:rFonts w:ascii="Cambria Math" w:hAnsi="Cambria Math"/>
                </w:rPr>
                <m:t>E</m:t>
              </m:r>
            </m:e>
            <m:sub>
              <m:r>
                <w:rPr>
                  <w:rFonts w:ascii="Cambria Math" w:hAnsi="Cambria Math"/>
                </w:rPr>
                <m:t>i</m:t>
              </m:r>
              <m:r>
                <m:rPr>
                  <m:sty m:val="p"/>
                </m:rPr>
                <w:rPr>
                  <w:rFonts w:ascii="Cambria Math" w:hAnsi="Cambria Math"/>
                </w:rPr>
                <m:t>, rebated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w:rPr>
                  <w:rFonts w:ascii="Cambria Math" w:hAnsi="Cambria Math"/>
                </w:rPr>
                <m:t>f</m:t>
              </m:r>
            </m:sub>
          </m:sSub>
          <m:sSub>
            <m:sSubPr>
              <m:ctrlPr>
                <w:rPr>
                  <w:rFonts w:ascii="Cambria Math" w:hAnsi="Cambria Math"/>
                </w:rPr>
              </m:ctrlPr>
            </m:sSubPr>
            <m:e>
              <m:r>
                <m:rPr>
                  <m:sty m:val="p"/>
                </m:rPr>
                <w:rPr>
                  <w:rFonts w:ascii="Cambria Math" w:hAnsi="Cambria Math"/>
                </w:rPr>
                <m:t>(</m:t>
              </m:r>
              <m:r>
                <w:rPr>
                  <w:rFonts w:ascii="Cambria Math" w:hAnsi="Cambria Math"/>
                </w:rPr>
                <m:t>CI</m:t>
              </m:r>
            </m:e>
            <m:sub>
              <m:r>
                <w:rPr>
                  <w:rFonts w:ascii="Cambria Math" w:hAnsi="Cambria Math"/>
                </w:rPr>
                <m:t>f</m:t>
              </m:r>
            </m:sub>
          </m:sSub>
          <m:d>
            <m:dPr>
              <m:ctrlPr>
                <w:rPr>
                  <w:rFonts w:ascii="Cambria Math" w:hAnsi="Cambria Math"/>
                </w:rPr>
              </m:ctrlPr>
            </m:dPr>
            <m:e>
              <m:r>
                <w:rPr>
                  <w:rFonts w:ascii="Cambria Math" w:hAnsi="Cambria Math"/>
                </w:rPr>
                <m:t>CY</m:t>
              </m:r>
            </m:e>
          </m:d>
          <m:r>
            <m:rPr>
              <m:sty m:val="p"/>
            </m:rPr>
            <w:rPr>
              <w:rFonts w:ascii="Cambria Math" w:hAnsi="Cambria Math"/>
            </w:rPr>
            <m:t xml:space="preserve">* </m:t>
          </m:r>
          <m:sSub>
            <m:sSubPr>
              <m:ctrlPr>
                <w:rPr>
                  <w:rFonts w:ascii="Cambria Math" w:hAnsi="Cambria Math"/>
                </w:rPr>
              </m:ctrlPr>
            </m:sSubPr>
            <m:e>
              <m:r>
                <w:rPr>
                  <w:rFonts w:ascii="Cambria Math" w:hAnsi="Cambria Math"/>
                </w:rPr>
                <m:t>FC</m:t>
              </m:r>
            </m:e>
            <m:sub>
              <m:r>
                <w:rPr>
                  <w:rFonts w:ascii="Cambria Math" w:hAnsi="Cambria Math"/>
                </w:rPr>
                <m:t>f</m:t>
              </m:r>
            </m:sub>
          </m:sSub>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MY</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VMT</m:t>
              </m:r>
            </m:e>
            <m:sub>
              <m:r>
                <w:rPr>
                  <w:rFonts w:ascii="Cambria Math" w:hAnsi="Cambria Math"/>
                </w:rPr>
                <m:t>f</m:t>
              </m:r>
            </m:sub>
          </m:sSub>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r</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MY</m:t>
          </m:r>
          <m:r>
            <m:rPr>
              <m:sty m:val="p"/>
            </m:rPr>
            <w:rPr>
              <w:rFonts w:ascii="Cambria Math" w:hAnsi="Cambria Math"/>
            </w:rPr>
            <m:t>)])</m:t>
          </m:r>
        </m:oMath>
      </m:oMathPara>
    </w:p>
    <w:p w14:paraId="4D7D7FD7" w14:textId="77777777" w:rsidR="001E1FF1" w:rsidRPr="003A15C4" w:rsidRDefault="001E1FF1" w:rsidP="001E1FF1">
      <w:pPr>
        <w:spacing w:after="0"/>
        <w:ind w:left="1440" w:hanging="720"/>
        <w:rPr>
          <w:rStyle w:val="Bold"/>
          <w:b w:val="0"/>
        </w:rPr>
      </w:pPr>
      <w:r w:rsidRPr="7ACA0E52">
        <w:rPr>
          <w:rStyle w:val="Bold"/>
          <w:b w:val="0"/>
          <w:bCs w:val="0"/>
        </w:rPr>
        <w:t>where:</w:t>
      </w:r>
    </w:p>
    <w:p w14:paraId="3F89679B" w14:textId="58627576" w:rsidR="006C46BF" w:rsidRDefault="006C46BF" w:rsidP="006C46BF">
      <w:pPr>
        <w:spacing w:after="0"/>
        <w:ind w:left="720"/>
        <w:rPr>
          <w:rStyle w:val="Bold"/>
          <w:b w:val="0"/>
          <w:bCs w:val="0"/>
        </w:rPr>
      </w:pPr>
      <m:oMath>
        <m:r>
          <w:rPr>
            <w:rStyle w:val="Bold"/>
            <w:rFonts w:ascii="Cambria Math" w:hAnsi="Cambria Math"/>
          </w:rPr>
          <m:t>E</m:t>
        </m:r>
      </m:oMath>
      <w:r w:rsidRPr="7ACA0E52">
        <w:rPr>
          <w:rStyle w:val="Bold"/>
          <w:b w:val="0"/>
          <w:bCs w:val="0"/>
        </w:rPr>
        <w:t xml:space="preserve"> = </w:t>
      </w:r>
      <w:r w:rsidR="000C2D48">
        <w:rPr>
          <w:rStyle w:val="Bold"/>
          <w:b w:val="0"/>
          <w:bCs w:val="0"/>
        </w:rPr>
        <w:t xml:space="preserve">Annual </w:t>
      </w:r>
      <w:r w:rsidRPr="7ACA0E52">
        <w:rPr>
          <w:rStyle w:val="Bold"/>
          <w:b w:val="0"/>
          <w:bCs w:val="0"/>
        </w:rPr>
        <w:t>GHG emissions</w:t>
      </w:r>
    </w:p>
    <w:p w14:paraId="1A361981" w14:textId="7863511F" w:rsidR="006C49D3" w:rsidRDefault="006C49D3" w:rsidP="001E1FF1">
      <w:pPr>
        <w:spacing w:after="0"/>
        <w:ind w:left="1440" w:hanging="720"/>
        <w:rPr>
          <w:rStyle w:val="Bold"/>
          <w:b w:val="0"/>
          <w:bCs w:val="0"/>
        </w:rPr>
      </w:pPr>
      <m:oMath>
        <m:r>
          <w:rPr>
            <w:rStyle w:val="Bold"/>
            <w:rFonts w:ascii="Cambria Math" w:hAnsi="Cambria Math"/>
          </w:rPr>
          <m:t>i</m:t>
        </m:r>
      </m:oMath>
      <w:r w:rsidRPr="7ACA0E52">
        <w:rPr>
          <w:rStyle w:val="Bold"/>
          <w:b w:val="0"/>
          <w:bCs w:val="0"/>
        </w:rPr>
        <w:t xml:space="preserve"> = each individual </w:t>
      </w:r>
      <w:r>
        <w:rPr>
          <w:rStyle w:val="Bold"/>
          <w:b w:val="0"/>
          <w:bCs w:val="0"/>
        </w:rPr>
        <w:t>vehicle</w:t>
      </w:r>
    </w:p>
    <w:p w14:paraId="629E2EF3" w14:textId="1A9D28E2" w:rsidR="001E1FF1" w:rsidRPr="003A15C4" w:rsidRDefault="001E1FF1" w:rsidP="001E1FF1">
      <w:pPr>
        <w:spacing w:after="0"/>
        <w:ind w:left="1440" w:hanging="720"/>
        <w:rPr>
          <w:rStyle w:val="Bold"/>
          <w:b w:val="0"/>
          <w:bCs w:val="0"/>
        </w:rPr>
      </w:pPr>
      <w:r w:rsidRPr="00A17C35">
        <w:rPr>
          <w:rStyle w:val="Bold"/>
          <w:b w:val="0"/>
          <w:bCs w:val="0"/>
          <w:i/>
          <w:iCs/>
        </w:rPr>
        <w:t>f</w:t>
      </w:r>
      <w:r w:rsidRPr="2F1055DC">
        <w:rPr>
          <w:rStyle w:val="Bold"/>
          <w:b w:val="0"/>
          <w:bCs w:val="0"/>
        </w:rPr>
        <w:t xml:space="preserve"> = fuel used by rebated vehicle {gasoline, electricity, hydrogen}</w:t>
      </w:r>
    </w:p>
    <w:p w14:paraId="697C03EE" w14:textId="4C52998E" w:rsidR="001E1FF1" w:rsidRPr="00377696" w:rsidRDefault="00000000" w:rsidP="001E1FF1">
      <w:pPr>
        <w:spacing w:after="0"/>
        <w:ind w:left="1440" w:hanging="720"/>
        <w:rPr>
          <w:rStyle w:val="Bold"/>
          <w:b w:val="0"/>
          <w:bCs w:val="0"/>
        </w:rPr>
      </w:pPr>
      <m:oMath>
        <m:sSub>
          <m:sSubPr>
            <m:ctrlPr>
              <w:rPr>
                <w:rStyle w:val="Bold"/>
                <w:rFonts w:ascii="Cambria Math" w:hAnsi="Cambria Math"/>
                <w:b w:val="0"/>
                <w:bCs w:val="0"/>
              </w:rPr>
            </m:ctrlPr>
          </m:sSubPr>
          <m:e>
            <m:r>
              <w:rPr>
                <w:rStyle w:val="Bold"/>
                <w:rFonts w:ascii="Cambria Math" w:hAnsi="Cambria Math"/>
              </w:rPr>
              <m:t>CI</m:t>
            </m:r>
          </m:e>
          <m:sub>
            <m:r>
              <w:rPr>
                <w:rStyle w:val="Bold"/>
                <w:rFonts w:ascii="Cambria Math" w:hAnsi="Cambria Math"/>
              </w:rPr>
              <m:t>f</m:t>
            </m:r>
          </m:sub>
        </m:sSub>
      </m:oMath>
      <w:r w:rsidR="001E1FF1" w:rsidRPr="00377696">
        <w:rPr>
          <w:rStyle w:val="Bold"/>
          <w:b w:val="0"/>
          <w:bCs w:val="0"/>
        </w:rPr>
        <w:t xml:space="preserve"> = carbon intensity of fuel </w:t>
      </w:r>
      <w:r w:rsidR="001E1FF1" w:rsidRPr="00A17C35">
        <w:rPr>
          <w:rStyle w:val="Bold"/>
          <w:b w:val="0"/>
          <w:bCs w:val="0"/>
          <w:i/>
          <w:iCs/>
        </w:rPr>
        <w:t>f</w:t>
      </w:r>
      <w:r w:rsidR="001E1FF1" w:rsidRPr="00377696">
        <w:rPr>
          <w:rStyle w:val="Bold"/>
          <w:b w:val="0"/>
          <w:bCs w:val="0"/>
        </w:rPr>
        <w:t xml:space="preserve"> [in units of life-cycle CO</w:t>
      </w:r>
      <w:r w:rsidR="001E1FF1" w:rsidRPr="00BE2F20">
        <w:rPr>
          <w:rStyle w:val="Bold"/>
          <w:b w:val="0"/>
          <w:bCs w:val="0"/>
          <w:vertAlign w:val="subscript"/>
        </w:rPr>
        <w:t>2</w:t>
      </w:r>
      <w:r w:rsidR="001E1FF1" w:rsidRPr="00377696">
        <w:rPr>
          <w:rStyle w:val="Bold"/>
          <w:b w:val="0"/>
          <w:bCs w:val="0"/>
        </w:rPr>
        <w:t>e</w:t>
      </w:r>
      <w:r w:rsidR="001E1FF1">
        <w:rPr>
          <w:rStyle w:val="Bold"/>
          <w:b w:val="0"/>
          <w:bCs w:val="0"/>
        </w:rPr>
        <w:t xml:space="preserve"> emissions</w:t>
      </w:r>
      <w:r w:rsidR="001E1FF1" w:rsidRPr="00377696">
        <w:rPr>
          <w:rStyle w:val="Bold"/>
          <w:b w:val="0"/>
          <w:bCs w:val="0"/>
        </w:rPr>
        <w:t xml:space="preserve"> per unit of fuel], which is calendar year (</w:t>
      </w:r>
      <w:r w:rsidR="001E1FF1" w:rsidRPr="00DF09CA">
        <w:rPr>
          <w:rStyle w:val="Bold"/>
          <w:b w:val="0"/>
          <w:bCs w:val="0"/>
          <w:i/>
          <w:iCs/>
        </w:rPr>
        <w:t>CY</w:t>
      </w:r>
      <w:r w:rsidR="001E1FF1" w:rsidRPr="00377696">
        <w:rPr>
          <w:rStyle w:val="Bold"/>
          <w:b w:val="0"/>
          <w:bCs w:val="0"/>
        </w:rPr>
        <w:t>) specific for electricity</w:t>
      </w:r>
    </w:p>
    <w:p w14:paraId="55AFB1A1" w14:textId="2F5C8FF7" w:rsidR="001E1FF1" w:rsidRPr="00377696" w:rsidRDefault="00000000" w:rsidP="001E1FF1">
      <w:pPr>
        <w:spacing w:after="0"/>
        <w:ind w:left="1440" w:hanging="720"/>
        <w:rPr>
          <w:rStyle w:val="Bold"/>
          <w:b w:val="0"/>
          <w:bCs w:val="0"/>
        </w:rPr>
      </w:pPr>
      <m:oMath>
        <m:sSub>
          <m:sSubPr>
            <m:ctrlPr>
              <w:rPr>
                <w:rStyle w:val="Bold"/>
                <w:rFonts w:ascii="Cambria Math" w:hAnsi="Cambria Math"/>
                <w:b w:val="0"/>
                <w:bCs w:val="0"/>
              </w:rPr>
            </m:ctrlPr>
          </m:sSubPr>
          <m:e>
            <m:r>
              <w:rPr>
                <w:rStyle w:val="Bold"/>
                <w:rFonts w:ascii="Cambria Math" w:hAnsi="Cambria Math"/>
              </w:rPr>
              <m:t>FC</m:t>
            </m:r>
          </m:e>
          <m:sub>
            <m:r>
              <w:rPr>
                <w:rStyle w:val="Bold"/>
                <w:rFonts w:ascii="Cambria Math" w:hAnsi="Cambria Math"/>
              </w:rPr>
              <m:t>f</m:t>
            </m:r>
          </m:sub>
        </m:sSub>
        <m:r>
          <m:rPr>
            <m:sty m:val="p"/>
          </m:rPr>
          <w:rPr>
            <w:rStyle w:val="Bold"/>
            <w:rFonts w:ascii="Cambria Math" w:hAnsi="Cambria Math"/>
          </w:rPr>
          <m:t xml:space="preserve"> </m:t>
        </m:r>
      </m:oMath>
      <w:r w:rsidR="001E1FF1" w:rsidRPr="00377696">
        <w:rPr>
          <w:rStyle w:val="Bold"/>
          <w:b w:val="0"/>
          <w:bCs w:val="0"/>
        </w:rPr>
        <w:t xml:space="preserve">= fuel consumption rate [in units of gal, kWh, or kg of fuel </w:t>
      </w:r>
      <w:r w:rsidR="001E1FF1" w:rsidRPr="005A1F7A">
        <w:rPr>
          <w:rStyle w:val="Bold"/>
          <w:b w:val="0"/>
          <w:bCs w:val="0"/>
          <w:i/>
          <w:iCs/>
        </w:rPr>
        <w:t>f</w:t>
      </w:r>
      <w:r w:rsidR="001E1FF1" w:rsidRPr="00377696">
        <w:rPr>
          <w:rStyle w:val="Bold"/>
          <w:b w:val="0"/>
          <w:bCs w:val="0"/>
        </w:rPr>
        <w:t xml:space="preserve"> per mile], which varies by model (</w:t>
      </w:r>
      <w:r w:rsidR="001E1FF1" w:rsidRPr="004E7C84">
        <w:rPr>
          <w:rStyle w:val="Bold"/>
          <w:b w:val="0"/>
          <w:bCs w:val="0"/>
          <w:i/>
          <w:iCs/>
        </w:rPr>
        <w:t>m</w:t>
      </w:r>
      <w:r w:rsidR="001E1FF1" w:rsidRPr="00377696">
        <w:rPr>
          <w:rStyle w:val="Bold"/>
          <w:b w:val="0"/>
          <w:bCs w:val="0"/>
        </w:rPr>
        <w:t>) and model year (</w:t>
      </w:r>
      <w:r w:rsidR="001E1FF1" w:rsidRPr="004E7C84">
        <w:rPr>
          <w:rStyle w:val="Bold"/>
          <w:b w:val="0"/>
          <w:bCs w:val="0"/>
          <w:i/>
          <w:iCs/>
        </w:rPr>
        <w:t>MY</w:t>
      </w:r>
      <w:r w:rsidR="001E1FF1" w:rsidRPr="00377696">
        <w:rPr>
          <w:rStyle w:val="Bold"/>
          <w:b w:val="0"/>
          <w:bCs w:val="0"/>
        </w:rPr>
        <w:t>)</w:t>
      </w:r>
    </w:p>
    <w:p w14:paraId="503E441B" w14:textId="0DB4C870" w:rsidR="001E1FF1" w:rsidRPr="00377696" w:rsidRDefault="00000000" w:rsidP="001E1FF1">
      <w:pPr>
        <w:spacing w:after="0"/>
        <w:ind w:left="1440" w:hanging="720"/>
        <w:rPr>
          <w:rStyle w:val="Bold"/>
          <w:b w:val="0"/>
          <w:bCs w:val="0"/>
        </w:rPr>
      </w:pPr>
      <m:oMath>
        <m:sSub>
          <m:sSubPr>
            <m:ctrlPr>
              <w:rPr>
                <w:rStyle w:val="Bold"/>
                <w:rFonts w:ascii="Cambria Math" w:hAnsi="Cambria Math"/>
                <w:b w:val="0"/>
                <w:bCs w:val="0"/>
              </w:rPr>
            </m:ctrlPr>
          </m:sSubPr>
          <m:e>
            <m:r>
              <w:rPr>
                <w:rStyle w:val="Bold"/>
                <w:rFonts w:ascii="Cambria Math" w:hAnsi="Cambria Math"/>
              </w:rPr>
              <m:t>VMT</m:t>
            </m:r>
          </m:e>
          <m:sub>
            <m:r>
              <w:rPr>
                <w:rStyle w:val="Bold"/>
                <w:rFonts w:ascii="Cambria Math" w:hAnsi="Cambria Math"/>
              </w:rPr>
              <m:t>f</m:t>
            </m:r>
          </m:sub>
        </m:sSub>
      </m:oMath>
      <w:r w:rsidR="001E1FF1" w:rsidRPr="00377696">
        <w:rPr>
          <w:rStyle w:val="Bold"/>
          <w:b w:val="0"/>
          <w:bCs w:val="0"/>
        </w:rPr>
        <w:t xml:space="preserve"> = vehicle miles traveled annually on fuel </w:t>
      </w:r>
      <w:r w:rsidR="001E1FF1" w:rsidRPr="004E7C84">
        <w:rPr>
          <w:rStyle w:val="Bold"/>
          <w:b w:val="0"/>
          <w:bCs w:val="0"/>
          <w:i/>
          <w:iCs/>
        </w:rPr>
        <w:t>f</w:t>
      </w:r>
      <w:r w:rsidR="001E1FF1" w:rsidRPr="00377696">
        <w:rPr>
          <w:rStyle w:val="Bold"/>
          <w:b w:val="0"/>
          <w:bCs w:val="0"/>
        </w:rPr>
        <w:t>, which varies by drivetrain category (</w:t>
      </w:r>
      <w:r w:rsidR="001E1FF1" w:rsidRPr="004E7C84">
        <w:rPr>
          <w:rStyle w:val="Bold"/>
          <w:b w:val="0"/>
          <w:bCs w:val="0"/>
          <w:i/>
          <w:iCs/>
        </w:rPr>
        <w:t>d</w:t>
      </w:r>
      <w:r w:rsidR="001E1FF1" w:rsidRPr="00377696">
        <w:rPr>
          <w:rStyle w:val="Bold"/>
          <w:b w:val="0"/>
          <w:bCs w:val="0"/>
        </w:rPr>
        <w:t xml:space="preserve">), </w:t>
      </w:r>
      <w:r w:rsidR="001E1FF1">
        <w:rPr>
          <w:rStyle w:val="Bold"/>
          <w:b w:val="0"/>
          <w:bCs w:val="0"/>
        </w:rPr>
        <w:t>year of operation (</w:t>
      </w:r>
      <w:r w:rsidR="001E1FF1" w:rsidRPr="004E7C84">
        <w:rPr>
          <w:rStyle w:val="Bold"/>
          <w:b w:val="0"/>
          <w:bCs w:val="0"/>
          <w:i/>
          <w:iCs/>
        </w:rPr>
        <w:t>t</w:t>
      </w:r>
      <w:r w:rsidR="001E1FF1">
        <w:rPr>
          <w:rStyle w:val="Bold"/>
          <w:b w:val="0"/>
          <w:bCs w:val="0"/>
        </w:rPr>
        <w:t>),</w:t>
      </w:r>
      <w:r w:rsidR="001E1FF1" w:rsidRPr="00377696">
        <w:rPr>
          <w:rStyle w:val="Bold"/>
          <w:b w:val="0"/>
          <w:bCs w:val="0"/>
        </w:rPr>
        <w:t xml:space="preserve"> and for BEVs, range subcatego</w:t>
      </w:r>
      <w:r w:rsidR="001E1FF1">
        <w:rPr>
          <w:rStyle w:val="Bold"/>
          <w:b w:val="0"/>
          <w:bCs w:val="0"/>
        </w:rPr>
        <w:t xml:space="preserve">ry </w:t>
      </w:r>
      <w:r w:rsidR="001E1FF1" w:rsidRPr="00377696">
        <w:rPr>
          <w:rStyle w:val="Bold"/>
          <w:b w:val="0"/>
          <w:bCs w:val="0"/>
        </w:rPr>
        <w:t>(</w:t>
      </w:r>
      <w:r w:rsidR="001E1FF1" w:rsidRPr="004E7C84">
        <w:rPr>
          <w:rStyle w:val="Bold"/>
          <w:b w:val="0"/>
          <w:bCs w:val="0"/>
          <w:i/>
          <w:iCs/>
        </w:rPr>
        <w:t>r</w:t>
      </w:r>
      <w:r w:rsidR="001E1FF1" w:rsidRPr="00377696">
        <w:rPr>
          <w:rStyle w:val="Bold"/>
          <w:b w:val="0"/>
          <w:bCs w:val="0"/>
        </w:rPr>
        <w:t>)</w:t>
      </w:r>
    </w:p>
    <w:p w14:paraId="7FC798BF" w14:textId="39E3A7BF" w:rsidR="001E1FF1" w:rsidRDefault="00000000" w:rsidP="001E1FF1">
      <w:pPr>
        <w:ind w:left="1440" w:hanging="720"/>
        <w:rPr>
          <w:rStyle w:val="Bold"/>
          <w:b w:val="0"/>
          <w:bCs w:val="0"/>
        </w:rPr>
      </w:pPr>
      <m:oMath>
        <m:sSub>
          <m:sSubPr>
            <m:ctrlPr>
              <w:rPr>
                <w:rStyle w:val="Bold"/>
                <w:rFonts w:ascii="Cambria Math" w:hAnsi="Cambria Math"/>
                <w:b w:val="0"/>
                <w:bCs w:val="0"/>
              </w:rPr>
            </m:ctrlPr>
          </m:sSubPr>
          <m:e>
            <m:r>
              <w:rPr>
                <w:rStyle w:val="Bold"/>
                <w:rFonts w:ascii="Cambria Math" w:hAnsi="Cambria Math"/>
              </w:rPr>
              <m:t>P</m:t>
            </m:r>
          </m:e>
          <m:sub>
            <m:r>
              <w:rPr>
                <w:rStyle w:val="Bold"/>
                <w:rFonts w:ascii="Cambria Math" w:hAnsi="Cambria Math"/>
              </w:rPr>
              <m:t>f</m:t>
            </m:r>
          </m:sub>
        </m:sSub>
      </m:oMath>
      <w:r w:rsidR="001E1FF1" w:rsidRPr="00377696">
        <w:rPr>
          <w:rStyle w:val="Bold"/>
          <w:b w:val="0"/>
          <w:bCs w:val="0"/>
        </w:rPr>
        <w:t xml:space="preserve"> = percentage of miles traveled on fuel </w:t>
      </w:r>
      <w:r w:rsidR="001E1FF1" w:rsidRPr="004E7C84">
        <w:rPr>
          <w:rStyle w:val="Bold"/>
          <w:b w:val="0"/>
          <w:bCs w:val="0"/>
          <w:i/>
          <w:iCs/>
        </w:rPr>
        <w:t>f</w:t>
      </w:r>
      <w:r w:rsidR="001E1FF1" w:rsidRPr="00377696">
        <w:rPr>
          <w:rStyle w:val="Bold"/>
          <w:b w:val="0"/>
          <w:bCs w:val="0"/>
        </w:rPr>
        <w:t xml:space="preserve">, which varies by </w:t>
      </w:r>
      <w:r w:rsidR="001E1FF1" w:rsidRPr="004E7C84" w:rsidDel="64A1D878">
        <w:rPr>
          <w:rStyle w:val="Bold"/>
          <w:b w:val="0"/>
          <w:bCs w:val="0"/>
          <w:i/>
          <w:iCs/>
        </w:rPr>
        <w:t>m</w:t>
      </w:r>
      <w:r w:rsidR="001E1FF1" w:rsidRPr="7ACA0E52" w:rsidDel="64A1D878">
        <w:rPr>
          <w:rStyle w:val="Bold"/>
          <w:b w:val="0"/>
          <w:bCs w:val="0"/>
        </w:rPr>
        <w:t xml:space="preserve"> </w:t>
      </w:r>
      <w:r w:rsidR="001E1FF1" w:rsidRPr="00377696">
        <w:rPr>
          <w:rStyle w:val="Bold"/>
          <w:b w:val="0"/>
          <w:bCs w:val="0"/>
        </w:rPr>
        <w:t xml:space="preserve">and </w:t>
      </w:r>
      <w:r w:rsidR="001E1FF1" w:rsidRPr="004E7C84">
        <w:rPr>
          <w:rStyle w:val="Bold"/>
          <w:b w:val="0"/>
          <w:bCs w:val="0"/>
          <w:i/>
          <w:iCs/>
        </w:rPr>
        <w:t>MY</w:t>
      </w:r>
      <w:r w:rsidR="001E1FF1" w:rsidRPr="00377696">
        <w:rPr>
          <w:rStyle w:val="Bold"/>
          <w:b w:val="0"/>
          <w:bCs w:val="0"/>
        </w:rPr>
        <w:t xml:space="preserve"> for PHEVs</w:t>
      </w:r>
    </w:p>
    <w:p w14:paraId="72B64242" w14:textId="2866DA0C" w:rsidR="00F62BA1" w:rsidRDefault="00F62BA1" w:rsidP="004168AD">
      <w:pPr>
        <w:pStyle w:val="Heading3"/>
        <w:rPr>
          <w:rStyle w:val="Bold"/>
        </w:rPr>
      </w:pPr>
      <w:bookmarkStart w:id="17" w:name="_Toc227069783"/>
      <w:r>
        <w:rPr>
          <w:rFonts w:eastAsia="Arial Unicode MS" w:cs="Arial Unicode MS"/>
        </w:rPr>
        <w:t>Baseline Vehicles</w:t>
      </w:r>
      <w:bookmarkEnd w:id="17"/>
    </w:p>
    <w:p w14:paraId="09C6F6D4" w14:textId="6FF1DB15" w:rsidR="00377696" w:rsidRPr="00377696" w:rsidRDefault="00A02230" w:rsidP="00527AED">
      <w:pPr>
        <w:rPr>
          <w:rStyle w:val="Bold"/>
          <w:b w:val="0"/>
          <w:bCs w:val="0"/>
        </w:rPr>
      </w:pPr>
      <w:r>
        <w:rPr>
          <w:rStyle w:val="Bold"/>
          <w:b w:val="0"/>
          <w:bCs w:val="0"/>
        </w:rPr>
        <w:t xml:space="preserve">Baseline </w:t>
      </w:r>
      <w:r w:rsidR="74645246" w:rsidRPr="0077F6DE">
        <w:rPr>
          <w:rStyle w:val="Bold"/>
          <w:b w:val="0"/>
          <w:bCs w:val="0"/>
        </w:rPr>
        <w:t xml:space="preserve">vehicles are characterized based on the analysis </w:t>
      </w:r>
      <w:r w:rsidR="00A23D9C">
        <w:rPr>
          <w:rStyle w:val="Bold"/>
          <w:b w:val="0"/>
          <w:bCs w:val="0"/>
        </w:rPr>
        <w:t>level</w:t>
      </w:r>
      <w:r w:rsidR="74645246" w:rsidRPr="0077F6DE">
        <w:rPr>
          <w:rStyle w:val="Bold"/>
          <w:b w:val="0"/>
          <w:bCs w:val="0"/>
        </w:rPr>
        <w:t xml:space="preserve">. </w:t>
      </w:r>
      <w:r w:rsidR="00603226">
        <w:t>Building on</w:t>
      </w:r>
      <w:r w:rsidR="005D7317">
        <w:t xml:space="preserve"> the approach in </w:t>
      </w:r>
      <w:r w:rsidR="005D7317" w:rsidRPr="00FD2EAE">
        <w:rPr>
          <w:rFonts w:cs="Calibri"/>
        </w:rPr>
        <w:t>(CARB, 2017b)</w:t>
      </w:r>
      <w:r w:rsidR="005D7317">
        <w:t xml:space="preserve">, </w:t>
      </w:r>
      <w:r w:rsidR="00FC0ADE">
        <w:t xml:space="preserve">a new </w:t>
      </w:r>
      <w:r w:rsidR="005D7317">
        <w:t xml:space="preserve">gasoline baseline </w:t>
      </w:r>
      <w:r w:rsidR="00FC0ADE">
        <w:t xml:space="preserve">vehicle </w:t>
      </w:r>
      <w:r w:rsidR="005D7317">
        <w:t>is used to analyze both 1) all rebated reductions and 2) rebate-influenced reductions</w:t>
      </w:r>
      <w:r w:rsidR="00690DA4">
        <w:t>.</w:t>
      </w:r>
      <w:r w:rsidR="005D7317">
        <w:t xml:space="preserve"> </w:t>
      </w:r>
      <w:r w:rsidR="009B5F00">
        <w:rPr>
          <w:rStyle w:val="Bold"/>
          <w:b w:val="0"/>
          <w:bCs w:val="0"/>
        </w:rPr>
        <w:t xml:space="preserve">These </w:t>
      </w:r>
      <w:r w:rsidR="000C3249">
        <w:rPr>
          <w:rStyle w:val="Bold"/>
          <w:b w:val="0"/>
          <w:bCs w:val="0"/>
        </w:rPr>
        <w:t>b</w:t>
      </w:r>
      <w:r w:rsidR="000C3249" w:rsidRPr="0077F6DE">
        <w:rPr>
          <w:rStyle w:val="Bold"/>
          <w:b w:val="0"/>
          <w:bCs w:val="0"/>
        </w:rPr>
        <w:t xml:space="preserve">aseline gasoline vehicles are represented as the average </w:t>
      </w:r>
      <w:r w:rsidR="00C26C9B">
        <w:rPr>
          <w:rStyle w:val="Bold"/>
          <w:b w:val="0"/>
          <w:bCs w:val="0"/>
        </w:rPr>
        <w:t xml:space="preserve">new </w:t>
      </w:r>
      <w:r w:rsidR="000C3249" w:rsidRPr="0077F6DE">
        <w:rPr>
          <w:rStyle w:val="Bold"/>
          <w:b w:val="0"/>
          <w:bCs w:val="0"/>
        </w:rPr>
        <w:t>gasoline vehicle of the same model year as the paired rebated vehicle.</w:t>
      </w:r>
      <w:r w:rsidR="00C145E7">
        <w:rPr>
          <w:rStyle w:val="Bold"/>
          <w:b w:val="0"/>
          <w:bCs w:val="0"/>
        </w:rPr>
        <w:t xml:space="preserve"> N</w:t>
      </w:r>
      <w:r w:rsidR="74645246" w:rsidRPr="0077F6DE">
        <w:rPr>
          <w:rStyle w:val="Bold"/>
          <w:b w:val="0"/>
          <w:bCs w:val="0"/>
        </w:rPr>
        <w:t xml:space="preserve">ew gasoline </w:t>
      </w:r>
      <w:r w:rsidR="006218A0">
        <w:rPr>
          <w:rStyle w:val="Bold"/>
          <w:b w:val="0"/>
          <w:bCs w:val="0"/>
        </w:rPr>
        <w:t>vehicle</w:t>
      </w:r>
      <w:r w:rsidR="74645246" w:rsidRPr="0077F6DE">
        <w:rPr>
          <w:rStyle w:val="Bold"/>
          <w:b w:val="0"/>
          <w:bCs w:val="0"/>
        </w:rPr>
        <w:t xml:space="preserve"> fuel consumption rates are generated by calculating California sales-weighted averages based on the EPA ratings for the 75 top-selling new light-duty gasoline</w:t>
      </w:r>
      <w:r w:rsidR="00DF623E" w:rsidRPr="000874E7">
        <w:rPr>
          <w:rStyle w:val="FootnoteReference"/>
        </w:rPr>
        <w:footnoteReference w:id="6"/>
      </w:r>
      <w:r w:rsidR="74645246" w:rsidRPr="0077F6DE">
        <w:rPr>
          <w:rStyle w:val="Bold"/>
          <w:b w:val="0"/>
          <w:bCs w:val="0"/>
        </w:rPr>
        <w:t xml:space="preserve"> vehicle models </w:t>
      </w:r>
      <w:r w:rsidR="0084021A">
        <w:rPr>
          <w:rStyle w:val="Bold"/>
          <w:b w:val="0"/>
          <w:bCs w:val="0"/>
        </w:rPr>
        <w:t>f</w:t>
      </w:r>
      <w:r w:rsidR="00394638">
        <w:rPr>
          <w:rStyle w:val="Bold"/>
          <w:b w:val="0"/>
          <w:bCs w:val="0"/>
        </w:rPr>
        <w:t xml:space="preserve">or </w:t>
      </w:r>
      <w:r w:rsidR="74645246" w:rsidRPr="0077F6DE">
        <w:rPr>
          <w:rStyle w:val="Bold"/>
          <w:b w:val="0"/>
          <w:bCs w:val="0"/>
        </w:rPr>
        <w:t>each MY</w:t>
      </w:r>
      <w:r w:rsidR="006F6EBF">
        <w:rPr>
          <w:rStyle w:val="Bold"/>
          <w:b w:val="0"/>
          <w:bCs w:val="0"/>
        </w:rPr>
        <w:t xml:space="preserve"> (</w:t>
      </w:r>
      <w:r w:rsidR="00644AAF">
        <w:rPr>
          <w:rStyle w:val="Bold"/>
          <w:b w:val="0"/>
          <w:bCs w:val="0"/>
        </w:rPr>
        <w:t>see Appendix A</w:t>
      </w:r>
      <w:r w:rsidR="006F6EBF">
        <w:rPr>
          <w:rStyle w:val="Bold"/>
          <w:b w:val="0"/>
          <w:bCs w:val="0"/>
        </w:rPr>
        <w:t>)</w:t>
      </w:r>
      <w:r w:rsidR="74645246" w:rsidRPr="0077F6DE">
        <w:rPr>
          <w:rStyle w:val="Bold"/>
          <w:b w:val="0"/>
          <w:bCs w:val="0"/>
        </w:rPr>
        <w:t xml:space="preserve">. </w:t>
      </w:r>
      <w:r w:rsidR="00667FA7">
        <w:t>For the analysis of detailed counterfactual reductions, the comparison vehicle varies based on participant survey responses regarding what they would have done in the absence of the rebate.</w:t>
      </w:r>
      <w:r w:rsidR="00667FA7" w:rsidRPr="7ACA0E52">
        <w:rPr>
          <w:rStyle w:val="Bold"/>
          <w:b w:val="0"/>
          <w:bCs w:val="0"/>
        </w:rPr>
        <w:t xml:space="preserve"> </w:t>
      </w:r>
      <w:r w:rsidR="009B5F00">
        <w:rPr>
          <w:rStyle w:val="Bold"/>
          <w:b w:val="0"/>
          <w:bCs w:val="0"/>
        </w:rPr>
        <w:t>C</w:t>
      </w:r>
      <w:r w:rsidR="000F12C9">
        <w:rPr>
          <w:rStyle w:val="Bold"/>
          <w:b w:val="0"/>
          <w:bCs w:val="0"/>
        </w:rPr>
        <w:t xml:space="preserve">ounterfactual vehicle </w:t>
      </w:r>
      <w:r w:rsidR="0024297B">
        <w:t xml:space="preserve">fuel consumption </w:t>
      </w:r>
      <w:r w:rsidR="74645246" w:rsidRPr="0077F6DE">
        <w:rPr>
          <w:rStyle w:val="Bold"/>
          <w:b w:val="0"/>
          <w:bCs w:val="0"/>
        </w:rPr>
        <w:t xml:space="preserve">rates are </w:t>
      </w:r>
      <w:r w:rsidR="006504A8">
        <w:t xml:space="preserve">generated similarly but take on additional values </w:t>
      </w:r>
      <w:r w:rsidR="000A068C">
        <w:t xml:space="preserve">based on </w:t>
      </w:r>
      <w:r w:rsidR="00DD23E6">
        <w:t xml:space="preserve">reported </w:t>
      </w:r>
      <w:r w:rsidR="004604D2">
        <w:t xml:space="preserve">behaviors </w:t>
      </w:r>
      <w:r w:rsidR="00035212">
        <w:t xml:space="preserve">in absence of the program </w:t>
      </w:r>
      <w:r w:rsidR="004604D2">
        <w:t xml:space="preserve">(e.g., acquired </w:t>
      </w:r>
      <w:r w:rsidR="0096676D">
        <w:t xml:space="preserve">different new/used </w:t>
      </w:r>
      <w:r w:rsidR="00EB2CF9">
        <w:t>gasoline, hybrid, or electric vehicles</w:t>
      </w:r>
      <w:r w:rsidR="004604D2">
        <w:t xml:space="preserve">) </w:t>
      </w:r>
      <w:r w:rsidR="006504A8">
        <w:t xml:space="preserve">as </w:t>
      </w:r>
      <w:r w:rsidR="006504A8">
        <w:lastRenderedPageBreak/>
        <w:t>detailed in Appendix A</w:t>
      </w:r>
      <w:r w:rsidR="00BB08DA">
        <w:t>.</w:t>
      </w:r>
      <w:r w:rsidR="006504A8" w:rsidRPr="0077F6DE">
        <w:rPr>
          <w:rStyle w:val="Bold"/>
          <w:b w:val="0"/>
          <w:bCs w:val="0"/>
        </w:rPr>
        <w:t xml:space="preserve"> </w:t>
      </w:r>
      <w:r w:rsidR="17D74453">
        <w:t>Vehicle miles traveled are determined by the pai</w:t>
      </w:r>
      <w:r w:rsidR="49CE3604">
        <w:t>r</w:t>
      </w:r>
      <w:r w:rsidR="17D74453">
        <w:t xml:space="preserve">ed EV. </w:t>
      </w:r>
      <w:r w:rsidR="64A1D878" w:rsidRPr="0077F6DE">
        <w:rPr>
          <w:rStyle w:val="Bold"/>
          <w:b w:val="0"/>
          <w:bCs w:val="0"/>
        </w:rPr>
        <w:t xml:space="preserve">The emissions from each individual </w:t>
      </w:r>
      <w:r w:rsidR="00F502C1" w:rsidRPr="0077F6DE">
        <w:rPr>
          <w:rStyle w:val="Bold"/>
          <w:b w:val="0"/>
          <w:bCs w:val="0"/>
        </w:rPr>
        <w:t>baseline</w:t>
      </w:r>
      <w:r w:rsidR="00842C8A">
        <w:rPr>
          <w:rStyle w:val="Bold"/>
          <w:b w:val="0"/>
          <w:bCs w:val="0"/>
        </w:rPr>
        <w:t xml:space="preserve"> gasoline</w:t>
      </w:r>
      <w:r w:rsidR="00F502C1" w:rsidRPr="0077F6DE">
        <w:rPr>
          <w:rStyle w:val="Bold"/>
          <w:b w:val="0"/>
          <w:bCs w:val="0"/>
        </w:rPr>
        <w:t xml:space="preserve"> </w:t>
      </w:r>
      <w:r w:rsidR="64A1D878" w:rsidRPr="0077F6DE">
        <w:rPr>
          <w:rStyle w:val="Bold"/>
          <w:b w:val="0"/>
          <w:bCs w:val="0"/>
        </w:rPr>
        <w:t>vehicle are calculated as:</w:t>
      </w:r>
    </w:p>
    <w:p w14:paraId="7426862D" w14:textId="75AE7ED9" w:rsidR="00377696" w:rsidRPr="00896C96" w:rsidRDefault="00000000" w:rsidP="7ACA0E52">
      <w:pPr>
        <w:keepNext/>
        <w:jc w:val="center"/>
      </w:pPr>
      <m:oMathPara>
        <m:oMath>
          <m:sSub>
            <m:sSubPr>
              <m:ctrlPr>
                <w:rPr>
                  <w:rFonts w:ascii="Cambria Math" w:hAnsi="Cambria Math"/>
                </w:rPr>
              </m:ctrlPr>
            </m:sSubPr>
            <m:e>
              <m:r>
                <w:rPr>
                  <w:rFonts w:ascii="Cambria Math" w:hAnsi="Cambria Math"/>
                </w:rPr>
                <m:t>E</m:t>
              </m:r>
            </m:e>
            <m:sub>
              <m:r>
                <w:rPr>
                  <w:rFonts w:ascii="Cambria Math" w:hAnsi="Cambria Math"/>
                </w:rPr>
                <m:t>i</m:t>
              </m:r>
              <m:r>
                <m:rPr>
                  <m:sty m:val="p"/>
                </m:rPr>
                <w:rPr>
                  <w:rFonts w:ascii="Cambria Math" w:hAnsi="Cambria Math"/>
                </w:rPr>
                <m:t>, baseline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CI</m:t>
              </m:r>
            </m:e>
            <m:sub>
              <m:r>
                <m:rPr>
                  <m:sty m:val="p"/>
                </m:rPr>
                <w:rPr>
                  <w:rFonts w:ascii="Cambria Math" w:hAnsi="Cambria Math"/>
                </w:rPr>
                <m:t>gasoline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FC</m:t>
              </m:r>
            </m:e>
            <m:sub>
              <m:r>
                <m:rPr>
                  <m:sty m:val="p"/>
                </m:rPr>
                <w:rPr>
                  <w:rFonts w:ascii="Cambria Math" w:hAnsi="Cambria Math"/>
                </w:rPr>
                <m:t>gasoline</m:t>
              </m:r>
            </m:sub>
          </m:sSub>
          <m:d>
            <m:dPr>
              <m:ctrlPr>
                <w:rPr>
                  <w:rFonts w:ascii="Cambria Math" w:hAnsi="Cambria Math"/>
                </w:rPr>
              </m:ctrlPr>
            </m:dPr>
            <m:e>
              <m:r>
                <w:rPr>
                  <w:rFonts w:ascii="Cambria Math" w:hAnsi="Cambria Math"/>
                </w:rPr>
                <m:t>MY, d</m:t>
              </m:r>
            </m:e>
          </m:d>
          <m:r>
            <m:rPr>
              <m:sty m:val="p"/>
            </m:rPr>
            <w:rPr>
              <w:rFonts w:ascii="Cambria Math" w:hAnsi="Cambria Math"/>
            </w:rPr>
            <m:t xml:space="preserve"> *</m:t>
          </m:r>
          <m:sSub>
            <m:sSubPr>
              <m:ctrlPr>
                <w:rPr>
                  <w:rFonts w:ascii="Cambria Math" w:hAnsi="Cambria Math"/>
                </w:rPr>
              </m:ctrlPr>
            </m:sSubPr>
            <m:e>
              <m:r>
                <w:rPr>
                  <w:rFonts w:ascii="Cambria Math" w:hAnsi="Cambria Math"/>
                </w:rPr>
                <m:t>VMT</m:t>
              </m:r>
            </m:e>
            <m:sub>
              <m:r>
                <m:rPr>
                  <m:sty m:val="p"/>
                </m:rPr>
                <w:rPr>
                  <w:rFonts w:ascii="Cambria Math" w:hAnsi="Cambria Math"/>
                </w:rPr>
                <m:t>gasoline</m:t>
              </m:r>
            </m:sub>
          </m:sSub>
          <m:d>
            <m:dPr>
              <m:ctrlPr>
                <w:rPr>
                  <w:rFonts w:ascii="Cambria Math" w:hAnsi="Cambria Math"/>
                </w:rPr>
              </m:ctrlPr>
            </m:dPr>
            <m:e>
              <m:r>
                <w:rPr>
                  <w:rFonts w:ascii="Cambria Math" w:hAnsi="Cambria Math"/>
                </w:rPr>
                <m:t>d</m:t>
              </m:r>
              <m:r>
                <m:rPr>
                  <m:sty m:val="p"/>
                </m:rPr>
                <w:rPr>
                  <w:rFonts w:ascii="Cambria Math" w:hAnsi="Cambria Math"/>
                </w:rPr>
                <m:t xml:space="preserve">, </m:t>
              </m:r>
              <m:r>
                <w:rPr>
                  <w:rFonts w:ascii="Cambria Math" w:hAnsi="Cambria Math"/>
                </w:rPr>
                <m:t>t</m:t>
              </m:r>
              <m:r>
                <m:rPr>
                  <m:sty m:val="p"/>
                </m:rPr>
                <w:rPr>
                  <w:rFonts w:ascii="Cambria Math" w:hAnsi="Cambria Math"/>
                </w:rPr>
                <m:t>,</m:t>
              </m:r>
              <m:r>
                <w:rPr>
                  <w:rFonts w:ascii="Cambria Math" w:hAnsi="Cambria Math"/>
                </w:rPr>
                <m:t>r</m:t>
              </m:r>
            </m:e>
          </m:d>
        </m:oMath>
      </m:oMathPara>
    </w:p>
    <w:p w14:paraId="04F65AF2" w14:textId="77777777" w:rsidR="00377696" w:rsidRPr="003A15C4" w:rsidRDefault="26BAC967" w:rsidP="187DA56C">
      <w:pPr>
        <w:keepNext/>
        <w:spacing w:after="0"/>
        <w:ind w:left="720"/>
        <w:rPr>
          <w:rStyle w:val="Bold"/>
          <w:b w:val="0"/>
        </w:rPr>
      </w:pPr>
      <w:r w:rsidRPr="7ACA0E52">
        <w:rPr>
          <w:rStyle w:val="Bold"/>
          <w:b w:val="0"/>
          <w:bCs w:val="0"/>
        </w:rPr>
        <w:t>where:</w:t>
      </w:r>
    </w:p>
    <w:p w14:paraId="7A0BAD48" w14:textId="089F2285" w:rsidR="00377696" w:rsidRPr="00377696" w:rsidRDefault="00000000" w:rsidP="2F1055DC">
      <w:pPr>
        <w:spacing w:after="0"/>
        <w:ind w:left="1440" w:hanging="720"/>
        <w:rPr>
          <w:rStyle w:val="Bold"/>
          <w:b w:val="0"/>
          <w:bCs w:val="0"/>
        </w:rPr>
      </w:pPr>
      <m:oMath>
        <m:sSub>
          <m:sSubPr>
            <m:ctrlPr>
              <w:rPr>
                <w:rStyle w:val="Bold"/>
                <w:rFonts w:ascii="Cambria Math" w:hAnsi="Cambria Math"/>
                <w:b w:val="0"/>
                <w:bCs w:val="0"/>
              </w:rPr>
            </m:ctrlPr>
          </m:sSubPr>
          <m:e>
            <m:r>
              <w:rPr>
                <w:rStyle w:val="Bold"/>
                <w:rFonts w:ascii="Cambria Math" w:hAnsi="Cambria Math"/>
              </w:rPr>
              <m:t>CI</m:t>
            </m:r>
          </m:e>
          <m:sub>
            <m:r>
              <m:rPr>
                <m:sty m:val="p"/>
              </m:rPr>
              <w:rPr>
                <w:rStyle w:val="Bold"/>
                <w:rFonts w:ascii="Cambria Math" w:hAnsi="Cambria Math"/>
              </w:rPr>
              <m:t>gasoline</m:t>
            </m:r>
          </m:sub>
        </m:sSub>
      </m:oMath>
      <w:r w:rsidR="64A1D878" w:rsidRPr="00377696">
        <w:rPr>
          <w:rStyle w:val="Bold"/>
          <w:b w:val="0"/>
          <w:bCs w:val="0"/>
        </w:rPr>
        <w:t xml:space="preserve"> = carbon intensity of gasoline [in units of life-cycle CO</w:t>
      </w:r>
      <w:r w:rsidR="64A1D878" w:rsidRPr="002B5C29">
        <w:rPr>
          <w:rStyle w:val="Bold"/>
          <w:b w:val="0"/>
          <w:bCs w:val="0"/>
          <w:vertAlign w:val="subscript"/>
        </w:rPr>
        <w:t>2</w:t>
      </w:r>
      <w:r w:rsidR="64A1D878" w:rsidRPr="00377696">
        <w:rPr>
          <w:rStyle w:val="Bold"/>
          <w:b w:val="0"/>
          <w:bCs w:val="0"/>
        </w:rPr>
        <w:t>e</w:t>
      </w:r>
      <w:r w:rsidR="4FFDF6A4">
        <w:rPr>
          <w:rStyle w:val="Bold"/>
          <w:b w:val="0"/>
          <w:bCs w:val="0"/>
        </w:rPr>
        <w:t xml:space="preserve"> emissions</w:t>
      </w:r>
      <w:r w:rsidR="64A1D878" w:rsidRPr="00377696">
        <w:rPr>
          <w:rStyle w:val="Bold"/>
          <w:b w:val="0"/>
          <w:bCs w:val="0"/>
        </w:rPr>
        <w:t xml:space="preserve"> per gallon]</w:t>
      </w:r>
    </w:p>
    <w:p w14:paraId="2D03AC47" w14:textId="0C66EC9F" w:rsidR="00377696" w:rsidRPr="00377696" w:rsidRDefault="00000000" w:rsidP="2F1055DC">
      <w:pPr>
        <w:spacing w:after="0"/>
        <w:ind w:left="1440" w:hanging="720"/>
        <w:rPr>
          <w:rStyle w:val="Bold"/>
          <w:b w:val="0"/>
          <w:bCs w:val="0"/>
        </w:rPr>
      </w:pPr>
      <m:oMath>
        <m:sSub>
          <m:sSubPr>
            <m:ctrlPr>
              <w:rPr>
                <w:rStyle w:val="Bold"/>
                <w:rFonts w:ascii="Cambria Math" w:hAnsi="Cambria Math"/>
                <w:b w:val="0"/>
                <w:bCs w:val="0"/>
              </w:rPr>
            </m:ctrlPr>
          </m:sSubPr>
          <m:e>
            <m:r>
              <w:rPr>
                <w:rStyle w:val="Bold"/>
                <w:rFonts w:ascii="Cambria Math" w:hAnsi="Cambria Math"/>
              </w:rPr>
              <m:t>FC</m:t>
            </m:r>
          </m:e>
          <m:sub>
            <m:r>
              <m:rPr>
                <m:sty m:val="p"/>
              </m:rPr>
              <w:rPr>
                <w:rStyle w:val="Bold"/>
                <w:rFonts w:ascii="Cambria Math" w:hAnsi="Cambria Math"/>
              </w:rPr>
              <m:t>gasoline</m:t>
            </m:r>
          </m:sub>
        </m:sSub>
      </m:oMath>
      <w:r w:rsidR="64A1D878" w:rsidRPr="00377696">
        <w:rPr>
          <w:rStyle w:val="Bold"/>
          <w:b w:val="0"/>
          <w:bCs w:val="0"/>
        </w:rPr>
        <w:t xml:space="preserve"> = fuel consumption rate [in units of gallons per mile], which varies by model year (</w:t>
      </w:r>
      <w:r w:rsidR="64A1D878" w:rsidRPr="00D71017">
        <w:rPr>
          <w:rStyle w:val="Bold"/>
          <w:b w:val="0"/>
          <w:bCs w:val="0"/>
          <w:i/>
          <w:iCs/>
        </w:rPr>
        <w:t>MY</w:t>
      </w:r>
      <w:r w:rsidR="64A1D878" w:rsidRPr="00377696">
        <w:rPr>
          <w:rStyle w:val="Bold"/>
          <w:b w:val="0"/>
          <w:bCs w:val="0"/>
        </w:rPr>
        <w:t>)</w:t>
      </w:r>
      <w:r w:rsidR="00BA4285">
        <w:rPr>
          <w:rStyle w:val="Bold"/>
          <w:b w:val="0"/>
          <w:bCs w:val="0"/>
        </w:rPr>
        <w:t>,</w:t>
      </w:r>
      <w:r w:rsidR="64A1D878" w:rsidRPr="00377696">
        <w:rPr>
          <w:rStyle w:val="Bold"/>
          <w:b w:val="0"/>
          <w:bCs w:val="0"/>
        </w:rPr>
        <w:t xml:space="preserve"> </w:t>
      </w:r>
      <w:r w:rsidR="00C109E4">
        <w:rPr>
          <w:rStyle w:val="Bold"/>
          <w:b w:val="0"/>
          <w:bCs w:val="0"/>
        </w:rPr>
        <w:t xml:space="preserve">and for </w:t>
      </w:r>
      <w:r w:rsidR="001B0D26">
        <w:rPr>
          <w:rStyle w:val="Bold"/>
          <w:b w:val="0"/>
          <w:bCs w:val="0"/>
        </w:rPr>
        <w:t xml:space="preserve">counterfactual </w:t>
      </w:r>
      <w:r w:rsidR="00C109E4">
        <w:rPr>
          <w:rStyle w:val="Bold"/>
          <w:b w:val="0"/>
          <w:bCs w:val="0"/>
        </w:rPr>
        <w:t>reductions</w:t>
      </w:r>
      <w:r w:rsidR="000A3772">
        <w:rPr>
          <w:rStyle w:val="Bold"/>
          <w:b w:val="0"/>
          <w:bCs w:val="0"/>
        </w:rPr>
        <w:t xml:space="preserve">, </w:t>
      </w:r>
      <w:r w:rsidR="00BA795B">
        <w:rPr>
          <w:rStyle w:val="Bold"/>
          <w:b w:val="0"/>
          <w:bCs w:val="0"/>
        </w:rPr>
        <w:t xml:space="preserve">the </w:t>
      </w:r>
      <w:r w:rsidR="00C83605">
        <w:rPr>
          <w:rStyle w:val="Bold"/>
          <w:b w:val="0"/>
          <w:bCs w:val="0"/>
        </w:rPr>
        <w:t xml:space="preserve">baseline vehicle’s </w:t>
      </w:r>
      <w:r w:rsidR="00D87B54">
        <w:rPr>
          <w:rStyle w:val="Bold"/>
          <w:b w:val="0"/>
          <w:bCs w:val="0"/>
        </w:rPr>
        <w:t>drivetrain category (</w:t>
      </w:r>
      <w:r w:rsidR="00AD5111" w:rsidRPr="00AD5111">
        <w:rPr>
          <w:rStyle w:val="Bold"/>
          <w:b w:val="0"/>
          <w:bCs w:val="0"/>
          <w:i/>
          <w:iCs/>
        </w:rPr>
        <w:t>d</w:t>
      </w:r>
      <w:r w:rsidR="00D87B54">
        <w:rPr>
          <w:rStyle w:val="Bold"/>
          <w:b w:val="0"/>
          <w:bCs w:val="0"/>
        </w:rPr>
        <w:t>)</w:t>
      </w:r>
    </w:p>
    <w:p w14:paraId="6CFC0EF8" w14:textId="1C3EFE63" w:rsidR="00377696" w:rsidRDefault="00000000" w:rsidP="00BE2F20">
      <w:pPr>
        <w:ind w:left="1440" w:hanging="720"/>
        <w:rPr>
          <w:rStyle w:val="Bold"/>
          <w:b w:val="0"/>
          <w:bCs w:val="0"/>
        </w:rPr>
      </w:pPr>
      <m:oMath>
        <m:sSub>
          <m:sSubPr>
            <m:ctrlPr>
              <w:rPr>
                <w:rStyle w:val="Bold"/>
                <w:rFonts w:ascii="Cambria Math" w:hAnsi="Cambria Math"/>
                <w:b w:val="0"/>
                <w:bCs w:val="0"/>
              </w:rPr>
            </m:ctrlPr>
          </m:sSubPr>
          <m:e>
            <m:r>
              <w:rPr>
                <w:rStyle w:val="Bold"/>
                <w:rFonts w:ascii="Cambria Math" w:hAnsi="Cambria Math"/>
              </w:rPr>
              <m:t>VMT</m:t>
            </m:r>
          </m:e>
          <m:sub>
            <m:r>
              <m:rPr>
                <m:sty m:val="p"/>
              </m:rPr>
              <w:rPr>
                <w:rStyle w:val="Bold"/>
                <w:rFonts w:ascii="Cambria Math" w:hAnsi="Cambria Math"/>
              </w:rPr>
              <m:t>gasoline</m:t>
            </m:r>
          </m:sub>
        </m:sSub>
      </m:oMath>
      <w:r w:rsidR="64A1D878" w:rsidRPr="00377696">
        <w:rPr>
          <w:rStyle w:val="Bold"/>
          <w:b w:val="0"/>
          <w:bCs w:val="0"/>
        </w:rPr>
        <w:t xml:space="preserve"> = vehicle miles traveled annually, which varies by the paired rebated vehicle’s drivetrain category (</w:t>
      </w:r>
      <w:r w:rsidR="64A1D878" w:rsidRPr="00D71017">
        <w:rPr>
          <w:rStyle w:val="Bold"/>
          <w:b w:val="0"/>
          <w:bCs w:val="0"/>
          <w:i/>
          <w:iCs/>
        </w:rPr>
        <w:t>d</w:t>
      </w:r>
      <w:r w:rsidR="64A1D878" w:rsidRPr="00377696">
        <w:rPr>
          <w:rStyle w:val="Bold"/>
          <w:b w:val="0"/>
          <w:bCs w:val="0"/>
        </w:rPr>
        <w:t>),</w:t>
      </w:r>
      <w:r w:rsidR="005E778B">
        <w:rPr>
          <w:rStyle w:val="Bold"/>
          <w:b w:val="0"/>
          <w:bCs w:val="0"/>
        </w:rPr>
        <w:t xml:space="preserve"> year of operation</w:t>
      </w:r>
      <w:r w:rsidR="00D53EBD">
        <w:rPr>
          <w:rStyle w:val="Bold"/>
          <w:b w:val="0"/>
          <w:bCs w:val="0"/>
        </w:rPr>
        <w:t xml:space="preserve"> (</w:t>
      </w:r>
      <w:r w:rsidR="00D53EBD" w:rsidRPr="00D71017">
        <w:rPr>
          <w:rStyle w:val="Bold"/>
          <w:b w:val="0"/>
          <w:bCs w:val="0"/>
          <w:i/>
          <w:iCs/>
        </w:rPr>
        <w:t>t</w:t>
      </w:r>
      <w:r w:rsidR="00D53EBD">
        <w:rPr>
          <w:rStyle w:val="Bold"/>
          <w:b w:val="0"/>
          <w:bCs w:val="0"/>
        </w:rPr>
        <w:t>),</w:t>
      </w:r>
      <w:r w:rsidR="64A1D878" w:rsidRPr="00377696">
        <w:rPr>
          <w:rStyle w:val="Bold"/>
          <w:b w:val="0"/>
          <w:bCs w:val="0"/>
        </w:rPr>
        <w:t xml:space="preserve"> and for BEVs, range subcategory (</w:t>
      </w:r>
      <w:r w:rsidR="64A1D878" w:rsidRPr="00D71017">
        <w:rPr>
          <w:rStyle w:val="Bold"/>
          <w:b w:val="0"/>
          <w:bCs w:val="0"/>
          <w:i/>
          <w:iCs/>
        </w:rPr>
        <w:t>r</w:t>
      </w:r>
      <w:r w:rsidR="64A1D878" w:rsidRPr="00377696">
        <w:rPr>
          <w:rStyle w:val="Bold"/>
          <w:b w:val="0"/>
          <w:bCs w:val="0"/>
        </w:rPr>
        <w:t>)</w:t>
      </w:r>
    </w:p>
    <w:p w14:paraId="2A3BFBCD" w14:textId="578A9BF6" w:rsidR="00746830" w:rsidRPr="003A15C4" w:rsidRDefault="489482F2" w:rsidP="187DA56C">
      <w:pPr>
        <w:pStyle w:val="Heading3"/>
        <w:rPr>
          <w:rFonts w:eastAsia="Arial Unicode MS" w:cs="Arial Unicode MS"/>
        </w:rPr>
      </w:pPr>
      <w:bookmarkStart w:id="18" w:name="_Toc227069784"/>
      <w:r w:rsidRPr="7ACA0E52">
        <w:rPr>
          <w:rFonts w:eastAsia="Arial Unicode MS" w:cs="Arial Unicode MS"/>
        </w:rPr>
        <w:t>Quantification Period</w:t>
      </w:r>
      <w:bookmarkEnd w:id="18"/>
    </w:p>
    <w:p w14:paraId="643A43B4" w14:textId="02C4DB0A" w:rsidR="00FA482B" w:rsidRPr="00377696" w:rsidRDefault="00316425" w:rsidP="00FA482B">
      <w:pPr>
        <w:rPr>
          <w:rStyle w:val="Bold"/>
          <w:b w:val="0"/>
          <w:bCs w:val="0"/>
        </w:rPr>
      </w:pPr>
      <w:r>
        <w:rPr>
          <w:rStyle w:val="Bold"/>
          <w:b w:val="0"/>
          <w:bCs w:val="0"/>
        </w:rPr>
        <w:t>New</w:t>
      </w:r>
      <w:r w:rsidR="00195509">
        <w:rPr>
          <w:rStyle w:val="Bold"/>
          <w:b w:val="0"/>
          <w:bCs w:val="0"/>
        </w:rPr>
        <w:t xml:space="preserve"> to this analysis,</w:t>
      </w:r>
      <w:r w:rsidR="00195509" w:rsidRPr="00CD304D">
        <w:rPr>
          <w:rStyle w:val="FootnoteReference"/>
        </w:rPr>
        <w:footnoteReference w:id="7"/>
      </w:r>
      <w:r w:rsidR="00195509">
        <w:rPr>
          <w:rStyle w:val="Bold"/>
          <w:b w:val="0"/>
          <w:bCs w:val="0"/>
        </w:rPr>
        <w:t xml:space="preserve"> </w:t>
      </w:r>
      <w:r w:rsidR="000D51B6" w:rsidRPr="2F1055DC">
        <w:rPr>
          <w:rStyle w:val="Bold"/>
          <w:b w:val="0"/>
          <w:bCs w:val="0"/>
        </w:rPr>
        <w:t>GHG emissions are computed as a</w:t>
      </w:r>
      <w:r w:rsidR="000D51B6">
        <w:rPr>
          <w:rStyle w:val="Bold"/>
          <w:b w:val="0"/>
          <w:bCs w:val="0"/>
        </w:rPr>
        <w:t>n annual</w:t>
      </w:r>
      <w:r w:rsidR="000D51B6" w:rsidRPr="2F1055DC">
        <w:rPr>
          <w:rStyle w:val="Bold"/>
          <w:b w:val="0"/>
          <w:bCs w:val="0"/>
        </w:rPr>
        <w:t xml:space="preserve"> calendar-year time series. </w:t>
      </w:r>
      <w:r w:rsidR="00FA482B">
        <w:rPr>
          <w:rStyle w:val="Bold"/>
          <w:b w:val="0"/>
          <w:bCs w:val="0"/>
        </w:rPr>
        <w:t>To generate emission totals, the per-yea</w:t>
      </w:r>
      <w:r w:rsidR="000C2D48">
        <w:rPr>
          <w:rStyle w:val="Bold"/>
          <w:b w:val="0"/>
          <w:bCs w:val="0"/>
        </w:rPr>
        <w:t>r</w:t>
      </w:r>
      <w:r w:rsidR="00EE52B1">
        <w:rPr>
          <w:rStyle w:val="Bold"/>
          <w:b w:val="0"/>
          <w:bCs w:val="0"/>
        </w:rPr>
        <w:t xml:space="preserve"> r</w:t>
      </w:r>
      <w:r w:rsidR="000C2D48">
        <w:rPr>
          <w:rStyle w:val="Bold"/>
          <w:b w:val="0"/>
          <w:bCs w:val="0"/>
        </w:rPr>
        <w:t xml:space="preserve">ebated and </w:t>
      </w:r>
      <w:r w:rsidR="00FA482B">
        <w:rPr>
          <w:rStyle w:val="Bold"/>
          <w:b w:val="0"/>
          <w:bCs w:val="0"/>
        </w:rPr>
        <w:t>baseline emissions are computed</w:t>
      </w:r>
      <w:r w:rsidR="00C30DFB">
        <w:rPr>
          <w:rStyle w:val="Bold"/>
          <w:b w:val="0"/>
          <w:bCs w:val="0"/>
        </w:rPr>
        <w:t xml:space="preserve"> and summed up to the quantification period</w:t>
      </w:r>
      <w:r w:rsidR="00FA482B">
        <w:rPr>
          <w:rStyle w:val="Bold"/>
          <w:b w:val="0"/>
          <w:bCs w:val="0"/>
        </w:rPr>
        <w:t xml:space="preserve">. </w:t>
      </w:r>
      <w:r w:rsidR="00F62BA1">
        <w:rPr>
          <w:rStyle w:val="Bold"/>
          <w:b w:val="0"/>
          <w:bCs w:val="0"/>
        </w:rPr>
        <w:t>Total emission reductions across all vehicles are therefore calculated as:</w:t>
      </w:r>
    </w:p>
    <w:p w14:paraId="6A485802" w14:textId="77777777" w:rsidR="00195509" w:rsidRDefault="00195509" w:rsidP="00195509">
      <m:oMathPara>
        <m:oMath>
          <m:r>
            <m:rPr>
              <m:sty m:val="p"/>
            </m:rPr>
            <w:rPr>
              <w:rFonts w:ascii="Cambria Math" w:hAnsi="Cambria Math"/>
            </w:rPr>
            <m:t>Emission reductions</m:t>
          </m:r>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i</m:t>
              </m:r>
            </m:sub>
          </m:sSub>
          <m:sSub>
            <m:sSubPr>
              <m:ctrlPr>
                <w:rPr>
                  <w:rFonts w:ascii="Cambria Math" w:hAnsi="Cambria Math"/>
                  <w:i/>
                </w:rPr>
              </m:ctrlPr>
            </m:sSubPr>
            <m:e>
              <m:r>
                <w:rPr>
                  <w:rFonts w:ascii="Cambria Math" w:hAnsi="Cambria Math"/>
                </w:rPr>
                <m:t>∑</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,baseline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,rebated</m:t>
              </m:r>
            </m:sub>
          </m:sSub>
          <m:r>
            <w:rPr>
              <w:rFonts w:ascii="Cambria Math" w:hAnsi="Cambria Math"/>
            </w:rPr>
            <m:t>)</m:t>
          </m:r>
        </m:oMath>
      </m:oMathPara>
    </w:p>
    <w:p w14:paraId="746529F4" w14:textId="77777777" w:rsidR="00195509" w:rsidRPr="003A15C4" w:rsidRDefault="00195509" w:rsidP="00195509">
      <w:pPr>
        <w:spacing w:after="0"/>
        <w:ind w:left="720"/>
        <w:rPr>
          <w:rStyle w:val="Bold"/>
          <w:b w:val="0"/>
        </w:rPr>
      </w:pPr>
      <w:r w:rsidRPr="7ACA0E52">
        <w:rPr>
          <w:rStyle w:val="Bold"/>
          <w:b w:val="0"/>
          <w:bCs w:val="0"/>
        </w:rPr>
        <w:t xml:space="preserve">where: </w:t>
      </w:r>
    </w:p>
    <w:p w14:paraId="68075EB0" w14:textId="77777777" w:rsidR="00195509" w:rsidRPr="003A15C4" w:rsidRDefault="00195509" w:rsidP="00195509">
      <w:pPr>
        <w:spacing w:after="0"/>
        <w:ind w:left="720"/>
        <w:rPr>
          <w:rStyle w:val="Bold"/>
          <w:b w:val="0"/>
        </w:rPr>
      </w:pPr>
      <m:oMath>
        <m:r>
          <w:rPr>
            <w:rStyle w:val="Bold"/>
            <w:rFonts w:ascii="Cambria Math" w:hAnsi="Cambria Math"/>
          </w:rPr>
          <m:t>i</m:t>
        </m:r>
      </m:oMath>
      <w:r w:rsidRPr="7ACA0E52">
        <w:rPr>
          <w:rStyle w:val="Bold"/>
          <w:b w:val="0"/>
          <w:bCs w:val="0"/>
        </w:rPr>
        <w:t xml:space="preserve"> = each individual baseline and rebated vehicle pair</w:t>
      </w:r>
    </w:p>
    <w:p w14:paraId="7DC87940" w14:textId="77777777" w:rsidR="00195509" w:rsidRDefault="00195509" w:rsidP="00195509">
      <w:pPr>
        <w:spacing w:after="0"/>
        <w:ind w:left="720"/>
        <w:rPr>
          <w:rStyle w:val="Bold"/>
          <w:b w:val="0"/>
          <w:bCs w:val="0"/>
        </w:rPr>
      </w:pPr>
      <w:r w:rsidRPr="002431F0">
        <w:rPr>
          <w:rStyle w:val="Bold"/>
          <w:b w:val="0"/>
          <w:bCs w:val="0"/>
          <w:i/>
          <w:iCs/>
        </w:rPr>
        <w:t>t</w:t>
      </w:r>
      <w:r>
        <w:rPr>
          <w:rStyle w:val="Bold"/>
          <w:b w:val="0"/>
          <w:bCs w:val="0"/>
        </w:rPr>
        <w:t xml:space="preserve"> = calendar year time index</w:t>
      </w:r>
    </w:p>
    <w:p w14:paraId="0EE07AFF" w14:textId="220D8CB2" w:rsidR="00195509" w:rsidRDefault="00000000" w:rsidP="00290905">
      <w:pPr>
        <w:ind w:left="720"/>
        <w:rPr>
          <w:rStyle w:val="Bold"/>
          <w:b w:val="0"/>
          <w:bCs w:val="0"/>
        </w:rPr>
      </w:pPr>
      <m:oMath>
        <m:sSub>
          <m:sSubPr>
            <m:ctrlPr>
              <w:rPr>
                <w:rStyle w:val="Bold"/>
                <w:rFonts w:ascii="Cambria Math" w:hAnsi="Cambria Math"/>
                <w:b w:val="0"/>
                <w:bCs w:val="0"/>
                <w:i/>
              </w:rPr>
            </m:ctrlPr>
          </m:sSubPr>
          <m:e>
            <m:r>
              <w:rPr>
                <w:rStyle w:val="Bold"/>
                <w:rFonts w:ascii="Cambria Math" w:hAnsi="Cambria Math"/>
              </w:rPr>
              <m:t>m</m:t>
            </m:r>
          </m:e>
          <m:sub>
            <m:r>
              <w:rPr>
                <w:rStyle w:val="Bold"/>
                <w:rFonts w:ascii="Cambria Math" w:hAnsi="Cambria Math"/>
              </w:rPr>
              <m:t>i,t</m:t>
            </m:r>
          </m:sub>
        </m:sSub>
        <m:r>
          <w:rPr>
            <w:rStyle w:val="Bold"/>
            <w:rFonts w:ascii="Cambria Math" w:hAnsi="Cambria Math"/>
          </w:rPr>
          <m:t>∈</m:t>
        </m:r>
        <m:d>
          <m:dPr>
            <m:begChr m:val="["/>
            <m:endChr m:val="]"/>
            <m:ctrlPr>
              <w:rPr>
                <w:rStyle w:val="Bold"/>
                <w:rFonts w:ascii="Cambria Math" w:hAnsi="Cambria Math"/>
                <w:b w:val="0"/>
                <w:bCs w:val="0"/>
                <w:i/>
              </w:rPr>
            </m:ctrlPr>
          </m:dPr>
          <m:e>
            <m:r>
              <w:rPr>
                <w:rStyle w:val="Bold"/>
                <w:rFonts w:ascii="Cambria Math" w:hAnsi="Cambria Math"/>
              </w:rPr>
              <m:t>0,1</m:t>
            </m:r>
          </m:e>
        </m:d>
      </m:oMath>
      <w:r w:rsidR="00BD3518">
        <w:rPr>
          <w:rStyle w:val="Bold"/>
          <w:b w:val="0"/>
          <w:bCs w:val="0"/>
        </w:rPr>
        <w:t xml:space="preserve"> = multiplier representing the fraction (ranging from 0 to 1) of calendar year </w:t>
      </w:r>
      <m:oMath>
        <m:r>
          <w:rPr>
            <w:rStyle w:val="Bold"/>
            <w:rFonts w:ascii="Cambria Math" w:hAnsi="Cambria Math"/>
          </w:rPr>
          <m:t>t</m:t>
        </m:r>
      </m:oMath>
      <w:r w:rsidR="00BD3518">
        <w:rPr>
          <w:rStyle w:val="Bold"/>
          <w:b w:val="0"/>
          <w:bCs w:val="0"/>
        </w:rPr>
        <w:t xml:space="preserve"> for which vehicle </w:t>
      </w:r>
      <m:oMath>
        <m:r>
          <w:rPr>
            <w:rStyle w:val="Bold"/>
            <w:rFonts w:ascii="Cambria Math" w:hAnsi="Cambria Math"/>
          </w:rPr>
          <m:t>i</m:t>
        </m:r>
      </m:oMath>
      <w:r w:rsidR="00BD3518">
        <w:rPr>
          <w:rStyle w:val="Bold"/>
          <w:b w:val="0"/>
          <w:bCs w:val="0"/>
        </w:rPr>
        <w:t xml:space="preserve">’s </w:t>
      </w:r>
      <w:r w:rsidR="00E33F92">
        <w:rPr>
          <w:rStyle w:val="Bold"/>
          <w:b w:val="0"/>
          <w:bCs w:val="0"/>
        </w:rPr>
        <w:t>emission reductions are</w:t>
      </w:r>
      <w:r w:rsidR="00BD3518">
        <w:rPr>
          <w:rStyle w:val="Bold"/>
          <w:b w:val="0"/>
          <w:bCs w:val="0"/>
        </w:rPr>
        <w:t xml:space="preserve"> quantified, derived from the quantification period mileage</w:t>
      </w:r>
      <w:r w:rsidR="006E23DA">
        <w:rPr>
          <w:rStyle w:val="Bold"/>
          <w:b w:val="0"/>
          <w:bCs w:val="0"/>
        </w:rPr>
        <w:t xml:space="preserve"> (</w:t>
      </w:r>
      <w:r w:rsidR="00D3252C">
        <w:rPr>
          <w:rStyle w:val="Bold"/>
          <w:b w:val="0"/>
          <w:bCs w:val="0"/>
        </w:rPr>
        <w:t>e.g.</w:t>
      </w:r>
      <w:r w:rsidR="006E23DA">
        <w:rPr>
          <w:rStyle w:val="Bold"/>
          <w:b w:val="0"/>
          <w:bCs w:val="0"/>
        </w:rPr>
        <w:t>, 1 until the year</w:t>
      </w:r>
      <w:r w:rsidR="00D3252C">
        <w:rPr>
          <w:rStyle w:val="Bold"/>
          <w:b w:val="0"/>
          <w:bCs w:val="0"/>
        </w:rPr>
        <w:t xml:space="preserve"> </w:t>
      </w:r>
      <w:r w:rsidR="006E23DA">
        <w:rPr>
          <w:rStyle w:val="Bold"/>
          <w:b w:val="0"/>
          <w:bCs w:val="0"/>
        </w:rPr>
        <w:t xml:space="preserve">during which the vehicle reaches </w:t>
      </w:r>
      <w:r w:rsidR="00312550">
        <w:rPr>
          <w:rStyle w:val="Bold"/>
          <w:b w:val="0"/>
          <w:bCs w:val="0"/>
        </w:rPr>
        <w:t>100,000 mile</w:t>
      </w:r>
      <w:r w:rsidR="00F96E11">
        <w:rPr>
          <w:rStyle w:val="Bold"/>
          <w:b w:val="0"/>
          <w:bCs w:val="0"/>
        </w:rPr>
        <w:t>s</w:t>
      </w:r>
      <w:r w:rsidR="00312550">
        <w:rPr>
          <w:rStyle w:val="Bold"/>
          <w:b w:val="0"/>
          <w:bCs w:val="0"/>
        </w:rPr>
        <w:t>)</w:t>
      </w:r>
    </w:p>
    <w:p w14:paraId="31E1B252" w14:textId="7CDB5589" w:rsidR="004E583D" w:rsidRDefault="00285E00" w:rsidP="00657589">
      <w:r>
        <w:t>F</w:t>
      </w:r>
      <w:r w:rsidR="36FEE078">
        <w:t>irst-year GHG reduction estimates</w:t>
      </w:r>
      <w:r w:rsidR="783564D0">
        <w:t xml:space="preserve"> correspond</w:t>
      </w:r>
      <w:r w:rsidR="74EAEC99">
        <w:t xml:space="preserve"> to </w:t>
      </w:r>
      <w:r w:rsidR="000C5B3A">
        <w:t xml:space="preserve">one </w:t>
      </w:r>
      <w:r w:rsidR="000847BD">
        <w:t xml:space="preserve">full year of driving </w:t>
      </w:r>
      <w:r w:rsidR="004B6D22">
        <w:t xml:space="preserve">during the vehicle purchase </w:t>
      </w:r>
      <w:r w:rsidR="74EAEC99">
        <w:t>year</w:t>
      </w:r>
      <w:r w:rsidR="36FEE078">
        <w:t xml:space="preserve">. </w:t>
      </w:r>
      <w:r w:rsidR="000F43B4">
        <w:t>The</w:t>
      </w:r>
      <w:r w:rsidR="00B8074C">
        <w:t xml:space="preserve"> </w:t>
      </w:r>
      <w:r w:rsidR="000C7999">
        <w:t>100,000-mile</w:t>
      </w:r>
      <w:r w:rsidR="004B6D22">
        <w:t xml:space="preserve"> (100k</w:t>
      </w:r>
      <w:r w:rsidR="004563CD">
        <w:t>-</w:t>
      </w:r>
      <w:r w:rsidR="004B6D22">
        <w:t>mi</w:t>
      </w:r>
      <w:r w:rsidR="00B06ABD">
        <w:t>le</w:t>
      </w:r>
      <w:r w:rsidR="004B6D22">
        <w:t>)</w:t>
      </w:r>
      <w:r w:rsidR="000C7999">
        <w:t xml:space="preserve"> results are obtained by summing the calendar-year series until cumulative mileage reaches 100,000 miles</w:t>
      </w:r>
      <w:r w:rsidR="000F29C1">
        <w:t xml:space="preserve"> (</w:t>
      </w:r>
      <w:r w:rsidR="00710EA4">
        <w:t>such that</w:t>
      </w:r>
      <w:r w:rsidR="000F29C1">
        <w:t xml:space="preserve"> the </w:t>
      </w:r>
      <w:r w:rsidR="00F62BA1">
        <w:t xml:space="preserve">multiplier </w:t>
      </w:r>
      <w:r w:rsidR="00F62BA1" w:rsidRPr="000874E7">
        <w:rPr>
          <w:rFonts w:ascii="Cambria Math" w:hAnsi="Cambria Math"/>
          <w:i/>
          <w:iCs/>
        </w:rPr>
        <w:t>m</w:t>
      </w:r>
      <w:r w:rsidR="00F62BA1">
        <w:t xml:space="preserve"> is equal to 1 until </w:t>
      </w:r>
      <w:r w:rsidR="007F315E">
        <w:t xml:space="preserve">the </w:t>
      </w:r>
      <w:r w:rsidR="000F29C1">
        <w:t>last calendar year</w:t>
      </w:r>
      <w:r w:rsidR="007F315E">
        <w:t>,</w:t>
      </w:r>
      <w:r w:rsidR="000F29C1">
        <w:t xml:space="preserve"> </w:t>
      </w:r>
      <w:r w:rsidR="007F315E">
        <w:t xml:space="preserve">which </w:t>
      </w:r>
      <w:r w:rsidR="000F29C1">
        <w:t>is generally a partial year)</w:t>
      </w:r>
      <w:r w:rsidR="52577E1B">
        <w:t xml:space="preserve">. </w:t>
      </w:r>
    </w:p>
    <w:p w14:paraId="5CA5E2D6" w14:textId="5845A000" w:rsidR="00657589" w:rsidRPr="00D8383E" w:rsidRDefault="23B8E6C5" w:rsidP="00657589">
      <w:r>
        <w:t>The 100k</w:t>
      </w:r>
      <w:r w:rsidR="00FE4647">
        <w:t>-</w:t>
      </w:r>
      <w:r>
        <w:t>mi</w:t>
      </w:r>
      <w:r w:rsidR="00FB14B2">
        <w:t>le</w:t>
      </w:r>
      <w:r>
        <w:t xml:space="preserve"> quantification period provides a useful unit for comparing potential emission reductions </w:t>
      </w:r>
      <w:r w:rsidR="001529F4">
        <w:t xml:space="preserve">across a standardized period </w:t>
      </w:r>
      <w:r w:rsidR="00D25A02">
        <w:t>(</w:t>
      </w:r>
      <w:r>
        <w:t xml:space="preserve">that </w:t>
      </w:r>
      <w:r w:rsidR="00D25A02">
        <w:t xml:space="preserve">is less impacted </w:t>
      </w:r>
      <w:r w:rsidR="00715DB2">
        <w:t>by</w:t>
      </w:r>
      <w:r>
        <w:t xml:space="preserve"> varying use per year across technologies or over time</w:t>
      </w:r>
      <w:r w:rsidR="009D4F62">
        <w:t xml:space="preserve"> than</w:t>
      </w:r>
      <w:r w:rsidR="00CE1682">
        <w:t xml:space="preserve"> </w:t>
      </w:r>
      <w:r w:rsidR="007E5324">
        <w:t xml:space="preserve">alternative periods </w:t>
      </w:r>
      <w:r w:rsidR="007F2C93">
        <w:t xml:space="preserve">such as based on </w:t>
      </w:r>
      <w:r w:rsidR="00CE1682">
        <w:t>years</w:t>
      </w:r>
      <w:r w:rsidR="007F2C93">
        <w:t xml:space="preserve"> might</w:t>
      </w:r>
      <w:r w:rsidR="001277A8">
        <w:t xml:space="preserve"> be</w:t>
      </w:r>
      <w:r w:rsidR="00CE1682">
        <w:t>)</w:t>
      </w:r>
      <w:r>
        <w:t xml:space="preserve">. Further, it is more intuitive to think of cost-effectiveness “per mile” than “per year.” And although </w:t>
      </w:r>
      <w:r w:rsidR="6A393728">
        <w:t>m</w:t>
      </w:r>
      <w:r>
        <w:t>ost EVs are expected to be in operation longer than 100k mi</w:t>
      </w:r>
      <w:r w:rsidR="00FB14B2">
        <w:t>les</w:t>
      </w:r>
      <w:r>
        <w:t>, and PHEVs specifically were required to have 150k-mi</w:t>
      </w:r>
      <w:r w:rsidR="00FB14B2">
        <w:t>le</w:t>
      </w:r>
      <w:r>
        <w:t xml:space="preserve"> battery warranties in </w:t>
      </w:r>
      <w:r>
        <w:lastRenderedPageBreak/>
        <w:t xml:space="preserve">California during </w:t>
      </w:r>
      <w:r w:rsidR="00FF252E">
        <w:t xml:space="preserve">much of </w:t>
      </w:r>
      <w:r>
        <w:t>this time period,</w:t>
      </w:r>
      <w:r w:rsidR="4EC0D2B7" w:rsidRPr="001E5E83">
        <w:rPr>
          <w:rStyle w:val="FootnoteReference"/>
        </w:rPr>
        <w:footnoteReference w:id="8"/>
      </w:r>
      <w:r>
        <w:t xml:space="preserve"> 100k is both the most common battery warranty in the U.S. </w:t>
      </w:r>
      <w:r w:rsidR="00FD2EAE" w:rsidRPr="00FD2EAE">
        <w:rPr>
          <w:rFonts w:cs="Calibri"/>
        </w:rPr>
        <w:t>(US Office of Energy Efficiency and Renewable Energy, 2020)</w:t>
      </w:r>
      <w:r w:rsidRPr="2F1055DC">
        <w:rPr>
          <w:b/>
          <w:bCs/>
        </w:rPr>
        <w:t xml:space="preserve"> </w:t>
      </w:r>
      <w:r>
        <w:t xml:space="preserve">and the expected warranty requirement for both PHEVs and BEVs </w:t>
      </w:r>
      <w:r w:rsidR="00E4230C">
        <w:t>for</w:t>
      </w:r>
      <w:r w:rsidR="005D4789">
        <w:t xml:space="preserve"> </w:t>
      </w:r>
      <w:r w:rsidR="00725956">
        <w:t>2026 and subsequent model years</w:t>
      </w:r>
      <w:r>
        <w:t xml:space="preserve"> </w:t>
      </w:r>
      <w:r w:rsidR="006A3761" w:rsidRPr="006A3761">
        <w:rPr>
          <w:rFonts w:cs="Calibri"/>
        </w:rPr>
        <w:t>(Warranty Requirements for Zero-Emission and Batteries in Plug-in Hybrid Electric 2026 and Subsequent Model Year Passenger Cars and Light-Duty Trucks, 2022)</w:t>
      </w:r>
      <w:r>
        <w:t>.</w:t>
      </w:r>
      <w:r w:rsidRPr="005577CD">
        <w:t xml:space="preserve"> </w:t>
      </w:r>
    </w:p>
    <w:p w14:paraId="62FC1670" w14:textId="28DE3F50" w:rsidR="00657589" w:rsidRDefault="23B8E6C5" w:rsidP="00293D10">
      <w:r>
        <w:t xml:space="preserve">Both </w:t>
      </w:r>
      <w:r w:rsidR="0063112C">
        <w:t>first year</w:t>
      </w:r>
      <w:r>
        <w:t xml:space="preserve"> and 100k-mi</w:t>
      </w:r>
      <w:r w:rsidR="001155CA">
        <w:t>le</w:t>
      </w:r>
      <w:r>
        <w:t xml:space="preserve"> perspectives are useful for different reasons. First-year GHG savings better illustrate the variations across vehicle and consumer types that result from differences in annual mileage estimates. On the other hand, 100k-mi</w:t>
      </w:r>
      <w:r w:rsidR="001155CA">
        <w:t>le</w:t>
      </w:r>
      <w:r>
        <w:t xml:space="preserve"> reductions can be viewed as a conservative proxy for potential vehicle benefits over a substantial portion of its lifetime.</w:t>
      </w:r>
    </w:p>
    <w:p w14:paraId="51E04D00" w14:textId="343A6958" w:rsidR="00C42D84" w:rsidRPr="00C42D84" w:rsidRDefault="00FD0C1C" w:rsidP="00737803">
      <w:r>
        <w:t xml:space="preserve">GHG emission reductions and cost-effectiveness are </w:t>
      </w:r>
      <w:r w:rsidR="00187548">
        <w:t xml:space="preserve">quantified </w:t>
      </w:r>
      <w:r>
        <w:t>at various levels</w:t>
      </w:r>
      <w:r w:rsidR="00A94F02">
        <w:t xml:space="preserve"> (rebated, rebate-influenced, and </w:t>
      </w:r>
      <w:r w:rsidR="00B16ED8">
        <w:t xml:space="preserve">detailed </w:t>
      </w:r>
      <w:r w:rsidR="00A94F02">
        <w:t>counterfactual reductions)</w:t>
      </w:r>
      <w:r w:rsidR="00A30D73">
        <w:t xml:space="preserve"> to illustrate </w:t>
      </w:r>
      <w:r w:rsidR="00425F57">
        <w:t xml:space="preserve">how results vary </w:t>
      </w:r>
      <w:r w:rsidR="009C7753">
        <w:t xml:space="preserve">across </w:t>
      </w:r>
      <w:r w:rsidR="00921663">
        <w:t>different methodological approaches</w:t>
      </w:r>
      <w:r w:rsidR="0069005B">
        <w:t xml:space="preserve"> that have been implemented </w:t>
      </w:r>
      <w:r w:rsidR="00017275">
        <w:t>in</w:t>
      </w:r>
      <w:r w:rsidR="00261EA4">
        <w:t xml:space="preserve"> </w:t>
      </w:r>
      <w:r w:rsidR="00E57E0A">
        <w:t>prior</w:t>
      </w:r>
      <w:r w:rsidR="00017275">
        <w:t xml:space="preserve"> studies of </w:t>
      </w:r>
      <w:r w:rsidR="003F5EB3">
        <w:t xml:space="preserve">EV subsidy </w:t>
      </w:r>
      <w:r w:rsidR="00871F80">
        <w:t>impacts</w:t>
      </w:r>
      <w:r w:rsidR="00C20778">
        <w:t>.</w:t>
      </w:r>
      <w:r w:rsidR="00314D85">
        <w:t xml:space="preserve"> </w:t>
      </w:r>
      <w:r w:rsidR="00C20778">
        <w:t xml:space="preserve">These approaches </w:t>
      </w:r>
      <w:r w:rsidR="004B39A8">
        <w:t>rang</w:t>
      </w:r>
      <w:r w:rsidR="00C20778">
        <w:t xml:space="preserve">e </w:t>
      </w:r>
      <w:r w:rsidR="004B39A8">
        <w:t>from those</w:t>
      </w:r>
      <w:r w:rsidR="002D7EC5">
        <w:t xml:space="preserve"> that </w:t>
      </w:r>
      <w:r w:rsidR="004B39A8">
        <w:t xml:space="preserve">are commonly </w:t>
      </w:r>
      <w:r w:rsidR="002D7EC5">
        <w:t>implemented</w:t>
      </w:r>
      <w:r w:rsidR="00152BF7">
        <w:t xml:space="preserve">, which provide a comparable </w:t>
      </w:r>
      <w:r w:rsidR="00367D2B">
        <w:t xml:space="preserve">result to </w:t>
      </w:r>
      <w:r w:rsidR="00E55915">
        <w:t xml:space="preserve">previous </w:t>
      </w:r>
      <w:r w:rsidR="00367D2B">
        <w:t>related work</w:t>
      </w:r>
      <w:r w:rsidR="00457222">
        <w:t xml:space="preserve"> such as </w:t>
      </w:r>
      <w:r w:rsidR="00FD2EAE" w:rsidRPr="00FD2EAE">
        <w:rPr>
          <w:rFonts w:cs="Calibri"/>
        </w:rPr>
        <w:t>(CARB, 2017b)</w:t>
      </w:r>
      <w:r w:rsidR="00367D2B">
        <w:t xml:space="preserve">, </w:t>
      </w:r>
      <w:r w:rsidR="00BB4C6B">
        <w:t xml:space="preserve">to </w:t>
      </w:r>
      <w:r w:rsidR="00606361">
        <w:t xml:space="preserve">those that </w:t>
      </w:r>
      <w:r w:rsidR="000B6D13">
        <w:t xml:space="preserve">leverage the </w:t>
      </w:r>
      <w:r w:rsidR="00007D8C">
        <w:t xml:space="preserve">most detailed </w:t>
      </w:r>
      <w:r w:rsidR="00BB4C6B">
        <w:t xml:space="preserve">program </w:t>
      </w:r>
      <w:r w:rsidR="00424319">
        <w:t>data</w:t>
      </w:r>
      <w:r w:rsidR="000B6D13">
        <w:t xml:space="preserve"> </w:t>
      </w:r>
      <w:r w:rsidR="0075431E">
        <w:t xml:space="preserve">characterizing </w:t>
      </w:r>
      <w:r w:rsidR="000B6D13">
        <w:t>what would have occurred absent the program</w:t>
      </w:r>
      <w:r w:rsidR="00862728">
        <w:t>, which provide the best-available estimate</w:t>
      </w:r>
      <w:r w:rsidR="00424319">
        <w:t xml:space="preserve"> to </w:t>
      </w:r>
      <w:r w:rsidR="00E91BCA">
        <w:t xml:space="preserve">evaluate </w:t>
      </w:r>
      <w:r w:rsidR="0065490D">
        <w:t xml:space="preserve">benefits </w:t>
      </w:r>
      <w:r w:rsidR="000B6D13">
        <w:t xml:space="preserve">attributable to the </w:t>
      </w:r>
      <w:r w:rsidR="00CD4C71">
        <w:t>program</w:t>
      </w:r>
      <w:r w:rsidR="00424319">
        <w:t xml:space="preserve">. </w:t>
      </w:r>
      <w:r w:rsidR="00365194">
        <w:t xml:space="preserve">The following sections further </w:t>
      </w:r>
      <w:r w:rsidR="009E3EFF">
        <w:t xml:space="preserve">describe </w:t>
      </w:r>
      <w:r w:rsidR="00365194">
        <w:t>m</w:t>
      </w:r>
      <w:r w:rsidR="00C21525">
        <w:t xml:space="preserve">ethods that </w:t>
      </w:r>
      <w:r w:rsidR="00FA0D27">
        <w:t xml:space="preserve">improve upon </w:t>
      </w:r>
      <w:r w:rsidR="00D76ED2">
        <w:t>the common approach by</w:t>
      </w:r>
      <w:r w:rsidR="003F019C">
        <w:t xml:space="preserve"> </w:t>
      </w:r>
      <w:r w:rsidR="00C21525">
        <w:t>introduc</w:t>
      </w:r>
      <w:r w:rsidR="00D76ED2">
        <w:t>ing</w:t>
      </w:r>
      <w:r w:rsidR="00C21525">
        <w:t xml:space="preserve"> measures of rebate influence to isolate </w:t>
      </w:r>
      <w:r w:rsidR="00E86745">
        <w:t xml:space="preserve">GHG reductions </w:t>
      </w:r>
      <w:r w:rsidR="00CA5E7F">
        <w:t xml:space="preserve">from </w:t>
      </w:r>
      <w:r w:rsidR="00874460">
        <w:t xml:space="preserve">EV adoption </w:t>
      </w:r>
      <w:r w:rsidR="003F019C">
        <w:t xml:space="preserve">that the rebate helped enable and </w:t>
      </w:r>
      <w:r w:rsidR="00944680">
        <w:t>further refin</w:t>
      </w:r>
      <w:r w:rsidR="00FA0D27">
        <w:t>ing</w:t>
      </w:r>
      <w:r w:rsidR="00944680">
        <w:t xml:space="preserve"> estimates using </w:t>
      </w:r>
      <w:r w:rsidR="009224AC">
        <w:t xml:space="preserve">case-specific </w:t>
      </w:r>
      <w:r w:rsidR="000B3421">
        <w:t>counterfactual behaviors</w:t>
      </w:r>
      <w:r w:rsidR="00A77C03">
        <w:t>.</w:t>
      </w:r>
      <w:r w:rsidR="003F019C">
        <w:t xml:space="preserve"> </w:t>
      </w:r>
    </w:p>
    <w:p w14:paraId="02879DD5" w14:textId="42D85167" w:rsidR="00746830" w:rsidRPr="003A15C4" w:rsidRDefault="6792AAF0" w:rsidP="187DA56C">
      <w:pPr>
        <w:pStyle w:val="Heading3"/>
        <w:rPr>
          <w:rFonts w:eastAsia="Arial Unicode MS" w:cs="Arial Unicode MS"/>
        </w:rPr>
      </w:pPr>
      <w:bookmarkStart w:id="19" w:name="_Toc227069785"/>
      <w:r w:rsidRPr="7ACA0E52">
        <w:rPr>
          <w:rFonts w:eastAsia="Arial Unicode MS" w:cs="Arial Unicode MS"/>
        </w:rPr>
        <w:t>Rebate Influence</w:t>
      </w:r>
      <w:bookmarkEnd w:id="19"/>
    </w:p>
    <w:p w14:paraId="1F936A7B" w14:textId="673EF170" w:rsidR="002B5C29" w:rsidRPr="002B5C29" w:rsidRDefault="52577E1B" w:rsidP="002B5C29">
      <w:pPr>
        <w:rPr>
          <w:rStyle w:val="Bold"/>
          <w:b w:val="0"/>
          <w:bCs w:val="0"/>
        </w:rPr>
      </w:pPr>
      <w:r w:rsidRPr="002B5C29">
        <w:rPr>
          <w:rStyle w:val="Bold"/>
          <w:b w:val="0"/>
          <w:bCs w:val="0"/>
        </w:rPr>
        <w:t xml:space="preserve">The CVRP Consumer Survey includes several questions that provide case-specific indicators of rebate influence. First, the survey includes the question, “How important [was the rebate] in </w:t>
      </w:r>
      <w:r w:rsidRPr="00040A04">
        <w:rPr>
          <w:rStyle w:val="Bold"/>
          <w:b w:val="0"/>
          <w:bCs w:val="0"/>
          <w:u w:val="single"/>
        </w:rPr>
        <w:t>making it possible</w:t>
      </w:r>
      <w:r w:rsidRPr="002B5C29">
        <w:rPr>
          <w:rStyle w:val="Bold"/>
          <w:b w:val="0"/>
          <w:bCs w:val="0"/>
        </w:rPr>
        <w:t xml:space="preserve"> for you to acquire your clean vehicle?” </w:t>
      </w:r>
      <w:r w:rsidR="00C22E2A">
        <w:t>Following previous related work,</w:t>
      </w:r>
      <w:r w:rsidR="00C22E2A" w:rsidRPr="002B5C29">
        <w:rPr>
          <w:rStyle w:val="Bold"/>
          <w:b w:val="0"/>
          <w:bCs w:val="0"/>
        </w:rPr>
        <w:t xml:space="preserve"> </w:t>
      </w:r>
      <w:r w:rsidR="00C22E2A">
        <w:rPr>
          <w:rStyle w:val="Bold"/>
          <w:b w:val="0"/>
          <w:bCs w:val="0"/>
        </w:rPr>
        <w:t>t</w:t>
      </w:r>
      <w:r w:rsidRPr="002B5C29">
        <w:rPr>
          <w:rStyle w:val="Bold"/>
          <w:b w:val="0"/>
          <w:bCs w:val="0"/>
        </w:rPr>
        <w:t>hose who answered moderately, very, or extremely important</w:t>
      </w:r>
      <w:r w:rsidR="002B5C29" w:rsidRPr="001E5E83">
        <w:rPr>
          <w:rStyle w:val="FootnoteReference"/>
        </w:rPr>
        <w:footnoteReference w:id="9"/>
      </w:r>
      <w:r w:rsidRPr="002B5C29">
        <w:rPr>
          <w:rStyle w:val="Bold"/>
          <w:b w:val="0"/>
          <w:bCs w:val="0"/>
        </w:rPr>
        <w:t xml:space="preserve"> are categorized as “</w:t>
      </w:r>
      <w:r w:rsidRPr="2F1055DC">
        <w:rPr>
          <w:rStyle w:val="Bold"/>
          <w:b w:val="0"/>
          <w:bCs w:val="0"/>
          <w:i/>
          <w:iCs/>
        </w:rPr>
        <w:t>Rebate-Important</w:t>
      </w:r>
      <w:r w:rsidRPr="002B5C29">
        <w:rPr>
          <w:rStyle w:val="Bold"/>
          <w:b w:val="0"/>
          <w:bCs w:val="0"/>
        </w:rPr>
        <w:t xml:space="preserve">” </w:t>
      </w:r>
      <w:r w:rsidR="23B8E6C5" w:rsidRPr="005577CD">
        <w:t>consumers</w:t>
      </w:r>
      <w:r w:rsidR="00272CBD">
        <w:t xml:space="preserve"> </w:t>
      </w:r>
      <w:r w:rsidR="0065556B" w:rsidRPr="0065556B">
        <w:rPr>
          <w:rFonts w:cs="Calibri"/>
        </w:rPr>
        <w:t>(B. Williams &amp; Searles, 2017; B. D. H. Williams &amp; Pallonetti, 2023)</w:t>
      </w:r>
      <w:r w:rsidR="00EB644E">
        <w:t xml:space="preserve"> and</w:t>
      </w:r>
      <w:r w:rsidR="23B8E6C5" w:rsidRPr="005577CD">
        <w:t xml:space="preserve"> </w:t>
      </w:r>
      <w:r w:rsidR="00924AA7">
        <w:t xml:space="preserve">GHG </w:t>
      </w:r>
      <w:r w:rsidR="00DD53B6">
        <w:t>reductions</w:t>
      </w:r>
      <w:r w:rsidR="00924AA7">
        <w:t xml:space="preserve"> from this group are </w:t>
      </w:r>
      <w:r w:rsidR="00125A42">
        <w:t>termed, “</w:t>
      </w:r>
      <w:r w:rsidR="00125A42" w:rsidRPr="00125A42">
        <w:rPr>
          <w:i/>
          <w:iCs/>
        </w:rPr>
        <w:t>Rebate</w:t>
      </w:r>
      <w:r w:rsidR="00125A42">
        <w:rPr>
          <w:i/>
          <w:iCs/>
        </w:rPr>
        <w:t>-</w:t>
      </w:r>
      <w:r w:rsidR="00125A42" w:rsidRPr="00125A42">
        <w:rPr>
          <w:i/>
          <w:iCs/>
        </w:rPr>
        <w:t>Important</w:t>
      </w:r>
      <w:r w:rsidR="00125A42">
        <w:t xml:space="preserve"> reductions.” </w:t>
      </w:r>
      <w:r w:rsidRPr="002B5C29">
        <w:rPr>
          <w:rStyle w:val="Bold"/>
          <w:b w:val="0"/>
          <w:bCs w:val="0"/>
        </w:rPr>
        <w:t>Further, a more direct and conservative indicator is produced from the question, “Would you have purchased/leased your [rebated EV] if the state vehicle rebate (CVRP) did not exist?” Those who answer “No” are categorized as “</w:t>
      </w:r>
      <w:r w:rsidRPr="2F1055DC">
        <w:rPr>
          <w:rStyle w:val="Bold"/>
          <w:b w:val="0"/>
          <w:bCs w:val="0"/>
          <w:i/>
          <w:iCs/>
        </w:rPr>
        <w:t>Rebate</w:t>
      </w:r>
      <w:r w:rsidR="00753BBB" w:rsidRPr="2F1055DC">
        <w:rPr>
          <w:rStyle w:val="Bold"/>
          <w:b w:val="0"/>
          <w:bCs w:val="0"/>
          <w:i/>
          <w:iCs/>
        </w:rPr>
        <w:t xml:space="preserve"> </w:t>
      </w:r>
      <w:r w:rsidRPr="2F1055DC">
        <w:rPr>
          <w:rStyle w:val="Bold"/>
          <w:b w:val="0"/>
          <w:bCs w:val="0"/>
          <w:i/>
          <w:iCs/>
        </w:rPr>
        <w:t>Essential</w:t>
      </w:r>
      <w:r w:rsidRPr="002B5C29">
        <w:rPr>
          <w:rStyle w:val="Bold"/>
          <w:b w:val="0"/>
          <w:bCs w:val="0"/>
        </w:rPr>
        <w:t>”</w:t>
      </w:r>
      <w:r w:rsidR="00272CBD">
        <w:rPr>
          <w:rStyle w:val="Bold"/>
          <w:b w:val="0"/>
          <w:bCs w:val="0"/>
        </w:rPr>
        <w:t xml:space="preserve"> </w:t>
      </w:r>
      <w:r w:rsidR="0065556B" w:rsidRPr="0065556B">
        <w:rPr>
          <w:rFonts w:cs="Calibri"/>
        </w:rPr>
        <w:t>(Johnson &amp; Williams, 2017; B. Williams &amp; Anderson, 2018; B. D. H. Williams, 2022; B. Williams &amp; Pallonetti, 2023)</w:t>
      </w:r>
      <w:r w:rsidR="001A5E05">
        <w:rPr>
          <w:rStyle w:val="Bold"/>
          <w:b w:val="0"/>
          <w:bCs w:val="0"/>
        </w:rPr>
        <w:t xml:space="preserve"> and</w:t>
      </w:r>
      <w:r w:rsidR="00666069">
        <w:t xml:space="preserve"> </w:t>
      </w:r>
      <w:r w:rsidR="00125A42">
        <w:t>GHG reductions from this group are termed, “</w:t>
      </w:r>
      <w:r w:rsidR="00125A42" w:rsidRPr="00125A42">
        <w:rPr>
          <w:i/>
          <w:iCs/>
        </w:rPr>
        <w:t>Rebate</w:t>
      </w:r>
      <w:r w:rsidR="00125A42">
        <w:rPr>
          <w:i/>
          <w:iCs/>
        </w:rPr>
        <w:t>-Essential</w:t>
      </w:r>
      <w:r w:rsidR="00125A42">
        <w:t xml:space="preserve"> reductions.” </w:t>
      </w:r>
      <w:r w:rsidRPr="2F1055DC">
        <w:rPr>
          <w:rStyle w:val="Bold"/>
          <w:b w:val="0"/>
          <w:bCs w:val="0"/>
          <w:i/>
          <w:iCs/>
        </w:rPr>
        <w:t>Rebate-Essential</w:t>
      </w:r>
      <w:r w:rsidRPr="002B5C29">
        <w:rPr>
          <w:rStyle w:val="Bold"/>
          <w:b w:val="0"/>
          <w:bCs w:val="0"/>
        </w:rPr>
        <w:t xml:space="preserve"> reductions are calculated separately to estimate emission reductions </w:t>
      </w:r>
      <w:r w:rsidR="00125A42">
        <w:rPr>
          <w:rStyle w:val="Bold"/>
          <w:b w:val="0"/>
          <w:bCs w:val="0"/>
        </w:rPr>
        <w:t>from those highly influenced by</w:t>
      </w:r>
      <w:r w:rsidRPr="002B5C29">
        <w:rPr>
          <w:rStyle w:val="Bold"/>
          <w:b w:val="0"/>
          <w:bCs w:val="0"/>
        </w:rPr>
        <w:t xml:space="preserve"> the program. </w:t>
      </w:r>
      <w:r w:rsidRPr="2F1055DC">
        <w:rPr>
          <w:rStyle w:val="Bold"/>
          <w:b w:val="0"/>
          <w:bCs w:val="0"/>
          <w:i/>
          <w:iCs/>
        </w:rPr>
        <w:t>Rebate Importance</w:t>
      </w:r>
      <w:r w:rsidRPr="002B5C29">
        <w:rPr>
          <w:rStyle w:val="Bold"/>
          <w:b w:val="0"/>
          <w:bCs w:val="0"/>
        </w:rPr>
        <w:t xml:space="preserve"> is described </w:t>
      </w:r>
      <w:r w:rsidR="009D1286">
        <w:rPr>
          <w:rStyle w:val="Bold"/>
          <w:b w:val="0"/>
          <w:bCs w:val="0"/>
        </w:rPr>
        <w:t xml:space="preserve">more illustratively </w:t>
      </w:r>
      <w:r w:rsidRPr="002B5C29">
        <w:rPr>
          <w:rStyle w:val="Bold"/>
          <w:b w:val="0"/>
          <w:bCs w:val="0"/>
        </w:rPr>
        <w:t xml:space="preserve">to provide additional context for </w:t>
      </w:r>
      <w:r w:rsidRPr="2F1055DC">
        <w:rPr>
          <w:rStyle w:val="Bold"/>
          <w:b w:val="0"/>
          <w:bCs w:val="0"/>
          <w:i/>
          <w:iCs/>
        </w:rPr>
        <w:t xml:space="preserve">Rebate </w:t>
      </w:r>
      <w:r w:rsidRPr="2F1055DC">
        <w:rPr>
          <w:rStyle w:val="Bold"/>
          <w:b w:val="0"/>
          <w:bCs w:val="0"/>
          <w:i/>
          <w:iCs/>
        </w:rPr>
        <w:lastRenderedPageBreak/>
        <w:t>Essentiality</w:t>
      </w:r>
      <w:r w:rsidR="36FEE078" w:rsidRPr="2F1055DC">
        <w:rPr>
          <w:rStyle w:val="Bold"/>
          <w:b w:val="0"/>
          <w:bCs w:val="0"/>
          <w:i/>
          <w:iCs/>
        </w:rPr>
        <w:t xml:space="preserve"> </w:t>
      </w:r>
      <w:r w:rsidR="36FEE078">
        <w:rPr>
          <w:rStyle w:val="Bold"/>
          <w:b w:val="0"/>
          <w:bCs w:val="0"/>
        </w:rPr>
        <w:t>and the complex influence of the rebate more generally</w:t>
      </w:r>
      <w:r w:rsidRPr="002B5C29">
        <w:rPr>
          <w:rStyle w:val="Bold"/>
          <w:b w:val="0"/>
          <w:bCs w:val="0"/>
        </w:rPr>
        <w:t xml:space="preserve">. </w:t>
      </w:r>
      <w:r w:rsidR="000069F4">
        <w:rPr>
          <w:rStyle w:val="Bold"/>
          <w:b w:val="0"/>
          <w:bCs w:val="0"/>
        </w:rPr>
        <w:t xml:space="preserve">Both metrics will be </w:t>
      </w:r>
      <w:r w:rsidR="00846175">
        <w:rPr>
          <w:rStyle w:val="Bold"/>
          <w:b w:val="0"/>
          <w:bCs w:val="0"/>
        </w:rPr>
        <w:t xml:space="preserve">explored further in </w:t>
      </w:r>
      <w:r w:rsidR="00520D0E">
        <w:rPr>
          <w:rStyle w:val="Bold"/>
          <w:b w:val="0"/>
          <w:bCs w:val="0"/>
        </w:rPr>
        <w:t>an</w:t>
      </w:r>
      <w:r w:rsidR="00B503C0">
        <w:rPr>
          <w:rStyle w:val="Bold"/>
          <w:b w:val="0"/>
          <w:bCs w:val="0"/>
        </w:rPr>
        <w:t xml:space="preserve">other retrospective </w:t>
      </w:r>
      <w:r w:rsidR="00B549F6">
        <w:rPr>
          <w:rStyle w:val="Bold"/>
          <w:b w:val="0"/>
          <w:bCs w:val="0"/>
        </w:rPr>
        <w:t xml:space="preserve">CVRP </w:t>
      </w:r>
      <w:r w:rsidR="00B503C0">
        <w:rPr>
          <w:rStyle w:val="Bold"/>
          <w:b w:val="0"/>
          <w:bCs w:val="0"/>
        </w:rPr>
        <w:t>report</w:t>
      </w:r>
      <w:r w:rsidR="00520D0E">
        <w:rPr>
          <w:rStyle w:val="Bold"/>
          <w:b w:val="0"/>
          <w:bCs w:val="0"/>
        </w:rPr>
        <w:t xml:space="preserve"> </w:t>
      </w:r>
      <w:r w:rsidR="00084B9D">
        <w:rPr>
          <w:rStyle w:val="Bold"/>
          <w:b w:val="0"/>
          <w:bCs w:val="0"/>
        </w:rPr>
        <w:t>focused on rebate influence.</w:t>
      </w:r>
    </w:p>
    <w:p w14:paraId="07711C2E" w14:textId="315344F2" w:rsidR="00506264" w:rsidRDefault="52577E1B" w:rsidP="002B5C29">
      <w:pPr>
        <w:rPr>
          <w:rStyle w:val="Bold"/>
          <w:b w:val="0"/>
          <w:bCs w:val="0"/>
        </w:rPr>
      </w:pPr>
      <w:r w:rsidRPr="2F1055DC">
        <w:rPr>
          <w:rStyle w:val="Bold"/>
          <w:b w:val="0"/>
          <w:bCs w:val="0"/>
        </w:rPr>
        <w:t xml:space="preserve">Consistent with </w:t>
      </w:r>
      <w:r w:rsidR="3A6E4D05" w:rsidRPr="2F1055DC">
        <w:rPr>
          <w:rStyle w:val="Bold"/>
          <w:b w:val="0"/>
          <w:bCs w:val="0"/>
        </w:rPr>
        <w:t>precursor work</w:t>
      </w:r>
      <w:r w:rsidR="3EA7D432" w:rsidRPr="2F1055DC">
        <w:rPr>
          <w:rStyle w:val="Bold"/>
          <w:b w:val="0"/>
          <w:bCs w:val="0"/>
        </w:rPr>
        <w:t xml:space="preserve"> </w:t>
      </w:r>
      <w:r w:rsidR="00E17C37">
        <w:rPr>
          <w:rStyle w:val="Bold"/>
          <w:b w:val="0"/>
          <w:bCs w:val="0"/>
        </w:rPr>
        <w:t>(</w:t>
      </w:r>
      <w:r w:rsidR="3EA7D432" w:rsidRPr="2F1055DC">
        <w:rPr>
          <w:rStyle w:val="Bold"/>
          <w:b w:val="0"/>
          <w:bCs w:val="0"/>
        </w:rPr>
        <w:t xml:space="preserve">e.g., </w:t>
      </w:r>
      <w:r w:rsidR="00E17C37">
        <w:rPr>
          <w:rStyle w:val="Bold"/>
          <w:b w:val="0"/>
          <w:bCs w:val="0"/>
        </w:rPr>
        <w:t>[</w:t>
      </w:r>
      <w:r w:rsidR="00FD2EAE" w:rsidRPr="00FD2EAE">
        <w:rPr>
          <w:rFonts w:cs="Calibri"/>
        </w:rPr>
        <w:t>Pallonetti &amp; Williams, 2021</w:t>
      </w:r>
      <w:r w:rsidR="00E17C37">
        <w:t>])</w:t>
      </w:r>
      <w:r w:rsidRPr="2F1055DC">
        <w:rPr>
          <w:rStyle w:val="Bold"/>
          <w:b w:val="0"/>
          <w:bCs w:val="0"/>
        </w:rPr>
        <w:t xml:space="preserve">, </w:t>
      </w:r>
      <w:r w:rsidRPr="2F1055DC">
        <w:rPr>
          <w:rStyle w:val="Bold"/>
          <w:b w:val="0"/>
          <w:bCs w:val="0"/>
          <w:i/>
          <w:iCs/>
        </w:rPr>
        <w:t>Rebate-Essential</w:t>
      </w:r>
      <w:r w:rsidRPr="2F1055DC">
        <w:rPr>
          <w:rStyle w:val="Bold"/>
          <w:b w:val="0"/>
          <w:bCs w:val="0"/>
        </w:rPr>
        <w:t xml:space="preserve"> reductions were calculated as follows</w:t>
      </w:r>
      <w:r w:rsidR="4EC0D2B7" w:rsidRPr="2F1055DC">
        <w:rPr>
          <w:rStyle w:val="Bold"/>
          <w:b w:val="0"/>
          <w:bCs w:val="0"/>
        </w:rPr>
        <w:t xml:space="preserve"> </w:t>
      </w:r>
      <w:r w:rsidR="00506264">
        <w:rPr>
          <w:rStyle w:val="Bold"/>
          <w:b w:val="0"/>
          <w:bCs w:val="0"/>
        </w:rPr>
        <w:t>(</w:t>
      </w:r>
      <w:r w:rsidRPr="2F1055DC">
        <w:rPr>
          <w:rStyle w:val="Bold"/>
          <w:b w:val="0"/>
          <w:bCs w:val="0"/>
        </w:rPr>
        <w:t xml:space="preserve">and </w:t>
      </w:r>
      <w:r w:rsidRPr="2F1055DC">
        <w:rPr>
          <w:rStyle w:val="Bold"/>
          <w:b w:val="0"/>
          <w:bCs w:val="0"/>
          <w:i/>
          <w:iCs/>
        </w:rPr>
        <w:t>Rebate-Important</w:t>
      </w:r>
      <w:r w:rsidRPr="2F1055DC">
        <w:rPr>
          <w:rStyle w:val="Bold"/>
          <w:b w:val="0"/>
          <w:bCs w:val="0"/>
        </w:rPr>
        <w:t xml:space="preserve"> reductions were calculated similarly</w:t>
      </w:r>
      <w:r w:rsidR="00506264">
        <w:rPr>
          <w:rStyle w:val="Bold"/>
          <w:b w:val="0"/>
          <w:bCs w:val="0"/>
        </w:rPr>
        <w:t>):</w:t>
      </w:r>
      <w:r w:rsidRPr="2F1055DC">
        <w:rPr>
          <w:rStyle w:val="Bold"/>
          <w:b w:val="0"/>
          <w:bCs w:val="0"/>
        </w:rPr>
        <w:t xml:space="preserve"> </w:t>
      </w:r>
    </w:p>
    <w:p w14:paraId="0F7A69C1" w14:textId="77777777" w:rsidR="00D31C31" w:rsidRDefault="52577E1B" w:rsidP="00D31C31">
      <w:pPr>
        <w:pStyle w:val="ListParagraph"/>
        <w:numPr>
          <w:ilvl w:val="0"/>
          <w:numId w:val="30"/>
        </w:numPr>
        <w:rPr>
          <w:rStyle w:val="Bold"/>
          <w:b w:val="0"/>
          <w:bCs w:val="0"/>
        </w:rPr>
      </w:pPr>
      <w:r w:rsidRPr="00D31C31">
        <w:rPr>
          <w:rStyle w:val="Bold"/>
          <w:b w:val="0"/>
          <w:bCs w:val="0"/>
        </w:rPr>
        <w:t xml:space="preserve">If a participant was known to be </w:t>
      </w:r>
      <w:r w:rsidRPr="00D31C31">
        <w:rPr>
          <w:rStyle w:val="Bold"/>
          <w:b w:val="0"/>
          <w:bCs w:val="0"/>
          <w:i/>
          <w:iCs/>
        </w:rPr>
        <w:t>Rebate</w:t>
      </w:r>
      <w:r w:rsidR="00753BBB" w:rsidRPr="00D31C31">
        <w:rPr>
          <w:rStyle w:val="Bold"/>
          <w:b w:val="0"/>
          <w:bCs w:val="0"/>
          <w:i/>
          <w:iCs/>
        </w:rPr>
        <w:t xml:space="preserve"> </w:t>
      </w:r>
      <w:r w:rsidRPr="00D31C31">
        <w:rPr>
          <w:rStyle w:val="Bold"/>
          <w:b w:val="0"/>
          <w:bCs w:val="0"/>
          <w:i/>
          <w:iCs/>
        </w:rPr>
        <w:t>Essential</w:t>
      </w:r>
      <w:r w:rsidRPr="00D31C31">
        <w:rPr>
          <w:rStyle w:val="Bold"/>
          <w:b w:val="0"/>
          <w:bCs w:val="0"/>
        </w:rPr>
        <w:t xml:space="preserve">, their emission reductions are included. </w:t>
      </w:r>
    </w:p>
    <w:p w14:paraId="5CA4C456" w14:textId="77777777" w:rsidR="00D31C31" w:rsidRDefault="52577E1B" w:rsidP="00D31C31">
      <w:pPr>
        <w:pStyle w:val="ListParagraph"/>
        <w:numPr>
          <w:ilvl w:val="0"/>
          <w:numId w:val="30"/>
        </w:numPr>
        <w:rPr>
          <w:rStyle w:val="Bold"/>
          <w:b w:val="0"/>
          <w:bCs w:val="0"/>
        </w:rPr>
      </w:pPr>
      <w:r w:rsidRPr="00D31C31">
        <w:rPr>
          <w:rStyle w:val="Bold"/>
          <w:b w:val="0"/>
          <w:bCs w:val="0"/>
        </w:rPr>
        <w:t xml:space="preserve">If a participant was known to not be </w:t>
      </w:r>
      <w:r w:rsidRPr="00D31C31">
        <w:rPr>
          <w:rStyle w:val="Bold"/>
          <w:b w:val="0"/>
          <w:bCs w:val="0"/>
          <w:i/>
          <w:iCs/>
        </w:rPr>
        <w:t>Rebate</w:t>
      </w:r>
      <w:r w:rsidR="0032460D" w:rsidRPr="00D31C31">
        <w:rPr>
          <w:rStyle w:val="Bold"/>
          <w:b w:val="0"/>
          <w:bCs w:val="0"/>
          <w:i/>
          <w:iCs/>
        </w:rPr>
        <w:t xml:space="preserve"> </w:t>
      </w:r>
      <w:r w:rsidRPr="00D31C31">
        <w:rPr>
          <w:rStyle w:val="Bold"/>
          <w:b w:val="0"/>
          <w:bCs w:val="0"/>
          <w:i/>
          <w:iCs/>
        </w:rPr>
        <w:t>Essential</w:t>
      </w:r>
      <w:r w:rsidRPr="00D31C31">
        <w:rPr>
          <w:rStyle w:val="Bold"/>
          <w:b w:val="0"/>
          <w:bCs w:val="0"/>
        </w:rPr>
        <w:t xml:space="preserve">, their emission reductions are not included. </w:t>
      </w:r>
    </w:p>
    <w:p w14:paraId="5A333881" w14:textId="66690FA4" w:rsidR="00540E97" w:rsidRDefault="52577E1B" w:rsidP="00D31C31">
      <w:pPr>
        <w:pStyle w:val="ListParagraph"/>
        <w:numPr>
          <w:ilvl w:val="0"/>
          <w:numId w:val="30"/>
        </w:numPr>
        <w:rPr>
          <w:rStyle w:val="Bold"/>
          <w:b w:val="0"/>
          <w:bCs w:val="0"/>
        </w:rPr>
      </w:pPr>
      <w:r w:rsidRPr="00D31C31">
        <w:rPr>
          <w:rStyle w:val="Bold"/>
          <w:b w:val="0"/>
          <w:bCs w:val="0"/>
        </w:rPr>
        <w:t xml:space="preserve">If it was unknown whether a participant was </w:t>
      </w:r>
      <w:r w:rsidRPr="00D31C31">
        <w:rPr>
          <w:rStyle w:val="Bold"/>
          <w:b w:val="0"/>
          <w:bCs w:val="0"/>
          <w:i/>
          <w:iCs/>
        </w:rPr>
        <w:t>Rebate</w:t>
      </w:r>
      <w:r w:rsidR="0032460D" w:rsidRPr="00D31C31">
        <w:rPr>
          <w:rStyle w:val="Bold"/>
          <w:b w:val="0"/>
          <w:bCs w:val="0"/>
          <w:i/>
          <w:iCs/>
        </w:rPr>
        <w:t xml:space="preserve"> </w:t>
      </w:r>
      <w:r w:rsidRPr="00D31C31">
        <w:rPr>
          <w:rStyle w:val="Bold"/>
          <w:b w:val="0"/>
          <w:bCs w:val="0"/>
          <w:i/>
          <w:iCs/>
        </w:rPr>
        <w:t>Essential</w:t>
      </w:r>
      <w:r w:rsidRPr="00D31C31">
        <w:rPr>
          <w:rStyle w:val="Bold"/>
          <w:b w:val="0"/>
          <w:bCs w:val="0"/>
        </w:rPr>
        <w:t xml:space="preserve"> (i.e., participants that didn’t respond to the survey or this survey question), a proportion of their emission reductions are included equal to the weighted percentage of </w:t>
      </w:r>
      <w:r w:rsidRPr="00D31C31">
        <w:rPr>
          <w:rStyle w:val="Bold"/>
          <w:b w:val="0"/>
          <w:bCs w:val="0"/>
          <w:i/>
          <w:iCs/>
        </w:rPr>
        <w:t>Rebate Essentiality</w:t>
      </w:r>
      <w:r w:rsidRPr="00D31C31">
        <w:rPr>
          <w:rStyle w:val="Bold"/>
          <w:b w:val="0"/>
          <w:bCs w:val="0"/>
        </w:rPr>
        <w:t xml:space="preserve"> among their cohort. </w:t>
      </w:r>
      <w:r w:rsidR="36FEE078" w:rsidRPr="00D31C31">
        <w:rPr>
          <w:rStyle w:val="Bold"/>
          <w:b w:val="0"/>
          <w:bCs w:val="0"/>
        </w:rPr>
        <w:t>The</w:t>
      </w:r>
      <w:r w:rsidR="002B5C29" w:rsidRPr="00D31C31">
        <w:rPr>
          <w:rStyle w:val="Bold"/>
          <w:b w:val="0"/>
          <w:bCs w:val="0"/>
        </w:rPr>
        <w:t xml:space="preserve"> </w:t>
      </w:r>
      <w:r w:rsidRPr="00D31C31">
        <w:rPr>
          <w:rStyle w:val="Bold"/>
          <w:b w:val="0"/>
          <w:bCs w:val="0"/>
        </w:rPr>
        <w:t xml:space="preserve">cohorts are defined as each distinct combination of technology </w:t>
      </w:r>
      <w:r w:rsidR="00FD299C" w:rsidRPr="00D31C31">
        <w:rPr>
          <w:rStyle w:val="Bold"/>
          <w:b w:val="0"/>
          <w:bCs w:val="0"/>
        </w:rPr>
        <w:t xml:space="preserve">category </w:t>
      </w:r>
      <w:r w:rsidRPr="00D31C31">
        <w:rPr>
          <w:rStyle w:val="Bold"/>
          <w:b w:val="0"/>
          <w:bCs w:val="0"/>
        </w:rPr>
        <w:t>and rebate type (</w:t>
      </w:r>
      <w:r w:rsidR="00BF32F8" w:rsidRPr="00D31C31">
        <w:rPr>
          <w:rStyle w:val="Bold"/>
          <w:b w:val="0"/>
          <w:bCs w:val="0"/>
        </w:rPr>
        <w:t>see</w:t>
      </w:r>
      <w:r w:rsidR="003F3137" w:rsidRPr="00D31C31">
        <w:rPr>
          <w:rStyle w:val="Bold"/>
          <w:b w:val="0"/>
          <w:bCs w:val="0"/>
        </w:rPr>
        <w:t xml:space="preserve"> </w:t>
      </w:r>
      <w:r w:rsidR="0023364B">
        <w:t xml:space="preserve">Table </w:t>
      </w:r>
      <w:r w:rsidR="0023364B">
        <w:rPr>
          <w:noProof/>
        </w:rPr>
        <w:t>3</w:t>
      </w:r>
      <w:r w:rsidRPr="00D31C31">
        <w:rPr>
          <w:rStyle w:val="Bold"/>
          <w:b w:val="0"/>
          <w:bCs w:val="0"/>
        </w:rPr>
        <w:t>).</w:t>
      </w:r>
      <w:r w:rsidR="00FD299C" w:rsidRPr="00D31C31">
        <w:rPr>
          <w:rStyle w:val="Bold"/>
          <w:b w:val="0"/>
          <w:bCs w:val="0"/>
        </w:rPr>
        <w:t xml:space="preserve"> Tesla is treated as a separate technology category from other BEVs </w:t>
      </w:r>
      <w:r w:rsidR="00D50A5F" w:rsidRPr="00D31C31">
        <w:rPr>
          <w:rStyle w:val="Bold"/>
          <w:b w:val="0"/>
          <w:bCs w:val="0"/>
        </w:rPr>
        <w:t xml:space="preserve">since they compose a large portion of the program and </w:t>
      </w:r>
      <w:r w:rsidR="007F556D" w:rsidRPr="00D31C31">
        <w:rPr>
          <w:rStyle w:val="Bold"/>
          <w:b w:val="0"/>
          <w:bCs w:val="0"/>
        </w:rPr>
        <w:t xml:space="preserve">their consumers </w:t>
      </w:r>
      <w:r w:rsidR="00D50A5F" w:rsidRPr="00D31C31">
        <w:rPr>
          <w:rStyle w:val="Bold"/>
          <w:b w:val="0"/>
          <w:bCs w:val="0"/>
        </w:rPr>
        <w:t xml:space="preserve">tend to have unique </w:t>
      </w:r>
      <w:r w:rsidR="007F556D" w:rsidRPr="00D31C31">
        <w:rPr>
          <w:rStyle w:val="Bold"/>
          <w:b w:val="0"/>
          <w:bCs w:val="0"/>
        </w:rPr>
        <w:t>characteristics</w:t>
      </w:r>
      <w:r w:rsidR="007F60D3" w:rsidRPr="00D31C31">
        <w:rPr>
          <w:rStyle w:val="Bold"/>
          <w:b w:val="0"/>
          <w:bCs w:val="0"/>
        </w:rPr>
        <w:t xml:space="preserve"> </w:t>
      </w:r>
      <w:r w:rsidR="00DF3634" w:rsidRPr="00DF3634">
        <w:rPr>
          <w:rFonts w:cs="Calibri"/>
        </w:rPr>
        <w:t>(Santulli &amp; Williams, 2015; Anderson &amp; Williams, 2019; B. D. H. Williams &amp; Anderson, 2019)</w:t>
      </w:r>
      <w:r w:rsidR="008F6F8C" w:rsidRPr="00D31C31">
        <w:rPr>
          <w:rStyle w:val="Bold"/>
          <w:b w:val="0"/>
          <w:bCs w:val="0"/>
        </w:rPr>
        <w:t>.</w:t>
      </w:r>
      <w:r w:rsidR="007F556D" w:rsidRPr="00D31C31">
        <w:rPr>
          <w:rStyle w:val="Bold"/>
          <w:b w:val="0"/>
          <w:bCs w:val="0"/>
        </w:rPr>
        <w:t xml:space="preserve"> </w:t>
      </w:r>
    </w:p>
    <w:p w14:paraId="2C340F25" w14:textId="5ACBDEE7" w:rsidR="00746830" w:rsidRPr="00540E97" w:rsidRDefault="00EF4CD6" w:rsidP="00E153CE">
      <w:pPr>
        <w:spacing w:before="120"/>
        <w:rPr>
          <w:rStyle w:val="Bold"/>
          <w:b w:val="0"/>
          <w:bCs w:val="0"/>
        </w:rPr>
      </w:pPr>
      <w:r w:rsidRPr="00540E97">
        <w:rPr>
          <w:rStyle w:val="Bold"/>
          <w:b w:val="0"/>
          <w:bCs w:val="0"/>
        </w:rPr>
        <w:t xml:space="preserve">Other important effects </w:t>
      </w:r>
      <w:r w:rsidR="00B70739" w:rsidRPr="00540E97">
        <w:rPr>
          <w:rStyle w:val="Bold"/>
          <w:b w:val="0"/>
          <w:bCs w:val="0"/>
        </w:rPr>
        <w:t xml:space="preserve">that are </w:t>
      </w:r>
      <w:r w:rsidR="00711957" w:rsidRPr="00540E97">
        <w:rPr>
          <w:rStyle w:val="Bold"/>
          <w:b w:val="0"/>
          <w:bCs w:val="0"/>
        </w:rPr>
        <w:t xml:space="preserve">not analyzed </w:t>
      </w:r>
      <w:r w:rsidR="0041146B" w:rsidRPr="00540E97">
        <w:rPr>
          <w:rStyle w:val="Bold"/>
          <w:b w:val="0"/>
          <w:bCs w:val="0"/>
        </w:rPr>
        <w:t xml:space="preserve">but </w:t>
      </w:r>
      <w:r w:rsidR="00B70739" w:rsidRPr="00540E97">
        <w:rPr>
          <w:rStyle w:val="Bold"/>
          <w:b w:val="0"/>
          <w:bCs w:val="0"/>
        </w:rPr>
        <w:t xml:space="preserve">would increase </w:t>
      </w:r>
      <w:r w:rsidR="263F09A0" w:rsidRPr="00540E97">
        <w:rPr>
          <w:rStyle w:val="Bold"/>
          <w:b w:val="0"/>
          <w:bCs w:val="0"/>
        </w:rPr>
        <w:t>benefits attribute</w:t>
      </w:r>
      <w:r w:rsidR="007D26D6" w:rsidRPr="00540E97">
        <w:rPr>
          <w:rStyle w:val="Bold"/>
          <w:b w:val="0"/>
          <w:bCs w:val="0"/>
        </w:rPr>
        <w:t>d</w:t>
      </w:r>
      <w:r w:rsidR="263F09A0" w:rsidRPr="00540E97">
        <w:rPr>
          <w:rStyle w:val="Bold"/>
          <w:b w:val="0"/>
          <w:bCs w:val="0"/>
        </w:rPr>
        <w:t xml:space="preserve"> to the program</w:t>
      </w:r>
      <w:r w:rsidR="008C0280" w:rsidRPr="00540E97">
        <w:rPr>
          <w:rStyle w:val="Bold"/>
          <w:b w:val="0"/>
          <w:bCs w:val="0"/>
        </w:rPr>
        <w:t xml:space="preserve"> </w:t>
      </w:r>
      <w:r w:rsidR="00027CA8" w:rsidRPr="00540E97">
        <w:rPr>
          <w:rStyle w:val="Bold"/>
          <w:b w:val="0"/>
          <w:bCs w:val="0"/>
        </w:rPr>
        <w:t xml:space="preserve">are discussed </w:t>
      </w:r>
      <w:r w:rsidR="009636BD" w:rsidRPr="00540E97">
        <w:rPr>
          <w:rStyle w:val="Bold"/>
          <w:b w:val="0"/>
          <w:bCs w:val="0"/>
        </w:rPr>
        <w:t>in the Limitation</w:t>
      </w:r>
      <w:r w:rsidR="00C30F38" w:rsidRPr="00540E97">
        <w:rPr>
          <w:rStyle w:val="Bold"/>
          <w:b w:val="0"/>
          <w:bCs w:val="0"/>
        </w:rPr>
        <w:t>s section</w:t>
      </w:r>
      <w:r w:rsidR="263F09A0" w:rsidRPr="00540E97">
        <w:rPr>
          <w:rStyle w:val="Bold"/>
          <w:b w:val="0"/>
          <w:bCs w:val="0"/>
        </w:rPr>
        <w:t>.</w:t>
      </w:r>
    </w:p>
    <w:p w14:paraId="4F31F393" w14:textId="619C5610" w:rsidR="00C87D7F" w:rsidRPr="00B90CFD" w:rsidRDefault="003F3137" w:rsidP="003F3137">
      <w:pPr>
        <w:pStyle w:val="TableFigureNumber0"/>
        <w:rPr>
          <w:b/>
          <w:bCs/>
          <w:color w:val="0579BD"/>
        </w:rPr>
      </w:pPr>
      <w:bookmarkStart w:id="20" w:name="_Ref216033439"/>
      <w:r w:rsidRPr="00B90CFD">
        <w:rPr>
          <w:color w:val="0579BD"/>
        </w:rPr>
        <w:t xml:space="preserve">Table </w:t>
      </w:r>
      <w:r w:rsidR="0023364B" w:rsidRPr="00B90CFD">
        <w:rPr>
          <w:noProof/>
          <w:color w:val="0579BD"/>
        </w:rPr>
        <w:t>3</w:t>
      </w:r>
      <w:bookmarkEnd w:id="20"/>
    </w:p>
    <w:p w14:paraId="5E927550" w14:textId="64ED08F5" w:rsidR="00054875" w:rsidRDefault="68C5D2AE" w:rsidP="002451E6">
      <w:pPr>
        <w:pStyle w:val="Body"/>
        <w:keepNext/>
        <w:spacing w:after="0" w:line="240" w:lineRule="auto"/>
        <w:rPr>
          <w:rFonts w:eastAsia="Calibri" w:cs="Calibri"/>
          <w:b/>
          <w:bCs/>
          <w:sz w:val="28"/>
          <w:szCs w:val="28"/>
        </w:rPr>
      </w:pPr>
      <w:r w:rsidRPr="7ACA0E52">
        <w:rPr>
          <w:rFonts w:eastAsia="Calibri" w:cs="Calibri"/>
          <w:b/>
          <w:bCs/>
          <w:sz w:val="28"/>
          <w:szCs w:val="28"/>
        </w:rPr>
        <w:t>Rebate Influence by Vehicle and Rebate Types</w:t>
      </w:r>
    </w:p>
    <w:p w14:paraId="7BD5497A" w14:textId="27C2C41B" w:rsidR="00D44A74" w:rsidRPr="003A15C4" w:rsidRDefault="00D44A74" w:rsidP="00245486">
      <w:pPr>
        <w:pStyle w:val="TableFigureSubtitle"/>
        <w:rPr>
          <w:rStyle w:val="Bold"/>
          <w:b w:val="0"/>
        </w:rPr>
      </w:pPr>
      <w:r>
        <w:rPr>
          <w:rStyle w:val="Bold"/>
          <w:b w:val="0"/>
        </w:rPr>
        <w:t>Range</w:t>
      </w:r>
      <w:r w:rsidR="001F214A">
        <w:rPr>
          <w:rStyle w:val="Bold"/>
          <w:b w:val="0"/>
        </w:rPr>
        <w:t xml:space="preserve"> </w:t>
      </w:r>
      <w:r w:rsidR="00F903FF">
        <w:rPr>
          <w:rStyle w:val="Bold"/>
          <w:b w:val="0"/>
        </w:rPr>
        <w:t xml:space="preserve">of </w:t>
      </w:r>
      <w:r w:rsidR="00881180">
        <w:rPr>
          <w:rStyle w:val="Bold"/>
          <w:b w:val="0"/>
        </w:rPr>
        <w:t xml:space="preserve">results </w:t>
      </w:r>
      <w:r w:rsidR="00F15ABF">
        <w:rPr>
          <w:rStyle w:val="Bold"/>
          <w:b w:val="0"/>
        </w:rPr>
        <w:t>across</w:t>
      </w:r>
      <w:r w:rsidR="00946F9B">
        <w:rPr>
          <w:rStyle w:val="Bold"/>
          <w:b w:val="0"/>
        </w:rPr>
        <w:t xml:space="preserve"> purchase/lease year</w:t>
      </w:r>
      <w:r w:rsidR="00F15ABF">
        <w:rPr>
          <w:rStyle w:val="Bold"/>
          <w:b w:val="0"/>
        </w:rPr>
        <w:t>s</w:t>
      </w:r>
      <w:r w:rsidR="00D53E6B">
        <w:rPr>
          <w:rStyle w:val="Bold"/>
          <w:b w:val="0"/>
        </w:rPr>
        <w:t>*</w:t>
      </w:r>
    </w:p>
    <w:tbl>
      <w:tblPr>
        <w:tblpPr w:leftFromText="187" w:rightFromText="187" w:topFromText="29" w:bottomFromText="29" w:vertAnchor="text" w:horzAnchor="margin" w:tblpY="59"/>
        <w:tblW w:w="90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1525"/>
        <w:gridCol w:w="1872"/>
        <w:gridCol w:w="1872"/>
        <w:gridCol w:w="1872"/>
        <w:gridCol w:w="1872"/>
      </w:tblGrid>
      <w:tr w:rsidR="00C87D7F" w:rsidRPr="00E65889" w14:paraId="47FF7BD1" w14:textId="31C4D067" w:rsidTr="007321EE">
        <w:trPr>
          <w:trHeight w:val="260"/>
        </w:trPr>
        <w:tc>
          <w:tcPr>
            <w:tcW w:w="1525" w:type="dxa"/>
            <w:tcBorders>
              <w:top w:val="single" w:sz="4" w:space="0" w:color="FFFFFF" w:themeColor="background1"/>
              <w:bottom w:val="single" w:sz="6" w:space="0" w:color="FFFFFF" w:themeColor="background1"/>
              <w:right w:val="single" w:sz="4" w:space="0" w:color="979797" w:themeColor="background2" w:themeTint="99"/>
            </w:tcBorders>
            <w:shd w:val="clear" w:color="auto" w:fill="3C3A4C"/>
            <w:tcMar>
              <w:top w:w="80" w:type="dxa"/>
              <w:left w:w="80" w:type="dxa"/>
              <w:bottom w:w="80" w:type="dxa"/>
              <w:right w:w="80" w:type="dxa"/>
            </w:tcMar>
          </w:tcPr>
          <w:p w14:paraId="25293347" w14:textId="7B692F41" w:rsidR="00C87D7F" w:rsidRPr="003A15C4" w:rsidRDefault="68C5D2AE" w:rsidP="187DA56C">
            <w:pPr>
              <w:pStyle w:val="Body"/>
              <w:spacing w:after="0" w:line="240" w:lineRule="auto"/>
              <w:rPr>
                <w:sz w:val="20"/>
                <w:szCs w:val="20"/>
              </w:rPr>
            </w:pPr>
            <w:r w:rsidRPr="7ACA0E52">
              <w:rPr>
                <w:b/>
                <w:bCs/>
                <w:color w:val="FFFFFF" w:themeColor="background1"/>
                <w:sz w:val="20"/>
                <w:szCs w:val="20"/>
              </w:rPr>
              <w:t xml:space="preserve">Technology </w:t>
            </w:r>
            <w:r w:rsidR="005C35AD">
              <w:rPr>
                <w:b/>
                <w:bCs/>
                <w:color w:val="FFFFFF" w:themeColor="background1"/>
                <w:sz w:val="20"/>
                <w:szCs w:val="20"/>
              </w:rPr>
              <w:t>Category</w:t>
            </w:r>
          </w:p>
        </w:tc>
        <w:tc>
          <w:tcPr>
            <w:tcW w:w="1872" w:type="dxa"/>
            <w:tcBorders>
              <w:left w:val="single" w:sz="4" w:space="0" w:color="979797" w:themeColor="background2" w:themeTint="99"/>
            </w:tcBorders>
            <w:shd w:val="clear" w:color="auto" w:fill="3C3A4C"/>
            <w:tcMar>
              <w:top w:w="80" w:type="dxa"/>
              <w:left w:w="80" w:type="dxa"/>
              <w:bottom w:w="80" w:type="dxa"/>
              <w:right w:w="80" w:type="dxa"/>
            </w:tcMar>
          </w:tcPr>
          <w:p w14:paraId="6E35EC54" w14:textId="7577B781" w:rsidR="00C87D7F" w:rsidRPr="003A15C4" w:rsidRDefault="68C5D2AE" w:rsidP="187DA56C">
            <w:pPr>
              <w:pStyle w:val="Body"/>
              <w:spacing w:after="0" w:line="240" w:lineRule="auto"/>
              <w:jc w:val="center"/>
              <w:rPr>
                <w:b/>
                <w:color w:val="FFFFFF"/>
                <w:sz w:val="20"/>
                <w:szCs w:val="20"/>
              </w:rPr>
            </w:pPr>
            <w:r w:rsidRPr="7ACA0E52">
              <w:rPr>
                <w:b/>
                <w:bCs/>
                <w:color w:val="FFFFFF" w:themeColor="background1"/>
                <w:sz w:val="20"/>
                <w:szCs w:val="20"/>
              </w:rPr>
              <w:t>Standard Rebate</w:t>
            </w:r>
          </w:p>
          <w:p w14:paraId="38A0F4E3" w14:textId="21C3C3A9" w:rsidR="00C87D7F" w:rsidRPr="003A15C4" w:rsidRDefault="68C5D2AE" w:rsidP="187DA56C">
            <w:pPr>
              <w:pStyle w:val="Body"/>
              <w:spacing w:after="0" w:line="240" w:lineRule="auto"/>
              <w:jc w:val="center"/>
              <w:rPr>
                <w:sz w:val="20"/>
                <w:szCs w:val="20"/>
              </w:rPr>
            </w:pPr>
            <w:r w:rsidRPr="7ACA0E52">
              <w:rPr>
                <w:b/>
                <w:bCs/>
                <w:i/>
                <w:iCs/>
                <w:color w:val="FFFFFF" w:themeColor="background1"/>
                <w:sz w:val="20"/>
                <w:szCs w:val="20"/>
              </w:rPr>
              <w:t>Rebate Essentiality</w:t>
            </w:r>
          </w:p>
        </w:tc>
        <w:tc>
          <w:tcPr>
            <w:tcW w:w="1872" w:type="dxa"/>
            <w:tcBorders>
              <w:top w:val="single" w:sz="4" w:space="0" w:color="FFFFFF" w:themeColor="background1"/>
              <w:bottom w:val="single" w:sz="6" w:space="0" w:color="FFFFFF" w:themeColor="background1"/>
              <w:right w:val="single" w:sz="4" w:space="0" w:color="979797" w:themeColor="background2" w:themeTint="99"/>
            </w:tcBorders>
            <w:shd w:val="clear" w:color="auto" w:fill="3C3A4C"/>
            <w:tcMar>
              <w:top w:w="80" w:type="dxa"/>
              <w:left w:w="80" w:type="dxa"/>
              <w:bottom w:w="80" w:type="dxa"/>
              <w:right w:w="80" w:type="dxa"/>
            </w:tcMar>
          </w:tcPr>
          <w:p w14:paraId="0A3C28FF" w14:textId="26A4BCC1" w:rsidR="00C87D7F" w:rsidRPr="003A15C4" w:rsidRDefault="68C5D2AE" w:rsidP="187DA56C">
            <w:pPr>
              <w:pStyle w:val="Body"/>
              <w:spacing w:after="0" w:line="240" w:lineRule="auto"/>
              <w:jc w:val="center"/>
              <w:rPr>
                <w:b/>
                <w:color w:val="FFFFFF"/>
                <w:sz w:val="20"/>
                <w:szCs w:val="20"/>
              </w:rPr>
            </w:pPr>
            <w:r w:rsidRPr="7ACA0E52">
              <w:rPr>
                <w:b/>
                <w:bCs/>
                <w:color w:val="FFFFFF" w:themeColor="background1"/>
                <w:sz w:val="20"/>
                <w:szCs w:val="20"/>
              </w:rPr>
              <w:t>Increased Rebate</w:t>
            </w:r>
          </w:p>
          <w:p w14:paraId="11DF8BB6" w14:textId="030D06A2" w:rsidR="00C87D7F" w:rsidRPr="003A15C4" w:rsidRDefault="68C5D2AE" w:rsidP="187DA56C">
            <w:pPr>
              <w:pStyle w:val="Body"/>
              <w:spacing w:after="0" w:line="240" w:lineRule="auto"/>
              <w:jc w:val="center"/>
              <w:rPr>
                <w:sz w:val="20"/>
                <w:szCs w:val="20"/>
              </w:rPr>
            </w:pPr>
            <w:r w:rsidRPr="7ACA0E52">
              <w:rPr>
                <w:b/>
                <w:bCs/>
                <w:i/>
                <w:iCs/>
                <w:color w:val="FFFFFF" w:themeColor="background1"/>
                <w:sz w:val="20"/>
                <w:szCs w:val="20"/>
              </w:rPr>
              <w:t>Rebate Essentiality</w:t>
            </w:r>
          </w:p>
        </w:tc>
        <w:tc>
          <w:tcPr>
            <w:tcW w:w="1872" w:type="dxa"/>
            <w:tcBorders>
              <w:left w:val="single" w:sz="4" w:space="0" w:color="979797" w:themeColor="background2" w:themeTint="99"/>
            </w:tcBorders>
            <w:shd w:val="clear" w:color="auto" w:fill="3C3A4C"/>
          </w:tcPr>
          <w:p w14:paraId="29CE146A" w14:textId="18EA0358" w:rsidR="00C87D7F" w:rsidRPr="003A15C4" w:rsidRDefault="68C5D2AE" w:rsidP="187DA56C">
            <w:pPr>
              <w:pStyle w:val="Body"/>
              <w:spacing w:after="0" w:line="240" w:lineRule="auto"/>
              <w:jc w:val="center"/>
              <w:rPr>
                <w:b/>
                <w:color w:val="FFFFFF"/>
                <w:sz w:val="20"/>
                <w:szCs w:val="20"/>
              </w:rPr>
            </w:pPr>
            <w:r w:rsidRPr="7ACA0E52">
              <w:rPr>
                <w:b/>
                <w:bCs/>
                <w:color w:val="FFFFFF" w:themeColor="background1"/>
                <w:sz w:val="20"/>
                <w:szCs w:val="20"/>
              </w:rPr>
              <w:t>Standard Rebate</w:t>
            </w:r>
          </w:p>
          <w:p w14:paraId="4BEA794A" w14:textId="4D5F3027" w:rsidR="00C87D7F" w:rsidRPr="003A15C4" w:rsidRDefault="68C5D2AE" w:rsidP="187DA56C">
            <w:pPr>
              <w:pStyle w:val="Body"/>
              <w:spacing w:after="0" w:line="240" w:lineRule="auto"/>
              <w:jc w:val="center"/>
              <w:rPr>
                <w:b/>
                <w:color w:val="FFFFFF"/>
                <w:sz w:val="20"/>
                <w:szCs w:val="20"/>
              </w:rPr>
            </w:pPr>
            <w:r w:rsidRPr="7ACA0E52">
              <w:rPr>
                <w:b/>
                <w:bCs/>
                <w:i/>
                <w:iCs/>
                <w:color w:val="FFFFFF" w:themeColor="background1"/>
                <w:sz w:val="20"/>
                <w:szCs w:val="20"/>
              </w:rPr>
              <w:t>Rebate Importance</w:t>
            </w:r>
          </w:p>
        </w:tc>
        <w:tc>
          <w:tcPr>
            <w:tcW w:w="1872" w:type="dxa"/>
            <w:shd w:val="clear" w:color="auto" w:fill="3C3A4C"/>
          </w:tcPr>
          <w:p w14:paraId="1A7779DA" w14:textId="648F0887" w:rsidR="00C87D7F" w:rsidRPr="003A15C4" w:rsidRDefault="68C5D2AE" w:rsidP="187DA56C">
            <w:pPr>
              <w:pStyle w:val="Body"/>
              <w:spacing w:after="0" w:line="240" w:lineRule="auto"/>
              <w:jc w:val="center"/>
              <w:rPr>
                <w:b/>
                <w:color w:val="FFFFFF"/>
                <w:sz w:val="20"/>
                <w:szCs w:val="20"/>
              </w:rPr>
            </w:pPr>
            <w:r w:rsidRPr="7ACA0E52">
              <w:rPr>
                <w:b/>
                <w:bCs/>
                <w:color w:val="FFFFFF" w:themeColor="background1"/>
                <w:sz w:val="20"/>
                <w:szCs w:val="20"/>
              </w:rPr>
              <w:t>Increased Rebate</w:t>
            </w:r>
          </w:p>
          <w:p w14:paraId="667BBD62" w14:textId="3B8ADD1D" w:rsidR="00C87D7F" w:rsidRPr="003A15C4" w:rsidRDefault="68C5D2AE" w:rsidP="187DA56C">
            <w:pPr>
              <w:pStyle w:val="Body"/>
              <w:spacing w:after="0" w:line="240" w:lineRule="auto"/>
              <w:jc w:val="center"/>
              <w:rPr>
                <w:b/>
                <w:color w:val="FFFFFF"/>
                <w:sz w:val="20"/>
                <w:szCs w:val="20"/>
              </w:rPr>
            </w:pPr>
            <w:r w:rsidRPr="7ACA0E52">
              <w:rPr>
                <w:b/>
                <w:bCs/>
                <w:i/>
                <w:iCs/>
                <w:color w:val="FFFFFF" w:themeColor="background1"/>
                <w:sz w:val="20"/>
                <w:szCs w:val="20"/>
              </w:rPr>
              <w:t>Rebate Importance</w:t>
            </w:r>
          </w:p>
        </w:tc>
      </w:tr>
      <w:tr w:rsidR="00C87D7F" w:rsidRPr="00E65889" w14:paraId="277BFFC6" w14:textId="341D3AC2" w:rsidTr="007321EE">
        <w:trPr>
          <w:trHeight w:val="20"/>
        </w:trPr>
        <w:tc>
          <w:tcPr>
            <w:tcW w:w="1525" w:type="dxa"/>
            <w:tcBorders>
              <w:top w:val="single" w:sz="6" w:space="0" w:color="FFFFFF" w:themeColor="background1"/>
              <w:bottom w:val="single" w:sz="6" w:space="0" w:color="FFFFFF" w:themeColor="background1"/>
              <w:right w:val="single" w:sz="4" w:space="0" w:color="979797" w:themeColor="background2" w:themeTint="99"/>
            </w:tcBorders>
            <w:tcMar>
              <w:top w:w="80" w:type="dxa"/>
              <w:left w:w="80" w:type="dxa"/>
              <w:bottom w:w="80" w:type="dxa"/>
              <w:right w:w="80" w:type="dxa"/>
            </w:tcMar>
            <w:vAlign w:val="center"/>
          </w:tcPr>
          <w:p w14:paraId="2F3DCB55" w14:textId="77777777" w:rsidR="00C87D7F" w:rsidRPr="00E65889" w:rsidRDefault="2AA12E40" w:rsidP="00352A99">
            <w:pPr>
              <w:pStyle w:val="Body"/>
              <w:spacing w:after="0"/>
              <w:rPr>
                <w:sz w:val="20"/>
                <w:szCs w:val="20"/>
              </w:rPr>
            </w:pPr>
            <w:r w:rsidRPr="7ACA0E52">
              <w:rPr>
                <w:b/>
                <w:bCs/>
                <w:sz w:val="20"/>
                <w:szCs w:val="20"/>
              </w:rPr>
              <w:t>PHEV</w:t>
            </w:r>
          </w:p>
        </w:tc>
        <w:tc>
          <w:tcPr>
            <w:tcW w:w="1872" w:type="dxa"/>
            <w:tcBorders>
              <w:left w:val="single" w:sz="4" w:space="0" w:color="979797" w:themeColor="background2" w:themeTint="99"/>
              <w:bottom w:val="single" w:sz="6" w:space="0" w:color="FFFFFF" w:themeColor="background1"/>
            </w:tcBorders>
            <w:tcMar>
              <w:top w:w="80" w:type="dxa"/>
              <w:left w:w="80" w:type="dxa"/>
              <w:bottom w:w="80" w:type="dxa"/>
              <w:right w:w="80" w:type="dxa"/>
            </w:tcMar>
          </w:tcPr>
          <w:p w14:paraId="677ACF49" w14:textId="38281E0B" w:rsidR="00C87D7F" w:rsidRPr="00342655" w:rsidRDefault="00675586" w:rsidP="002164D9">
            <w:pPr>
              <w:pStyle w:val="Body"/>
              <w:spacing w:after="0" w:line="240" w:lineRule="auto"/>
              <w:jc w:val="center"/>
              <w:rPr>
                <w:sz w:val="20"/>
                <w:szCs w:val="20"/>
              </w:rPr>
            </w:pPr>
            <w:r>
              <w:rPr>
                <w:sz w:val="20"/>
                <w:szCs w:val="20"/>
              </w:rPr>
              <w:t>16</w:t>
            </w:r>
            <w:r w:rsidR="00C9341C">
              <w:rPr>
                <w:sz w:val="20"/>
                <w:szCs w:val="20"/>
              </w:rPr>
              <w:t>–</w:t>
            </w:r>
            <w:r>
              <w:rPr>
                <w:sz w:val="20"/>
                <w:szCs w:val="20"/>
              </w:rPr>
              <w:t>49</w:t>
            </w:r>
            <w:r w:rsidR="2AA12E40" w:rsidRPr="00342655">
              <w:rPr>
                <w:sz w:val="20"/>
                <w:szCs w:val="20"/>
              </w:rPr>
              <w:t xml:space="preserve">% </w:t>
            </w:r>
          </w:p>
        </w:tc>
        <w:tc>
          <w:tcPr>
            <w:tcW w:w="1872" w:type="dxa"/>
            <w:tcBorders>
              <w:top w:val="single" w:sz="6" w:space="0" w:color="FFFFFF" w:themeColor="background1"/>
              <w:bottom w:val="single" w:sz="6" w:space="0" w:color="FFFFFF" w:themeColor="background1"/>
              <w:right w:val="single" w:sz="4" w:space="0" w:color="979797" w:themeColor="background2" w:themeTint="99"/>
            </w:tcBorders>
            <w:tcMar>
              <w:top w:w="80" w:type="dxa"/>
              <w:left w:w="80" w:type="dxa"/>
              <w:bottom w:w="80" w:type="dxa"/>
              <w:right w:w="80" w:type="dxa"/>
            </w:tcMar>
          </w:tcPr>
          <w:p w14:paraId="59EE5692" w14:textId="3287F3D2" w:rsidR="00C87D7F" w:rsidRPr="00342655" w:rsidRDefault="00BD46E8" w:rsidP="002164D9">
            <w:pPr>
              <w:pStyle w:val="Body"/>
              <w:spacing w:after="0" w:line="240" w:lineRule="auto"/>
              <w:jc w:val="center"/>
              <w:rPr>
                <w:sz w:val="20"/>
                <w:szCs w:val="20"/>
              </w:rPr>
            </w:pPr>
            <w:r>
              <w:rPr>
                <w:sz w:val="20"/>
                <w:szCs w:val="20"/>
              </w:rPr>
              <w:t>52</w:t>
            </w:r>
            <w:r w:rsidR="00D859BB">
              <w:rPr>
                <w:sz w:val="20"/>
                <w:szCs w:val="20"/>
              </w:rPr>
              <w:t>–</w:t>
            </w:r>
            <w:r>
              <w:rPr>
                <w:sz w:val="20"/>
                <w:szCs w:val="20"/>
              </w:rPr>
              <w:t>70</w:t>
            </w:r>
            <w:r w:rsidR="2AA12E40" w:rsidRPr="00342655">
              <w:rPr>
                <w:sz w:val="20"/>
                <w:szCs w:val="20"/>
              </w:rPr>
              <w:t xml:space="preserve">% </w:t>
            </w:r>
          </w:p>
        </w:tc>
        <w:tc>
          <w:tcPr>
            <w:tcW w:w="1872" w:type="dxa"/>
            <w:tcBorders>
              <w:left w:val="single" w:sz="4" w:space="0" w:color="979797" w:themeColor="background2" w:themeTint="99"/>
              <w:bottom w:val="single" w:sz="6" w:space="0" w:color="FFFFFF" w:themeColor="background1"/>
            </w:tcBorders>
          </w:tcPr>
          <w:p w14:paraId="7FCE8605" w14:textId="2470204B" w:rsidR="00C87D7F" w:rsidRPr="00342655" w:rsidRDefault="00EC114D" w:rsidP="002164D9">
            <w:pPr>
              <w:pStyle w:val="Body"/>
              <w:spacing w:after="0" w:line="240" w:lineRule="auto"/>
              <w:jc w:val="center"/>
              <w:rPr>
                <w:sz w:val="20"/>
                <w:szCs w:val="20"/>
              </w:rPr>
            </w:pPr>
            <w:r>
              <w:rPr>
                <w:sz w:val="20"/>
                <w:szCs w:val="20"/>
              </w:rPr>
              <w:t>73</w:t>
            </w:r>
            <w:r w:rsidR="00D859BB">
              <w:rPr>
                <w:sz w:val="20"/>
                <w:szCs w:val="20"/>
              </w:rPr>
              <w:t>–</w:t>
            </w:r>
            <w:r>
              <w:rPr>
                <w:sz w:val="20"/>
                <w:szCs w:val="20"/>
              </w:rPr>
              <w:t>91</w:t>
            </w:r>
            <w:r w:rsidR="2AA12E40" w:rsidRPr="00342655">
              <w:rPr>
                <w:sz w:val="20"/>
                <w:szCs w:val="20"/>
              </w:rPr>
              <w:t xml:space="preserve">% </w:t>
            </w:r>
          </w:p>
        </w:tc>
        <w:tc>
          <w:tcPr>
            <w:tcW w:w="1872" w:type="dxa"/>
            <w:tcBorders>
              <w:bottom w:val="single" w:sz="6" w:space="0" w:color="FFFFFF" w:themeColor="background1"/>
            </w:tcBorders>
          </w:tcPr>
          <w:p w14:paraId="6063FC5E" w14:textId="6305196D" w:rsidR="00C87D7F" w:rsidRPr="00342655" w:rsidRDefault="008D35E9" w:rsidP="002164D9">
            <w:pPr>
              <w:pStyle w:val="Body"/>
              <w:spacing w:after="0" w:line="240" w:lineRule="auto"/>
              <w:jc w:val="center"/>
              <w:rPr>
                <w:sz w:val="20"/>
                <w:szCs w:val="20"/>
              </w:rPr>
            </w:pPr>
            <w:r>
              <w:rPr>
                <w:sz w:val="20"/>
                <w:szCs w:val="20"/>
              </w:rPr>
              <w:t>91</w:t>
            </w:r>
            <w:r w:rsidR="00D859BB">
              <w:rPr>
                <w:sz w:val="20"/>
                <w:szCs w:val="20"/>
              </w:rPr>
              <w:t>–</w:t>
            </w:r>
            <w:r>
              <w:rPr>
                <w:sz w:val="20"/>
                <w:szCs w:val="20"/>
              </w:rPr>
              <w:t>95</w:t>
            </w:r>
            <w:r w:rsidR="2AA12E40" w:rsidRPr="00342655">
              <w:rPr>
                <w:sz w:val="20"/>
                <w:szCs w:val="20"/>
              </w:rPr>
              <w:t xml:space="preserve">% </w:t>
            </w:r>
          </w:p>
        </w:tc>
      </w:tr>
      <w:tr w:rsidR="00936E36" w:rsidRPr="00E65889" w14:paraId="157F346E" w14:textId="76D57E75" w:rsidTr="007321EE">
        <w:trPr>
          <w:trHeight w:val="20"/>
        </w:trPr>
        <w:tc>
          <w:tcPr>
            <w:tcW w:w="1525" w:type="dxa"/>
            <w:tcBorders>
              <w:top w:val="single" w:sz="6" w:space="0" w:color="FFFFFF" w:themeColor="background1"/>
              <w:bottom w:val="nil"/>
              <w:right w:val="single" w:sz="4" w:space="0" w:color="979797" w:themeColor="background2" w:themeTint="99"/>
            </w:tcBorders>
            <w:shd w:val="clear" w:color="auto" w:fill="F2F2F2" w:themeFill="background1" w:themeFillShade="F2"/>
            <w:tcMar>
              <w:top w:w="80" w:type="dxa"/>
              <w:left w:w="80" w:type="dxa"/>
              <w:bottom w:w="80" w:type="dxa"/>
              <w:right w:w="80" w:type="dxa"/>
            </w:tcMar>
            <w:vAlign w:val="center"/>
          </w:tcPr>
          <w:p w14:paraId="5B101583" w14:textId="3A8FCCAD" w:rsidR="00C87D7F" w:rsidRPr="00E65889" w:rsidRDefault="2AA12E40" w:rsidP="00352A99">
            <w:pPr>
              <w:pStyle w:val="Body"/>
              <w:spacing w:after="0"/>
              <w:rPr>
                <w:sz w:val="20"/>
                <w:szCs w:val="20"/>
              </w:rPr>
            </w:pPr>
            <w:r w:rsidRPr="7ACA0E52">
              <w:rPr>
                <w:b/>
                <w:bCs/>
                <w:sz w:val="20"/>
                <w:szCs w:val="20"/>
              </w:rPr>
              <w:t>BEV</w:t>
            </w:r>
            <w:r w:rsidR="007321EE">
              <w:rPr>
                <w:b/>
                <w:bCs/>
                <w:sz w:val="20"/>
                <w:szCs w:val="20"/>
              </w:rPr>
              <w:t xml:space="preserve"> (non-Tesla)</w:t>
            </w:r>
          </w:p>
        </w:tc>
        <w:tc>
          <w:tcPr>
            <w:tcW w:w="1872" w:type="dxa"/>
            <w:tcBorders>
              <w:top w:val="single" w:sz="6" w:space="0" w:color="FFFFFF" w:themeColor="background1"/>
              <w:left w:val="single" w:sz="4" w:space="0" w:color="979797" w:themeColor="background2" w:themeTint="99"/>
              <w:bottom w:val="nil"/>
            </w:tcBorders>
            <w:shd w:val="clear" w:color="auto" w:fill="F2F2F2" w:themeFill="background1" w:themeFillShade="F2"/>
            <w:tcMar>
              <w:top w:w="80" w:type="dxa"/>
              <w:left w:w="80" w:type="dxa"/>
              <w:bottom w:w="80" w:type="dxa"/>
              <w:right w:w="80" w:type="dxa"/>
            </w:tcMar>
          </w:tcPr>
          <w:p w14:paraId="52E8B2A6" w14:textId="33FC51F4" w:rsidR="00C87D7F" w:rsidRPr="00342655" w:rsidRDefault="00AE6781" w:rsidP="002164D9">
            <w:pPr>
              <w:pStyle w:val="Body"/>
              <w:spacing w:after="0" w:line="240" w:lineRule="auto"/>
              <w:jc w:val="center"/>
              <w:rPr>
                <w:sz w:val="20"/>
                <w:szCs w:val="20"/>
              </w:rPr>
            </w:pPr>
            <w:r>
              <w:rPr>
                <w:sz w:val="20"/>
                <w:szCs w:val="20"/>
              </w:rPr>
              <w:t xml:space="preserve"> </w:t>
            </w:r>
            <w:r w:rsidR="00675586">
              <w:rPr>
                <w:sz w:val="20"/>
                <w:szCs w:val="20"/>
              </w:rPr>
              <w:t>37</w:t>
            </w:r>
            <w:r>
              <w:rPr>
                <w:sz w:val="20"/>
                <w:szCs w:val="20"/>
              </w:rPr>
              <w:t>–</w:t>
            </w:r>
            <w:r w:rsidR="00675586">
              <w:rPr>
                <w:sz w:val="20"/>
                <w:szCs w:val="20"/>
              </w:rPr>
              <w:t>71</w:t>
            </w:r>
            <w:r w:rsidR="2AA12E40" w:rsidRPr="00342655">
              <w:rPr>
                <w:sz w:val="20"/>
                <w:szCs w:val="20"/>
              </w:rPr>
              <w:t xml:space="preserve">% </w:t>
            </w:r>
          </w:p>
        </w:tc>
        <w:tc>
          <w:tcPr>
            <w:tcW w:w="1872" w:type="dxa"/>
            <w:tcBorders>
              <w:top w:val="single" w:sz="6" w:space="0" w:color="FFFFFF" w:themeColor="background1"/>
              <w:bottom w:val="nil"/>
              <w:right w:val="single" w:sz="4" w:space="0" w:color="979797" w:themeColor="background2" w:themeTint="99"/>
            </w:tcBorders>
            <w:shd w:val="clear" w:color="auto" w:fill="F2F2F2" w:themeFill="background1" w:themeFillShade="F2"/>
            <w:tcMar>
              <w:top w:w="80" w:type="dxa"/>
              <w:left w:w="80" w:type="dxa"/>
              <w:bottom w:w="80" w:type="dxa"/>
              <w:right w:w="80" w:type="dxa"/>
            </w:tcMar>
          </w:tcPr>
          <w:p w14:paraId="4494A4B3" w14:textId="20AF0119" w:rsidR="00C87D7F" w:rsidRPr="00342655" w:rsidRDefault="004D7A26" w:rsidP="002164D9">
            <w:pPr>
              <w:pStyle w:val="Body"/>
              <w:spacing w:after="0" w:line="240" w:lineRule="auto"/>
              <w:jc w:val="center"/>
              <w:rPr>
                <w:sz w:val="20"/>
                <w:szCs w:val="20"/>
              </w:rPr>
            </w:pPr>
            <w:r>
              <w:rPr>
                <w:sz w:val="20"/>
                <w:szCs w:val="20"/>
              </w:rPr>
              <w:t>54</w:t>
            </w:r>
            <w:r w:rsidR="00D859BB">
              <w:rPr>
                <w:sz w:val="20"/>
                <w:szCs w:val="20"/>
              </w:rPr>
              <w:t>–</w:t>
            </w:r>
            <w:r>
              <w:rPr>
                <w:sz w:val="20"/>
                <w:szCs w:val="20"/>
              </w:rPr>
              <w:t>83</w:t>
            </w:r>
            <w:r w:rsidR="2AA12E40" w:rsidRPr="00342655">
              <w:rPr>
                <w:sz w:val="20"/>
                <w:szCs w:val="20"/>
              </w:rPr>
              <w:t xml:space="preserve">% </w:t>
            </w:r>
          </w:p>
        </w:tc>
        <w:tc>
          <w:tcPr>
            <w:tcW w:w="1872" w:type="dxa"/>
            <w:tcBorders>
              <w:top w:val="single" w:sz="6" w:space="0" w:color="FFFFFF" w:themeColor="background1"/>
              <w:left w:val="single" w:sz="4" w:space="0" w:color="979797" w:themeColor="background2" w:themeTint="99"/>
              <w:bottom w:val="nil"/>
            </w:tcBorders>
            <w:shd w:val="clear" w:color="auto" w:fill="F2F2F2" w:themeFill="background1" w:themeFillShade="F2"/>
          </w:tcPr>
          <w:p w14:paraId="44B0126D" w14:textId="6E09C6AC" w:rsidR="00C87D7F" w:rsidRPr="00342655" w:rsidRDefault="00865CCC" w:rsidP="002164D9">
            <w:pPr>
              <w:pStyle w:val="Body"/>
              <w:spacing w:after="0" w:line="240" w:lineRule="auto"/>
              <w:jc w:val="center"/>
              <w:rPr>
                <w:sz w:val="20"/>
                <w:szCs w:val="20"/>
              </w:rPr>
            </w:pPr>
            <w:r>
              <w:rPr>
                <w:sz w:val="20"/>
                <w:szCs w:val="20"/>
              </w:rPr>
              <w:t>85</w:t>
            </w:r>
            <w:r w:rsidR="00D859BB">
              <w:rPr>
                <w:sz w:val="20"/>
                <w:szCs w:val="20"/>
              </w:rPr>
              <w:t>–</w:t>
            </w:r>
            <w:r>
              <w:rPr>
                <w:sz w:val="20"/>
                <w:szCs w:val="20"/>
              </w:rPr>
              <w:t>96</w:t>
            </w:r>
            <w:r w:rsidR="2AA12E40" w:rsidRPr="00342655">
              <w:rPr>
                <w:sz w:val="20"/>
                <w:szCs w:val="20"/>
              </w:rPr>
              <w:t xml:space="preserve">% </w:t>
            </w:r>
          </w:p>
        </w:tc>
        <w:tc>
          <w:tcPr>
            <w:tcW w:w="1872" w:type="dxa"/>
            <w:tcBorders>
              <w:top w:val="single" w:sz="6" w:space="0" w:color="FFFFFF" w:themeColor="background1"/>
              <w:bottom w:val="nil"/>
            </w:tcBorders>
            <w:shd w:val="clear" w:color="auto" w:fill="F2F2F2" w:themeFill="background1" w:themeFillShade="F2"/>
          </w:tcPr>
          <w:p w14:paraId="77614650" w14:textId="00132854" w:rsidR="00C87D7F" w:rsidRPr="00342655" w:rsidRDefault="008D35E9" w:rsidP="002164D9">
            <w:pPr>
              <w:pStyle w:val="Body"/>
              <w:spacing w:after="0" w:line="240" w:lineRule="auto"/>
              <w:jc w:val="center"/>
              <w:rPr>
                <w:sz w:val="20"/>
                <w:szCs w:val="20"/>
              </w:rPr>
            </w:pPr>
            <w:r>
              <w:rPr>
                <w:sz w:val="20"/>
                <w:szCs w:val="20"/>
              </w:rPr>
              <w:t>92</w:t>
            </w:r>
            <w:r w:rsidR="00D859BB">
              <w:rPr>
                <w:sz w:val="20"/>
                <w:szCs w:val="20"/>
              </w:rPr>
              <w:t>–</w:t>
            </w:r>
            <w:r>
              <w:rPr>
                <w:sz w:val="20"/>
                <w:szCs w:val="20"/>
              </w:rPr>
              <w:t>98</w:t>
            </w:r>
            <w:r w:rsidR="2AA12E40" w:rsidRPr="00342655">
              <w:rPr>
                <w:sz w:val="20"/>
                <w:szCs w:val="20"/>
              </w:rPr>
              <w:t xml:space="preserve">% </w:t>
            </w:r>
          </w:p>
        </w:tc>
      </w:tr>
      <w:tr w:rsidR="00044D5F" w:rsidRPr="00E65889" w14:paraId="70AA746B" w14:textId="77777777" w:rsidTr="007321EE">
        <w:trPr>
          <w:trHeight w:val="20"/>
        </w:trPr>
        <w:tc>
          <w:tcPr>
            <w:tcW w:w="1525" w:type="dxa"/>
            <w:tcBorders>
              <w:top w:val="nil"/>
              <w:bottom w:val="single" w:sz="4" w:space="0" w:color="FFFFFF" w:themeColor="background1"/>
              <w:right w:val="single" w:sz="4" w:space="0" w:color="979797" w:themeColor="background2" w:themeTint="99"/>
            </w:tcBorders>
            <w:tcMar>
              <w:top w:w="80" w:type="dxa"/>
              <w:left w:w="80" w:type="dxa"/>
              <w:bottom w:w="80" w:type="dxa"/>
              <w:right w:w="80" w:type="dxa"/>
            </w:tcMar>
            <w:vAlign w:val="center"/>
          </w:tcPr>
          <w:p w14:paraId="21432641" w14:textId="440AAF5D" w:rsidR="00044D5F" w:rsidRPr="7ACA0E52" w:rsidRDefault="00044D5F" w:rsidP="00044D5F">
            <w:pPr>
              <w:pStyle w:val="Body"/>
              <w:spacing w:after="0"/>
              <w:rPr>
                <w:b/>
                <w:bCs/>
                <w:sz w:val="20"/>
                <w:szCs w:val="20"/>
              </w:rPr>
            </w:pPr>
            <w:r>
              <w:rPr>
                <w:b/>
                <w:bCs/>
                <w:sz w:val="20"/>
                <w:szCs w:val="20"/>
              </w:rPr>
              <w:t>Tesla BEV</w:t>
            </w:r>
          </w:p>
        </w:tc>
        <w:tc>
          <w:tcPr>
            <w:tcW w:w="1872" w:type="dxa"/>
            <w:tcBorders>
              <w:top w:val="nil"/>
              <w:left w:val="single" w:sz="4" w:space="0" w:color="979797" w:themeColor="background2" w:themeTint="99"/>
            </w:tcBorders>
            <w:tcMar>
              <w:top w:w="80" w:type="dxa"/>
              <w:left w:w="80" w:type="dxa"/>
              <w:bottom w:w="80" w:type="dxa"/>
              <w:right w:w="80" w:type="dxa"/>
            </w:tcMar>
          </w:tcPr>
          <w:p w14:paraId="281F5A4A" w14:textId="54113C68" w:rsidR="00044D5F" w:rsidRPr="00342655" w:rsidDel="00AE6781" w:rsidRDefault="00044D5F" w:rsidP="00044D5F">
            <w:pPr>
              <w:pStyle w:val="Body"/>
              <w:spacing w:after="0" w:line="240" w:lineRule="auto"/>
              <w:jc w:val="center"/>
              <w:rPr>
                <w:sz w:val="20"/>
                <w:szCs w:val="20"/>
              </w:rPr>
            </w:pPr>
            <w:r>
              <w:rPr>
                <w:sz w:val="20"/>
                <w:szCs w:val="20"/>
              </w:rPr>
              <w:t>20–52</w:t>
            </w:r>
            <w:r w:rsidRPr="00342655">
              <w:rPr>
                <w:sz w:val="20"/>
                <w:szCs w:val="20"/>
              </w:rPr>
              <w:t>%</w:t>
            </w:r>
          </w:p>
        </w:tc>
        <w:tc>
          <w:tcPr>
            <w:tcW w:w="1872" w:type="dxa"/>
            <w:tcBorders>
              <w:top w:val="nil"/>
              <w:bottom w:val="single" w:sz="4" w:space="0" w:color="FFFFFF" w:themeColor="background1"/>
              <w:right w:val="single" w:sz="4" w:space="0" w:color="979797" w:themeColor="background2" w:themeTint="99"/>
            </w:tcBorders>
            <w:tcMar>
              <w:top w:w="80" w:type="dxa"/>
              <w:left w:w="80" w:type="dxa"/>
              <w:bottom w:w="80" w:type="dxa"/>
              <w:right w:w="80" w:type="dxa"/>
            </w:tcMar>
          </w:tcPr>
          <w:p w14:paraId="55D79815" w14:textId="34475360" w:rsidR="00044D5F" w:rsidRPr="00342655" w:rsidDel="00D859BB" w:rsidRDefault="00044D5F" w:rsidP="00044D5F">
            <w:pPr>
              <w:pStyle w:val="Body"/>
              <w:spacing w:after="0" w:line="240" w:lineRule="auto"/>
              <w:jc w:val="center"/>
              <w:rPr>
                <w:sz w:val="20"/>
                <w:szCs w:val="20"/>
              </w:rPr>
            </w:pPr>
            <w:r>
              <w:rPr>
                <w:sz w:val="20"/>
                <w:szCs w:val="20"/>
              </w:rPr>
              <w:t>46–78</w:t>
            </w:r>
            <w:r w:rsidRPr="00342655">
              <w:rPr>
                <w:sz w:val="20"/>
                <w:szCs w:val="20"/>
              </w:rPr>
              <w:t>%</w:t>
            </w:r>
          </w:p>
        </w:tc>
        <w:tc>
          <w:tcPr>
            <w:tcW w:w="1872" w:type="dxa"/>
            <w:tcBorders>
              <w:top w:val="nil"/>
              <w:left w:val="single" w:sz="4" w:space="0" w:color="979797" w:themeColor="background2" w:themeTint="99"/>
            </w:tcBorders>
          </w:tcPr>
          <w:p w14:paraId="4AF2373E" w14:textId="2F566271" w:rsidR="00044D5F" w:rsidRPr="00342655" w:rsidDel="00D859BB" w:rsidRDefault="00044D5F" w:rsidP="00044D5F">
            <w:pPr>
              <w:pStyle w:val="Body"/>
              <w:spacing w:after="0" w:line="240" w:lineRule="auto"/>
              <w:jc w:val="center"/>
              <w:rPr>
                <w:sz w:val="20"/>
                <w:szCs w:val="20"/>
              </w:rPr>
            </w:pPr>
            <w:r>
              <w:rPr>
                <w:sz w:val="20"/>
                <w:szCs w:val="20"/>
              </w:rPr>
              <w:t>73–94</w:t>
            </w:r>
            <w:r w:rsidRPr="00342655">
              <w:rPr>
                <w:sz w:val="20"/>
                <w:szCs w:val="20"/>
              </w:rPr>
              <w:t>%</w:t>
            </w:r>
          </w:p>
        </w:tc>
        <w:tc>
          <w:tcPr>
            <w:tcW w:w="1872" w:type="dxa"/>
            <w:tcBorders>
              <w:top w:val="nil"/>
            </w:tcBorders>
          </w:tcPr>
          <w:p w14:paraId="493E28A7" w14:textId="200B575A" w:rsidR="00044D5F" w:rsidRPr="00342655" w:rsidDel="00D859BB" w:rsidRDefault="00044D5F" w:rsidP="00044D5F">
            <w:pPr>
              <w:pStyle w:val="Body"/>
              <w:spacing w:after="0" w:line="240" w:lineRule="auto"/>
              <w:jc w:val="center"/>
              <w:rPr>
                <w:sz w:val="20"/>
                <w:szCs w:val="20"/>
              </w:rPr>
            </w:pPr>
            <w:r>
              <w:rPr>
                <w:sz w:val="20"/>
                <w:szCs w:val="20"/>
              </w:rPr>
              <w:t>93–97</w:t>
            </w:r>
            <w:r w:rsidRPr="00342655">
              <w:rPr>
                <w:sz w:val="20"/>
                <w:szCs w:val="20"/>
              </w:rPr>
              <w:t>%</w:t>
            </w:r>
          </w:p>
        </w:tc>
      </w:tr>
      <w:tr w:rsidR="00C87D7F" w:rsidRPr="00E65889" w14:paraId="75D62448" w14:textId="69D355FC" w:rsidTr="00473C34">
        <w:trPr>
          <w:trHeight w:val="20"/>
        </w:trPr>
        <w:tc>
          <w:tcPr>
            <w:tcW w:w="1525" w:type="dxa"/>
            <w:tcBorders>
              <w:top w:val="nil"/>
              <w:bottom w:val="single" w:sz="4" w:space="0" w:color="FFFFFF" w:themeColor="background1"/>
              <w:right w:val="single" w:sz="4" w:space="0" w:color="979797" w:themeColor="background2" w:themeTint="99"/>
            </w:tcBorders>
            <w:shd w:val="clear" w:color="auto" w:fill="F2F2F2" w:themeFill="background1" w:themeFillShade="F2"/>
            <w:tcMar>
              <w:top w:w="80" w:type="dxa"/>
              <w:left w:w="80" w:type="dxa"/>
              <w:bottom w:w="80" w:type="dxa"/>
              <w:right w:w="80" w:type="dxa"/>
            </w:tcMar>
            <w:vAlign w:val="center"/>
          </w:tcPr>
          <w:p w14:paraId="4C0B2BCA" w14:textId="31DB560B" w:rsidR="00C87D7F" w:rsidRPr="00E65889" w:rsidRDefault="2AA12E40" w:rsidP="00352A99">
            <w:pPr>
              <w:pStyle w:val="Body"/>
              <w:spacing w:after="0"/>
              <w:rPr>
                <w:sz w:val="20"/>
                <w:szCs w:val="20"/>
              </w:rPr>
            </w:pPr>
            <w:r w:rsidRPr="7ACA0E52">
              <w:rPr>
                <w:b/>
                <w:bCs/>
                <w:sz w:val="20"/>
                <w:szCs w:val="20"/>
              </w:rPr>
              <w:t>FCEV</w:t>
            </w:r>
            <w:r w:rsidR="00946F9B">
              <w:rPr>
                <w:b/>
                <w:bCs/>
                <w:sz w:val="20"/>
                <w:szCs w:val="20"/>
              </w:rPr>
              <w:t>*</w:t>
            </w:r>
            <w:r w:rsidR="00C34807">
              <w:rPr>
                <w:b/>
                <w:bCs/>
                <w:sz w:val="20"/>
                <w:szCs w:val="20"/>
              </w:rPr>
              <w:t>*</w:t>
            </w:r>
          </w:p>
        </w:tc>
        <w:tc>
          <w:tcPr>
            <w:tcW w:w="1872" w:type="dxa"/>
            <w:tcBorders>
              <w:top w:val="nil"/>
              <w:left w:val="single" w:sz="4" w:space="0" w:color="979797" w:themeColor="background2" w:themeTint="99"/>
            </w:tcBorders>
            <w:shd w:val="clear" w:color="auto" w:fill="F2F2F2" w:themeFill="background1" w:themeFillShade="F2"/>
            <w:tcMar>
              <w:top w:w="80" w:type="dxa"/>
              <w:left w:w="80" w:type="dxa"/>
              <w:bottom w:w="80" w:type="dxa"/>
              <w:right w:w="80" w:type="dxa"/>
            </w:tcMar>
          </w:tcPr>
          <w:p w14:paraId="67D4EE46" w14:textId="4ECCDC9C" w:rsidR="00C87D7F" w:rsidRPr="00342655" w:rsidRDefault="00637AF7" w:rsidP="002164D9">
            <w:pPr>
              <w:pStyle w:val="Body"/>
              <w:spacing w:after="0" w:line="240" w:lineRule="auto"/>
              <w:jc w:val="center"/>
              <w:rPr>
                <w:sz w:val="20"/>
                <w:szCs w:val="20"/>
              </w:rPr>
            </w:pPr>
            <w:r>
              <w:rPr>
                <w:sz w:val="20"/>
                <w:szCs w:val="20"/>
              </w:rPr>
              <w:t>57</w:t>
            </w:r>
            <w:r w:rsidR="00AE6781">
              <w:rPr>
                <w:sz w:val="20"/>
                <w:szCs w:val="20"/>
              </w:rPr>
              <w:t>–</w:t>
            </w:r>
            <w:r w:rsidR="00A44982">
              <w:rPr>
                <w:sz w:val="20"/>
                <w:szCs w:val="20"/>
              </w:rPr>
              <w:t>75</w:t>
            </w:r>
            <w:r w:rsidR="2AA12E40" w:rsidRPr="00342655">
              <w:rPr>
                <w:sz w:val="20"/>
                <w:szCs w:val="20"/>
              </w:rPr>
              <w:t xml:space="preserve">% </w:t>
            </w:r>
          </w:p>
        </w:tc>
        <w:tc>
          <w:tcPr>
            <w:tcW w:w="1872" w:type="dxa"/>
            <w:tcBorders>
              <w:top w:val="nil"/>
              <w:bottom w:val="single" w:sz="4" w:space="0" w:color="FFFFFF" w:themeColor="background1"/>
              <w:right w:val="single" w:sz="4" w:space="0" w:color="979797" w:themeColor="background2" w:themeTint="99"/>
            </w:tcBorders>
            <w:shd w:val="clear" w:color="auto" w:fill="F2F2F2" w:themeFill="background1" w:themeFillShade="F2"/>
            <w:tcMar>
              <w:top w:w="80" w:type="dxa"/>
              <w:left w:w="80" w:type="dxa"/>
              <w:bottom w:w="80" w:type="dxa"/>
              <w:right w:w="80" w:type="dxa"/>
            </w:tcMar>
          </w:tcPr>
          <w:p w14:paraId="3A62A80F" w14:textId="696CB573" w:rsidR="00C87D7F" w:rsidRPr="00342655" w:rsidRDefault="00A44982" w:rsidP="002164D9">
            <w:pPr>
              <w:pStyle w:val="Body"/>
              <w:spacing w:after="0" w:line="240" w:lineRule="auto"/>
              <w:jc w:val="center"/>
              <w:rPr>
                <w:sz w:val="20"/>
                <w:szCs w:val="20"/>
              </w:rPr>
            </w:pPr>
            <w:r>
              <w:rPr>
                <w:sz w:val="20"/>
                <w:szCs w:val="20"/>
              </w:rPr>
              <w:t>73</w:t>
            </w:r>
            <w:r w:rsidR="00D859BB">
              <w:rPr>
                <w:sz w:val="20"/>
                <w:szCs w:val="20"/>
              </w:rPr>
              <w:t>–</w:t>
            </w:r>
            <w:r>
              <w:rPr>
                <w:sz w:val="20"/>
                <w:szCs w:val="20"/>
              </w:rPr>
              <w:t>85</w:t>
            </w:r>
            <w:r w:rsidR="2AA12E40" w:rsidRPr="00342655">
              <w:rPr>
                <w:sz w:val="20"/>
                <w:szCs w:val="20"/>
              </w:rPr>
              <w:t xml:space="preserve">% </w:t>
            </w:r>
          </w:p>
        </w:tc>
        <w:tc>
          <w:tcPr>
            <w:tcW w:w="1872" w:type="dxa"/>
            <w:tcBorders>
              <w:top w:val="nil"/>
              <w:left w:val="single" w:sz="4" w:space="0" w:color="979797" w:themeColor="background2" w:themeTint="99"/>
            </w:tcBorders>
            <w:shd w:val="clear" w:color="auto" w:fill="F2F2F2" w:themeFill="background1" w:themeFillShade="F2"/>
          </w:tcPr>
          <w:p w14:paraId="2456628F" w14:textId="4F1BE8D5" w:rsidR="00C87D7F" w:rsidRPr="00342655" w:rsidRDefault="0013643A" w:rsidP="002164D9">
            <w:pPr>
              <w:pStyle w:val="Body"/>
              <w:spacing w:after="0" w:line="240" w:lineRule="auto"/>
              <w:jc w:val="center"/>
              <w:rPr>
                <w:sz w:val="20"/>
                <w:szCs w:val="20"/>
              </w:rPr>
            </w:pPr>
            <w:r>
              <w:rPr>
                <w:sz w:val="20"/>
                <w:szCs w:val="20"/>
              </w:rPr>
              <w:t>83</w:t>
            </w:r>
            <w:r w:rsidR="00D859BB">
              <w:rPr>
                <w:sz w:val="20"/>
                <w:szCs w:val="20"/>
              </w:rPr>
              <w:t>–</w:t>
            </w:r>
            <w:r>
              <w:rPr>
                <w:sz w:val="20"/>
                <w:szCs w:val="20"/>
              </w:rPr>
              <w:t>95</w:t>
            </w:r>
            <w:r w:rsidR="2AA12E40" w:rsidRPr="00342655">
              <w:rPr>
                <w:sz w:val="20"/>
                <w:szCs w:val="20"/>
              </w:rPr>
              <w:t xml:space="preserve">% </w:t>
            </w:r>
          </w:p>
        </w:tc>
        <w:tc>
          <w:tcPr>
            <w:tcW w:w="1872" w:type="dxa"/>
            <w:tcBorders>
              <w:top w:val="nil"/>
            </w:tcBorders>
            <w:shd w:val="clear" w:color="auto" w:fill="F2F2F2" w:themeFill="background1" w:themeFillShade="F2"/>
          </w:tcPr>
          <w:p w14:paraId="6B96862D" w14:textId="7D07645A" w:rsidR="00C87D7F" w:rsidRPr="00342655" w:rsidRDefault="0013643A" w:rsidP="002164D9">
            <w:pPr>
              <w:pStyle w:val="Body"/>
              <w:spacing w:after="0" w:line="240" w:lineRule="auto"/>
              <w:jc w:val="center"/>
              <w:rPr>
                <w:sz w:val="20"/>
                <w:szCs w:val="20"/>
              </w:rPr>
            </w:pPr>
            <w:r>
              <w:rPr>
                <w:sz w:val="20"/>
                <w:szCs w:val="20"/>
              </w:rPr>
              <w:t>93</w:t>
            </w:r>
            <w:r w:rsidR="00D859BB">
              <w:rPr>
                <w:sz w:val="20"/>
                <w:szCs w:val="20"/>
              </w:rPr>
              <w:t>–</w:t>
            </w:r>
            <w:r>
              <w:rPr>
                <w:sz w:val="20"/>
                <w:szCs w:val="20"/>
              </w:rPr>
              <w:t>99</w:t>
            </w:r>
            <w:r w:rsidR="2AA12E40" w:rsidRPr="00342655">
              <w:rPr>
                <w:sz w:val="20"/>
                <w:szCs w:val="20"/>
              </w:rPr>
              <w:t xml:space="preserve">% </w:t>
            </w:r>
          </w:p>
        </w:tc>
      </w:tr>
    </w:tbl>
    <w:p w14:paraId="7B148990" w14:textId="141AB749" w:rsidR="0052267C" w:rsidRPr="00342108" w:rsidRDefault="00D53E6B" w:rsidP="00342108">
      <w:pPr>
        <w:pStyle w:val="NoSpacing"/>
        <w:rPr>
          <w:sz w:val="18"/>
          <w:szCs w:val="18"/>
        </w:rPr>
      </w:pPr>
      <w:r w:rsidRPr="00342108">
        <w:rPr>
          <w:sz w:val="18"/>
          <w:szCs w:val="18"/>
        </w:rPr>
        <w:t xml:space="preserve">* </w:t>
      </w:r>
      <w:r w:rsidR="00505CB6" w:rsidRPr="00342108">
        <w:rPr>
          <w:sz w:val="18"/>
          <w:szCs w:val="18"/>
        </w:rPr>
        <w:t>V</w:t>
      </w:r>
      <w:r w:rsidR="00E35B23" w:rsidRPr="00342108">
        <w:rPr>
          <w:sz w:val="18"/>
          <w:szCs w:val="18"/>
        </w:rPr>
        <w:t xml:space="preserve">ehicles purchased </w:t>
      </w:r>
      <w:r w:rsidR="00281DB8" w:rsidRPr="00342108">
        <w:rPr>
          <w:sz w:val="18"/>
          <w:szCs w:val="18"/>
        </w:rPr>
        <w:t>before 2012</w:t>
      </w:r>
      <w:r w:rsidR="00E35B23" w:rsidRPr="00342108">
        <w:rPr>
          <w:sz w:val="18"/>
          <w:szCs w:val="18"/>
        </w:rPr>
        <w:t xml:space="preserve"> </w:t>
      </w:r>
      <w:r w:rsidR="00505CB6" w:rsidRPr="00342108">
        <w:rPr>
          <w:sz w:val="18"/>
          <w:szCs w:val="18"/>
        </w:rPr>
        <w:t>are assigned 2012 influence percentages</w:t>
      </w:r>
      <w:r w:rsidR="00A869F0" w:rsidRPr="00342108">
        <w:rPr>
          <w:sz w:val="18"/>
          <w:szCs w:val="18"/>
        </w:rPr>
        <w:t xml:space="preserve"> (first year of survey data)</w:t>
      </w:r>
      <w:r w:rsidR="008F6BF5" w:rsidRPr="00342108">
        <w:rPr>
          <w:sz w:val="18"/>
          <w:szCs w:val="18"/>
        </w:rPr>
        <w:t xml:space="preserve">. </w:t>
      </w:r>
      <w:r w:rsidR="0086139A" w:rsidRPr="00342108">
        <w:rPr>
          <w:sz w:val="18"/>
          <w:szCs w:val="18"/>
        </w:rPr>
        <w:t>Eighteen</w:t>
      </w:r>
      <w:r w:rsidR="00E35B23" w:rsidRPr="00342108">
        <w:rPr>
          <w:sz w:val="18"/>
          <w:szCs w:val="18"/>
        </w:rPr>
        <w:t xml:space="preserve"> vehicles </w:t>
      </w:r>
      <w:r w:rsidR="007112DD" w:rsidRPr="00342108">
        <w:rPr>
          <w:sz w:val="18"/>
          <w:szCs w:val="18"/>
        </w:rPr>
        <w:t xml:space="preserve">were </w:t>
      </w:r>
      <w:r w:rsidR="008F6BF5" w:rsidRPr="00342108">
        <w:rPr>
          <w:sz w:val="18"/>
          <w:szCs w:val="18"/>
        </w:rPr>
        <w:t>purchased</w:t>
      </w:r>
      <w:r w:rsidR="007112DD" w:rsidRPr="00342108">
        <w:rPr>
          <w:sz w:val="18"/>
          <w:szCs w:val="18"/>
        </w:rPr>
        <w:t xml:space="preserve"> in</w:t>
      </w:r>
      <w:r w:rsidR="008F6BF5" w:rsidRPr="00342108">
        <w:rPr>
          <w:sz w:val="18"/>
          <w:szCs w:val="18"/>
        </w:rPr>
        <w:t xml:space="preserve"> 2024 </w:t>
      </w:r>
      <w:r w:rsidR="007112DD" w:rsidRPr="00342108">
        <w:rPr>
          <w:sz w:val="18"/>
          <w:szCs w:val="18"/>
        </w:rPr>
        <w:t>and</w:t>
      </w:r>
      <w:r w:rsidR="008F6BF5" w:rsidRPr="00342108">
        <w:rPr>
          <w:sz w:val="18"/>
          <w:szCs w:val="18"/>
        </w:rPr>
        <w:t xml:space="preserve"> assigned 2023 influence </w:t>
      </w:r>
      <w:r w:rsidR="00455D24" w:rsidRPr="00342108">
        <w:rPr>
          <w:sz w:val="18"/>
          <w:szCs w:val="18"/>
        </w:rPr>
        <w:t>percentages</w:t>
      </w:r>
      <w:r w:rsidR="008F6BF5" w:rsidRPr="00342108">
        <w:rPr>
          <w:sz w:val="18"/>
          <w:szCs w:val="18"/>
        </w:rPr>
        <w:t xml:space="preserve">. </w:t>
      </w:r>
    </w:p>
    <w:p w14:paraId="416E765B" w14:textId="3DBF36D0" w:rsidR="004D3A8C" w:rsidRPr="00481499" w:rsidRDefault="0052267C" w:rsidP="00481499">
      <w:pPr>
        <w:pStyle w:val="NoSpacing"/>
        <w:spacing w:after="200"/>
        <w:rPr>
          <w:sz w:val="18"/>
          <w:szCs w:val="18"/>
        </w:rPr>
      </w:pPr>
      <w:r w:rsidRPr="00342108">
        <w:rPr>
          <w:sz w:val="18"/>
          <w:szCs w:val="18"/>
        </w:rPr>
        <w:t>**</w:t>
      </w:r>
      <w:r w:rsidR="00844509" w:rsidRPr="00342108">
        <w:rPr>
          <w:sz w:val="18"/>
          <w:szCs w:val="18"/>
        </w:rPr>
        <w:t xml:space="preserve"> </w:t>
      </w:r>
      <w:r w:rsidR="000D1ACF" w:rsidRPr="00342108">
        <w:rPr>
          <w:sz w:val="18"/>
          <w:szCs w:val="18"/>
        </w:rPr>
        <w:t xml:space="preserve">FCEVs </w:t>
      </w:r>
      <w:r w:rsidR="00560FBA" w:rsidRPr="00342108">
        <w:rPr>
          <w:sz w:val="18"/>
          <w:szCs w:val="18"/>
        </w:rPr>
        <w:t xml:space="preserve">are </w:t>
      </w:r>
      <w:r w:rsidR="000D1ACF" w:rsidRPr="00342108">
        <w:rPr>
          <w:sz w:val="18"/>
          <w:szCs w:val="18"/>
        </w:rPr>
        <w:t xml:space="preserve">grouped by </w:t>
      </w:r>
      <w:r w:rsidR="00BA2E70" w:rsidRPr="00342108">
        <w:rPr>
          <w:sz w:val="18"/>
          <w:szCs w:val="18"/>
        </w:rPr>
        <w:t xml:space="preserve">program eras (see </w:t>
      </w:r>
      <w:r w:rsidR="0023364B" w:rsidRPr="00342108">
        <w:rPr>
          <w:sz w:val="18"/>
          <w:szCs w:val="18"/>
        </w:rPr>
        <w:t xml:space="preserve">Table </w:t>
      </w:r>
      <w:r w:rsidR="0023364B" w:rsidRPr="00342108">
        <w:rPr>
          <w:noProof/>
          <w:sz w:val="18"/>
          <w:szCs w:val="18"/>
        </w:rPr>
        <w:t>9</w:t>
      </w:r>
      <w:r w:rsidR="00BA2E70" w:rsidRPr="00342108">
        <w:rPr>
          <w:sz w:val="18"/>
          <w:szCs w:val="18"/>
        </w:rPr>
        <w:t xml:space="preserve">) rather than </w:t>
      </w:r>
      <w:r w:rsidR="00EA4A87" w:rsidRPr="00342108">
        <w:rPr>
          <w:sz w:val="18"/>
          <w:szCs w:val="18"/>
        </w:rPr>
        <w:t>purchase/lease year</w:t>
      </w:r>
      <w:r w:rsidR="000D1ACF" w:rsidRPr="00342108">
        <w:rPr>
          <w:sz w:val="18"/>
          <w:szCs w:val="18"/>
        </w:rPr>
        <w:t xml:space="preserve"> to </w:t>
      </w:r>
      <w:r w:rsidR="00450C00" w:rsidRPr="00342108">
        <w:rPr>
          <w:sz w:val="18"/>
          <w:szCs w:val="18"/>
        </w:rPr>
        <w:t xml:space="preserve">ensure </w:t>
      </w:r>
      <w:r w:rsidR="00405EEE" w:rsidRPr="00342108">
        <w:rPr>
          <w:sz w:val="18"/>
          <w:szCs w:val="18"/>
        </w:rPr>
        <w:t xml:space="preserve">all results </w:t>
      </w:r>
      <w:r w:rsidR="00450C00" w:rsidRPr="00342108">
        <w:rPr>
          <w:sz w:val="18"/>
          <w:szCs w:val="18"/>
        </w:rPr>
        <w:t xml:space="preserve">are </w:t>
      </w:r>
      <w:r w:rsidR="00983C93" w:rsidRPr="00342108">
        <w:rPr>
          <w:sz w:val="18"/>
          <w:szCs w:val="18"/>
        </w:rPr>
        <w:t>based on a sample of</w:t>
      </w:r>
      <w:r w:rsidR="00245486" w:rsidRPr="00342108">
        <w:rPr>
          <w:sz w:val="18"/>
          <w:szCs w:val="18"/>
        </w:rPr>
        <w:t xml:space="preserve"> </w:t>
      </w:r>
      <w:r w:rsidR="009132C1" w:rsidRPr="00342108">
        <w:rPr>
          <w:sz w:val="18"/>
          <w:szCs w:val="18"/>
        </w:rPr>
        <w:t xml:space="preserve">at least </w:t>
      </w:r>
      <w:r w:rsidR="000D1ACF" w:rsidRPr="00342108">
        <w:rPr>
          <w:sz w:val="18"/>
          <w:szCs w:val="18"/>
        </w:rPr>
        <w:t>30</w:t>
      </w:r>
      <w:r w:rsidR="00983C93" w:rsidRPr="00342108">
        <w:rPr>
          <w:sz w:val="18"/>
          <w:szCs w:val="18"/>
        </w:rPr>
        <w:t xml:space="preserve"> responses</w:t>
      </w:r>
      <w:r w:rsidR="00684A21" w:rsidRPr="00342108">
        <w:rPr>
          <w:sz w:val="18"/>
          <w:szCs w:val="18"/>
        </w:rPr>
        <w:t xml:space="preserve"> (era 2 and 3 combined </w:t>
      </w:r>
      <w:r w:rsidR="00A535FB" w:rsidRPr="00342108">
        <w:rPr>
          <w:sz w:val="18"/>
          <w:szCs w:val="18"/>
        </w:rPr>
        <w:t xml:space="preserve">for Increased Rebates </w:t>
      </w:r>
      <w:r w:rsidR="00EE1542" w:rsidRPr="00342108">
        <w:rPr>
          <w:sz w:val="18"/>
          <w:szCs w:val="18"/>
        </w:rPr>
        <w:t>to reach sample quota</w:t>
      </w:r>
      <w:r w:rsidR="00684A21" w:rsidRPr="00342108">
        <w:rPr>
          <w:sz w:val="18"/>
          <w:szCs w:val="18"/>
        </w:rPr>
        <w:t>)</w:t>
      </w:r>
      <w:r w:rsidR="00450C00" w:rsidRPr="00342108">
        <w:rPr>
          <w:sz w:val="18"/>
          <w:szCs w:val="18"/>
        </w:rPr>
        <w:t>.</w:t>
      </w:r>
    </w:p>
    <w:p w14:paraId="789E4252" w14:textId="16644191" w:rsidR="00F13EAD" w:rsidRPr="00C177F4" w:rsidRDefault="008604B8" w:rsidP="0080352F">
      <w:pPr>
        <w:pStyle w:val="Heading3"/>
      </w:pPr>
      <w:bookmarkStart w:id="21" w:name="_Toc227069786"/>
      <w:r w:rsidRPr="00C177F4">
        <w:t>Counterfactual Behaviors</w:t>
      </w:r>
      <w:bookmarkEnd w:id="21"/>
      <w:r w:rsidR="004D3A8C" w:rsidRPr="0080352F">
        <w:t xml:space="preserve"> </w:t>
      </w:r>
    </w:p>
    <w:p w14:paraId="64D4041B" w14:textId="60D3FDD3" w:rsidR="003C370D" w:rsidRDefault="003C370D" w:rsidP="003C370D">
      <w:r w:rsidRPr="00031EF5">
        <w:t>As discussed in previous report</w:t>
      </w:r>
      <w:r w:rsidR="0086139A">
        <w:t>s</w:t>
      </w:r>
      <w:r>
        <w:t xml:space="preserve"> </w:t>
      </w:r>
      <w:r w:rsidR="00FD2EAE" w:rsidRPr="00FD2EAE">
        <w:rPr>
          <w:rFonts w:cs="Calibri"/>
        </w:rPr>
        <w:t>(</w:t>
      </w:r>
      <w:proofErr w:type="spellStart"/>
      <w:r w:rsidR="00FD2EAE" w:rsidRPr="00FD2EAE">
        <w:rPr>
          <w:rFonts w:cs="Calibri"/>
        </w:rPr>
        <w:t>Muehlegger</w:t>
      </w:r>
      <w:proofErr w:type="spellEnd"/>
      <w:r w:rsidR="00FD2EAE" w:rsidRPr="00FD2EAE">
        <w:rPr>
          <w:rFonts w:cs="Calibri"/>
        </w:rPr>
        <w:t xml:space="preserve"> &amp; Rapson, 2023; Pallonetti &amp; Williams, 2021, 2023; Xing et al., 2021)</w:t>
      </w:r>
      <w:r w:rsidRPr="00031EF5">
        <w:t>, while new gasoline vehicles are a common baseline against which EV emissions are compared,</w:t>
      </w:r>
      <w:r>
        <w:rPr>
          <w:rStyle w:val="Heading1Char"/>
          <w:rFonts w:eastAsia="Calibri"/>
          <w:sz w:val="22"/>
          <w:szCs w:val="22"/>
        </w:rPr>
        <w:t xml:space="preserve"> </w:t>
      </w:r>
      <w:r>
        <w:t>a</w:t>
      </w:r>
      <w:r w:rsidRPr="00BB735E">
        <w:t xml:space="preserve"> more a</w:t>
      </w:r>
      <w:r>
        <w:t xml:space="preserve">ppropriate comparison </w:t>
      </w:r>
      <w:r w:rsidR="00DB2FE1">
        <w:t xml:space="preserve">point </w:t>
      </w:r>
      <w:r w:rsidRPr="00BB735E">
        <w:t xml:space="preserve">for evaluating </w:t>
      </w:r>
      <w:r w:rsidR="000E0DC9">
        <w:t xml:space="preserve">EV impacts </w:t>
      </w:r>
      <w:r w:rsidR="0030118C">
        <w:t xml:space="preserve">is based on </w:t>
      </w:r>
      <w:r w:rsidR="0030118C" w:rsidRPr="00E5037F">
        <w:t xml:space="preserve">what would have alternatively </w:t>
      </w:r>
      <w:r w:rsidR="00216519">
        <w:t>been on the road</w:t>
      </w:r>
      <w:r w:rsidR="0030118C">
        <w:t>.</w:t>
      </w:r>
      <w:r w:rsidR="0030118C" w:rsidRPr="00E5037F">
        <w:t xml:space="preserve"> </w:t>
      </w:r>
      <w:r w:rsidR="00026155">
        <w:t>T</w:t>
      </w:r>
      <w:r w:rsidRPr="00BB735E">
        <w:t xml:space="preserve">he impact of </w:t>
      </w:r>
      <w:r>
        <w:t>CVRP</w:t>
      </w:r>
      <w:r w:rsidRPr="00BB735E">
        <w:t xml:space="preserve"> </w:t>
      </w:r>
      <w:r w:rsidR="00E61BD9">
        <w:t xml:space="preserve">should </w:t>
      </w:r>
      <w:r w:rsidR="00402D2F">
        <w:t xml:space="preserve">therefore </w:t>
      </w:r>
      <w:r w:rsidR="00E61BD9">
        <w:t xml:space="preserve">be </w:t>
      </w:r>
      <w:r w:rsidR="004624E8">
        <w:t>evaluated relative to</w:t>
      </w:r>
      <w:r w:rsidR="00E61BD9">
        <w:t xml:space="preserve"> </w:t>
      </w:r>
      <w:r w:rsidR="004624E8">
        <w:t xml:space="preserve">what </w:t>
      </w:r>
      <w:r w:rsidR="00224767">
        <w:t xml:space="preserve">participants </w:t>
      </w:r>
      <w:r w:rsidR="00A92B01" w:rsidRPr="00E5037F">
        <w:t xml:space="preserve">would alternatively </w:t>
      </w:r>
      <w:r w:rsidR="006000DB">
        <w:t xml:space="preserve">have </w:t>
      </w:r>
      <w:r w:rsidR="00210E49">
        <w:t>driven</w:t>
      </w:r>
      <w:r w:rsidR="009F74EE">
        <w:t xml:space="preserve"> absent the program. </w:t>
      </w:r>
      <w:r w:rsidR="00003E3A" w:rsidRPr="00E5037F">
        <w:t>This is the “counterfactual behavior” of program participants.</w:t>
      </w:r>
      <w:r w:rsidR="00F74F92">
        <w:t xml:space="preserve"> </w:t>
      </w:r>
      <w:r w:rsidR="000F4735">
        <w:t xml:space="preserve">Using this </w:t>
      </w:r>
      <w:proofErr w:type="gramStart"/>
      <w:r w:rsidR="000F4735">
        <w:t>more specific</w:t>
      </w:r>
      <w:proofErr w:type="gramEnd"/>
      <w:r w:rsidR="000F4735">
        <w:t xml:space="preserve"> comparison point</w:t>
      </w:r>
      <w:r w:rsidR="00F74F92">
        <w:t xml:space="preserve"> is particularly important because </w:t>
      </w:r>
      <w:r w:rsidR="00F74F92">
        <w:lastRenderedPageBreak/>
        <w:t xml:space="preserve">prior work </w:t>
      </w:r>
      <w:r w:rsidR="00DF3634" w:rsidRPr="00DF3634">
        <w:rPr>
          <w:rFonts w:cs="Calibri"/>
        </w:rPr>
        <w:t>(Pallonetti &amp; Williams, 2021; Gohlke &amp; Zhou, 2021)</w:t>
      </w:r>
      <w:r w:rsidR="00017376">
        <w:t xml:space="preserve"> </w:t>
      </w:r>
      <w:r w:rsidR="003D5C68" w:rsidRPr="00230700">
        <w:t>has demonstrated that EV emission reduction estimates are highly sensitive to the fuel efficiency of the vehicle to which EVs are compared</w:t>
      </w:r>
      <w:r w:rsidR="003D5C68">
        <w:t>.</w:t>
      </w:r>
      <w:r w:rsidR="00416F36">
        <w:t xml:space="preserve"> </w:t>
      </w:r>
      <w:r w:rsidR="008A55BA">
        <w:t xml:space="preserve">For </w:t>
      </w:r>
      <w:r w:rsidR="00B16ED8">
        <w:t xml:space="preserve">detailed </w:t>
      </w:r>
      <w:r w:rsidR="007D1BF9">
        <w:t>c</w:t>
      </w:r>
      <w:r w:rsidR="008A55BA">
        <w:t xml:space="preserve">ounterfactual </w:t>
      </w:r>
      <w:r w:rsidR="007D1BF9">
        <w:t>r</w:t>
      </w:r>
      <w:r w:rsidR="008A55BA">
        <w:t>eductions</w:t>
      </w:r>
      <w:r>
        <w:t xml:space="preserve">, data from </w:t>
      </w:r>
      <w:r w:rsidRPr="00BB735E">
        <w:t>the CVRP Consumer Survey</w:t>
      </w:r>
      <w:r>
        <w:t xml:space="preserve"> are used to incorporat</w:t>
      </w:r>
      <w:r w:rsidR="00F51AC5">
        <w:t>e</w:t>
      </w:r>
      <w:r>
        <w:t xml:space="preserve"> self-reported </w:t>
      </w:r>
      <w:r w:rsidRPr="00BB735E">
        <w:t xml:space="preserve">counterfactual </w:t>
      </w:r>
      <w:r>
        <w:t xml:space="preserve">behaviors into the quantification of GHG reductions </w:t>
      </w:r>
      <w:r w:rsidR="00305380">
        <w:t>for BEVs and PHEVs</w:t>
      </w:r>
      <w:r w:rsidR="003D2999">
        <w:t>.</w:t>
      </w:r>
      <w:r w:rsidR="00305380" w:rsidRPr="001E5E83">
        <w:rPr>
          <w:rStyle w:val="FootnoteReference"/>
        </w:rPr>
        <w:footnoteReference w:id="10"/>
      </w:r>
    </w:p>
    <w:p w14:paraId="34AE5C45" w14:textId="713FC7C9" w:rsidR="003C370D" w:rsidRPr="00E94D2F" w:rsidRDefault="003C370D" w:rsidP="003C370D">
      <w:pPr>
        <w:rPr>
          <w:rFonts w:eastAsia="Arial Unicode MS"/>
        </w:rPr>
      </w:pPr>
      <w:r>
        <w:t xml:space="preserve">The survey question about counterfactual behavior was altered over time, so this analysis necessarily has three variations. </w:t>
      </w:r>
      <w:r w:rsidR="00FB2BE6">
        <w:t>For each variatio</w:t>
      </w:r>
      <w:r w:rsidR="00663972">
        <w:t xml:space="preserve">n, </w:t>
      </w:r>
      <w:r w:rsidR="00E94D2F">
        <w:t xml:space="preserve">results are extrapolated from the survey sample to the full program population using an approach similar to that described previously for extrapolating </w:t>
      </w:r>
      <w:r w:rsidR="00E94D2F" w:rsidRPr="2F1055DC">
        <w:rPr>
          <w:i/>
          <w:iCs/>
        </w:rPr>
        <w:t>Rebate Essentiality</w:t>
      </w:r>
      <w:r w:rsidR="00E94D2F">
        <w:t xml:space="preserve">. For </w:t>
      </w:r>
      <w:r w:rsidR="00E94D2F" w:rsidRPr="53EEA7FC">
        <w:rPr>
          <w:rStyle w:val="Bold"/>
          <w:b w:val="0"/>
          <w:bCs w:val="0"/>
        </w:rPr>
        <w:t xml:space="preserve">participants that didn’t respond to the survey or provide valid responses to the required survey questions, average values </w:t>
      </w:r>
      <w:r w:rsidR="00E94D2F">
        <w:rPr>
          <w:rStyle w:val="Bold"/>
          <w:b w:val="0"/>
          <w:bCs w:val="0"/>
        </w:rPr>
        <w:t xml:space="preserve">for the participant’s cohort are </w:t>
      </w:r>
      <w:r w:rsidR="00E94D2F" w:rsidRPr="53EEA7FC">
        <w:rPr>
          <w:rStyle w:val="Bold"/>
          <w:b w:val="0"/>
          <w:bCs w:val="0"/>
        </w:rPr>
        <w:t xml:space="preserve">calculated from survey responses. </w:t>
      </w:r>
      <w:r w:rsidR="00E94D2F">
        <w:rPr>
          <w:rStyle w:val="Bold"/>
          <w:b w:val="0"/>
          <w:bCs w:val="0"/>
        </w:rPr>
        <w:t xml:space="preserve">The </w:t>
      </w:r>
      <w:r w:rsidR="00E94D2F" w:rsidRPr="53EEA7FC">
        <w:rPr>
          <w:rStyle w:val="Bold"/>
          <w:b w:val="0"/>
          <w:bCs w:val="0"/>
        </w:rPr>
        <w:t xml:space="preserve">cohorts </w:t>
      </w:r>
      <w:r w:rsidR="00E94D2F">
        <w:rPr>
          <w:rStyle w:val="Bold"/>
          <w:b w:val="0"/>
          <w:bCs w:val="0"/>
        </w:rPr>
        <w:t xml:space="preserve">are </w:t>
      </w:r>
      <w:r w:rsidR="00E94D2F" w:rsidRPr="53EEA7FC">
        <w:rPr>
          <w:rStyle w:val="Bold"/>
          <w:b w:val="0"/>
          <w:bCs w:val="0"/>
        </w:rPr>
        <w:t xml:space="preserve">composed of each distinct combination of </w:t>
      </w:r>
      <w:r w:rsidR="00E94D2F">
        <w:rPr>
          <w:rStyle w:val="Bold"/>
          <w:b w:val="0"/>
          <w:bCs w:val="0"/>
        </w:rPr>
        <w:t>purchase/lease year,</w:t>
      </w:r>
      <w:r w:rsidR="00E94D2F" w:rsidRPr="53EEA7FC">
        <w:rPr>
          <w:rStyle w:val="Bold"/>
          <w:b w:val="0"/>
          <w:bCs w:val="0"/>
        </w:rPr>
        <w:t xml:space="preserve"> technology </w:t>
      </w:r>
      <w:r w:rsidR="00E94D2F">
        <w:rPr>
          <w:rStyle w:val="Bold"/>
          <w:b w:val="0"/>
          <w:bCs w:val="0"/>
        </w:rPr>
        <w:t>category</w:t>
      </w:r>
      <w:r w:rsidR="00E94D2F" w:rsidRPr="53EEA7FC">
        <w:rPr>
          <w:rStyle w:val="Bold"/>
          <w:b w:val="0"/>
          <w:bCs w:val="0"/>
        </w:rPr>
        <w:t xml:space="preserve"> (excluding FCEV</w:t>
      </w:r>
      <w:r w:rsidR="00E94D2F">
        <w:rPr>
          <w:rStyle w:val="Bold"/>
          <w:b w:val="0"/>
          <w:bCs w:val="0"/>
        </w:rPr>
        <w:t xml:space="preserve">, with </w:t>
      </w:r>
      <w:r w:rsidR="00405BA7">
        <w:rPr>
          <w:rStyle w:val="Bold"/>
          <w:b w:val="0"/>
          <w:bCs w:val="0"/>
        </w:rPr>
        <w:t xml:space="preserve">BEVs split by </w:t>
      </w:r>
      <w:r w:rsidR="00E94D2F">
        <w:rPr>
          <w:rStyle w:val="Bold"/>
          <w:b w:val="0"/>
          <w:bCs w:val="0"/>
        </w:rPr>
        <w:t xml:space="preserve">Tesla </w:t>
      </w:r>
      <w:r w:rsidR="00405BA7">
        <w:rPr>
          <w:rStyle w:val="Bold"/>
          <w:b w:val="0"/>
          <w:bCs w:val="0"/>
        </w:rPr>
        <w:t xml:space="preserve">and </w:t>
      </w:r>
      <w:r w:rsidR="005348CB">
        <w:rPr>
          <w:rStyle w:val="Bold"/>
          <w:b w:val="0"/>
          <w:bCs w:val="0"/>
        </w:rPr>
        <w:t>non-Tesla</w:t>
      </w:r>
      <w:r w:rsidR="00E94D2F" w:rsidRPr="53EEA7FC">
        <w:rPr>
          <w:rStyle w:val="Bold"/>
          <w:b w:val="0"/>
          <w:bCs w:val="0"/>
        </w:rPr>
        <w:t>) and rebate type.</w:t>
      </w:r>
      <w:r w:rsidR="00E94D2F">
        <w:rPr>
          <w:rStyle w:val="Bold"/>
          <w:b w:val="0"/>
          <w:bCs w:val="0"/>
        </w:rPr>
        <w:t xml:space="preserve"> </w:t>
      </w:r>
      <w:r w:rsidR="007A0D42">
        <w:rPr>
          <w:rStyle w:val="Bold"/>
          <w:b w:val="0"/>
          <w:bCs w:val="0"/>
        </w:rPr>
        <w:t xml:space="preserve">See Appendix A for further </w:t>
      </w:r>
      <w:proofErr w:type="gramStart"/>
      <w:r w:rsidR="007A0D42">
        <w:rPr>
          <w:rStyle w:val="Bold"/>
          <w:b w:val="0"/>
          <w:bCs w:val="0"/>
        </w:rPr>
        <w:t>detail</w:t>
      </w:r>
      <w:proofErr w:type="gramEnd"/>
      <w:r w:rsidR="007A0D42">
        <w:rPr>
          <w:rStyle w:val="Bold"/>
          <w:b w:val="0"/>
          <w:bCs w:val="0"/>
        </w:rPr>
        <w:t>.</w:t>
      </w:r>
    </w:p>
    <w:p w14:paraId="2016A274" w14:textId="4B7EAA4F" w:rsidR="003C370D" w:rsidRDefault="003C370D" w:rsidP="003C370D">
      <w:pPr>
        <w:rPr>
          <w:rStyle w:val="Heading1Char"/>
          <w:rFonts w:eastAsia="Calibri"/>
          <w:sz w:val="22"/>
          <w:szCs w:val="22"/>
        </w:rPr>
      </w:pPr>
      <w:r w:rsidRPr="006D5404">
        <w:rPr>
          <w:b/>
          <w:bCs/>
        </w:rPr>
        <w:t>Survey Editions 2020–2023 &amp; 2023–Close</w:t>
      </w:r>
      <w:r w:rsidRPr="00094514">
        <w:rPr>
          <w:b/>
          <w:bCs/>
        </w:rPr>
        <w:t>:</w:t>
      </w:r>
      <w:r>
        <w:t xml:space="preserve"> A sequence of survey questions is utilized to determine the counterfactual vehicle likely to be on the road in CVRP’s absence (</w:t>
      </w:r>
      <w:r w:rsidR="0023364B">
        <w:t xml:space="preserve">Figure </w:t>
      </w:r>
      <w:r w:rsidR="0023364B">
        <w:rPr>
          <w:noProof/>
        </w:rPr>
        <w:t>1</w:t>
      </w:r>
      <w:r>
        <w:t>). First is the “</w:t>
      </w:r>
      <w:r w:rsidRPr="2F1055DC">
        <w:rPr>
          <w:i/>
          <w:iCs/>
        </w:rPr>
        <w:t>Rebate Essentiality</w:t>
      </w:r>
      <w:r>
        <w:t xml:space="preserve">” question previously described. As with </w:t>
      </w:r>
      <w:r w:rsidRPr="2F1055DC">
        <w:rPr>
          <w:i/>
          <w:iCs/>
        </w:rPr>
        <w:t>Rebate-Essential</w:t>
      </w:r>
      <w:r>
        <w:t xml:space="preserve"> reductions, those who indicated they would have purchased/leased their EV even if CVRP did not exist are assigned no emission reductions attributable to the project.</w:t>
      </w:r>
      <w:r w:rsidR="00C77164" w:rsidRPr="001E5E83">
        <w:rPr>
          <w:rStyle w:val="FootnoteReference"/>
        </w:rPr>
        <w:footnoteReference w:id="11"/>
      </w:r>
      <w:r>
        <w:t xml:space="preserve"> For those who indicated they were </w:t>
      </w:r>
      <w:r w:rsidRPr="2F1055DC">
        <w:rPr>
          <w:i/>
          <w:iCs/>
        </w:rPr>
        <w:t>Rebate Essential</w:t>
      </w:r>
      <w:r>
        <w:t xml:space="preserve"> (i.e., they would not have purchased/leased their EV without CVRP), a follow-up question asks, “If [CVRP] were not available, what do you think you would have done?” Response options span variants of purchasing other EVs, other non-EVs, and no vehicle at all. </w:t>
      </w:r>
      <w:r w:rsidR="0023364B">
        <w:t xml:space="preserve">Figure </w:t>
      </w:r>
      <w:r w:rsidR="0023364B">
        <w:rPr>
          <w:noProof/>
        </w:rPr>
        <w:t>1</w:t>
      </w:r>
      <w:r>
        <w:t xml:space="preserve"> displays this series of questions and the specific response options, and Appendix A describes the emissions comparison assumption used for each. Finally, for respondents who indicated that without CVRP they would not have purchased a vehicle at all, a third survey question is referenced that specifies the model year and technology type of their previous primary vehicle (that they would be driving had they not acquired their rebated EV)</w:t>
      </w:r>
      <w:r w:rsidRPr="2F1055DC">
        <w:rPr>
          <w:rStyle w:val="Heading1Char"/>
          <w:rFonts w:eastAsia="Calibri"/>
          <w:sz w:val="22"/>
          <w:szCs w:val="22"/>
        </w:rPr>
        <w:t>.</w:t>
      </w:r>
      <w:r>
        <w:rPr>
          <w:rStyle w:val="Heading1Char"/>
          <w:rFonts w:eastAsia="Calibri"/>
          <w:sz w:val="22"/>
          <w:szCs w:val="22"/>
        </w:rPr>
        <w:t xml:space="preserve"> </w:t>
      </w:r>
    </w:p>
    <w:p w14:paraId="1F62F863" w14:textId="056D76EA" w:rsidR="003C370D" w:rsidRDefault="003C370D" w:rsidP="003C370D">
      <w:r w:rsidRPr="00094514">
        <w:rPr>
          <w:b/>
          <w:bCs/>
        </w:rPr>
        <w:t>Survey Editions 2015</w:t>
      </w:r>
      <w:r>
        <w:rPr>
          <w:b/>
          <w:bCs/>
        </w:rPr>
        <w:t>–</w:t>
      </w:r>
      <w:r w:rsidRPr="00094514">
        <w:rPr>
          <w:b/>
          <w:bCs/>
        </w:rPr>
        <w:t>2016, 2016</w:t>
      </w:r>
      <w:r>
        <w:rPr>
          <w:b/>
          <w:bCs/>
        </w:rPr>
        <w:t>–</w:t>
      </w:r>
      <w:r w:rsidRPr="00094514">
        <w:rPr>
          <w:b/>
          <w:bCs/>
        </w:rPr>
        <w:t>2017, 2017</w:t>
      </w:r>
      <w:r>
        <w:rPr>
          <w:b/>
          <w:bCs/>
        </w:rPr>
        <w:t>–</w:t>
      </w:r>
      <w:r w:rsidRPr="00094514">
        <w:rPr>
          <w:b/>
          <w:bCs/>
        </w:rPr>
        <w:t>2020:</w:t>
      </w:r>
      <w:r>
        <w:t xml:space="preserve"> </w:t>
      </w:r>
      <w:r w:rsidR="00BA7086">
        <w:t>T</w:t>
      </w:r>
      <w:r>
        <w:t xml:space="preserve">he counterfactual survey question is provided to all respondents and are used directly, regardless of responses to the </w:t>
      </w:r>
      <w:r w:rsidRPr="00582FE7">
        <w:rPr>
          <w:i/>
          <w:iCs/>
        </w:rPr>
        <w:t>Rebate Essentiality</w:t>
      </w:r>
      <w:r>
        <w:t xml:space="preserve"> question</w:t>
      </w:r>
      <w:r w:rsidR="00AA4F08">
        <w:t xml:space="preserve">, to </w:t>
      </w:r>
      <w:r w:rsidR="00F458D8">
        <w:t>utilize</w:t>
      </w:r>
      <w:r w:rsidR="00AA4F08">
        <w:t xml:space="preserve"> the </w:t>
      </w:r>
      <w:r w:rsidR="005618A7">
        <w:t xml:space="preserve">more </w:t>
      </w:r>
      <w:r w:rsidR="00AA4F08">
        <w:t xml:space="preserve">detailed </w:t>
      </w:r>
      <w:r w:rsidR="001B7E2C">
        <w:t>information available</w:t>
      </w:r>
      <w:r w:rsidR="005618A7">
        <w:t xml:space="preserve"> during this period</w:t>
      </w:r>
      <w:r>
        <w:t xml:space="preserve">. Other details are as described above for </w:t>
      </w:r>
      <w:r w:rsidRPr="007500C6">
        <w:t>Survey Editions 2020–2023 &amp; 2023–Close</w:t>
      </w:r>
      <w:r>
        <w:t xml:space="preserve">, though response options differ slightly. </w:t>
      </w:r>
      <w:r w:rsidR="00FA5659">
        <w:t xml:space="preserve">These survey editions also differ in that previous </w:t>
      </w:r>
      <w:r w:rsidR="00FB2579">
        <w:t xml:space="preserve">vehicle details are only </w:t>
      </w:r>
      <w:r w:rsidR="009263B3">
        <w:t xml:space="preserve">collected from </w:t>
      </w:r>
      <w:r w:rsidR="007E5E22">
        <w:t xml:space="preserve">those who replaced a previous </w:t>
      </w:r>
      <w:r w:rsidR="007E5E22">
        <w:lastRenderedPageBreak/>
        <w:t>car</w:t>
      </w:r>
      <w:r w:rsidR="008124ED">
        <w:t xml:space="preserve"> with their rebated EV</w:t>
      </w:r>
      <w:r w:rsidR="00F547E6">
        <w:t>. Replaced vehicles were assumed to</w:t>
      </w:r>
      <w:r w:rsidR="00545F59">
        <w:t xml:space="preserve"> be</w:t>
      </w:r>
      <w:r w:rsidR="00F547E6">
        <w:t xml:space="preserve"> the </w:t>
      </w:r>
      <w:r w:rsidR="00927931">
        <w:t>previous primary vehicle</w:t>
      </w:r>
      <w:r w:rsidR="009956D8" w:rsidRPr="001E5E83">
        <w:rPr>
          <w:rStyle w:val="FootnoteReference"/>
        </w:rPr>
        <w:footnoteReference w:id="12"/>
      </w:r>
      <w:r w:rsidR="000321F0">
        <w:t xml:space="preserve"> and are used </w:t>
      </w:r>
      <w:r w:rsidR="00557771">
        <w:t xml:space="preserve">as comparison </w:t>
      </w:r>
      <w:r w:rsidR="0076086B">
        <w:t xml:space="preserve">vehicles </w:t>
      </w:r>
      <w:r w:rsidR="00557771">
        <w:t>f</w:t>
      </w:r>
      <w:r w:rsidR="004B167A">
        <w:t>or respondents who indicated that without CVRP they would not have purchased a vehicle at all</w:t>
      </w:r>
      <w:r w:rsidR="00D60F88">
        <w:t xml:space="preserve"> (cohort averages are used </w:t>
      </w:r>
      <w:r w:rsidR="00075BD3">
        <w:t xml:space="preserve">when replaced vehicle </w:t>
      </w:r>
      <w:r w:rsidR="00B62E4B">
        <w:t xml:space="preserve">information is </w:t>
      </w:r>
      <w:r w:rsidR="00075BD3">
        <w:t>unavailable)</w:t>
      </w:r>
      <w:r w:rsidR="00557771">
        <w:t xml:space="preserve">. </w:t>
      </w:r>
      <w:r w:rsidR="002A1481">
        <w:t>Appendix A</w:t>
      </w:r>
      <w:r>
        <w:t xml:space="preserve"> details the specific response options and the emissions comparison assumption used for each.</w:t>
      </w:r>
    </w:p>
    <w:p w14:paraId="05DEAEFE" w14:textId="26F3E0FB" w:rsidR="00FB2BE6" w:rsidRDefault="003C370D" w:rsidP="003C370D">
      <w:pPr>
        <w:rPr>
          <w:rStyle w:val="Heading1Char"/>
          <w:rFonts w:eastAsia="Calibri"/>
          <w:sz w:val="22"/>
          <w:szCs w:val="22"/>
        </w:rPr>
      </w:pPr>
      <w:r w:rsidRPr="00BA1EC2">
        <w:rPr>
          <w:b/>
          <w:bCs/>
        </w:rPr>
        <w:t>Survey Edition 201</w:t>
      </w:r>
      <w:r>
        <w:rPr>
          <w:b/>
          <w:bCs/>
        </w:rPr>
        <w:t>3–</w:t>
      </w:r>
      <w:r w:rsidRPr="00BA1EC2">
        <w:rPr>
          <w:b/>
          <w:bCs/>
        </w:rPr>
        <w:t>201</w:t>
      </w:r>
      <w:r>
        <w:rPr>
          <w:b/>
          <w:bCs/>
        </w:rPr>
        <w:t xml:space="preserve">5: </w:t>
      </w:r>
      <w:r>
        <w:rPr>
          <w:rStyle w:val="Heading1Char"/>
          <w:rFonts w:eastAsia="Calibri"/>
          <w:sz w:val="22"/>
          <w:szCs w:val="22"/>
        </w:rPr>
        <w:t xml:space="preserve">The first survey edition did not include the counterfactual behavior question at all. Participants during this period are treated </w:t>
      </w:r>
      <w:r w:rsidR="00E628BF">
        <w:rPr>
          <w:rStyle w:val="Heading1Char"/>
          <w:rFonts w:eastAsia="Calibri"/>
          <w:sz w:val="22"/>
          <w:szCs w:val="22"/>
        </w:rPr>
        <w:t>like</w:t>
      </w:r>
      <w:r>
        <w:rPr>
          <w:rStyle w:val="Heading1Char"/>
          <w:rFonts w:eastAsia="Calibri"/>
          <w:sz w:val="22"/>
          <w:szCs w:val="22"/>
        </w:rPr>
        <w:t xml:space="preserve"> non-</w:t>
      </w:r>
      <w:r w:rsidR="00E628BF">
        <w:rPr>
          <w:rStyle w:val="Heading1Char"/>
          <w:rFonts w:eastAsia="Calibri"/>
          <w:sz w:val="22"/>
          <w:szCs w:val="22"/>
        </w:rPr>
        <w:t>respondents are</w:t>
      </w:r>
      <w:r>
        <w:rPr>
          <w:rStyle w:val="Heading1Char"/>
          <w:rFonts w:eastAsia="Calibri"/>
          <w:sz w:val="22"/>
          <w:szCs w:val="22"/>
        </w:rPr>
        <w:t xml:space="preserve"> in other periods</w:t>
      </w:r>
      <w:r w:rsidR="007E60B0">
        <w:rPr>
          <w:rStyle w:val="Heading1Char"/>
          <w:rFonts w:eastAsia="Calibri"/>
          <w:sz w:val="22"/>
          <w:szCs w:val="22"/>
        </w:rPr>
        <w:t xml:space="preserve"> and</w:t>
      </w:r>
      <w:r>
        <w:rPr>
          <w:rStyle w:val="Heading1Char"/>
          <w:rFonts w:eastAsia="Calibri"/>
          <w:sz w:val="22"/>
          <w:szCs w:val="22"/>
        </w:rPr>
        <w:t xml:space="preserve"> receiv</w:t>
      </w:r>
      <w:r w:rsidR="007E60B0">
        <w:rPr>
          <w:rStyle w:val="Heading1Char"/>
          <w:rFonts w:eastAsia="Calibri"/>
          <w:sz w:val="22"/>
          <w:szCs w:val="22"/>
        </w:rPr>
        <w:t>e</w:t>
      </w:r>
      <w:r>
        <w:rPr>
          <w:rStyle w:val="Heading1Char"/>
          <w:rFonts w:eastAsia="Calibri"/>
          <w:sz w:val="22"/>
          <w:szCs w:val="22"/>
        </w:rPr>
        <w:t xml:space="preserve"> response proportions </w:t>
      </w:r>
      <w:r w:rsidR="00AE253B">
        <w:rPr>
          <w:rStyle w:val="Heading1Char"/>
          <w:rFonts w:eastAsia="Calibri"/>
          <w:sz w:val="22"/>
          <w:szCs w:val="22"/>
        </w:rPr>
        <w:t xml:space="preserve">based on </w:t>
      </w:r>
      <w:r>
        <w:rPr>
          <w:rStyle w:val="Heading1Char"/>
          <w:rFonts w:eastAsia="Calibri"/>
          <w:sz w:val="22"/>
          <w:szCs w:val="22"/>
        </w:rPr>
        <w:t>the 2015</w:t>
      </w:r>
      <w:r w:rsidR="00CB5984">
        <w:rPr>
          <w:rStyle w:val="Heading1Char"/>
          <w:rFonts w:eastAsia="Calibri"/>
          <w:sz w:val="22"/>
          <w:szCs w:val="22"/>
        </w:rPr>
        <w:t xml:space="preserve"> cohorts</w:t>
      </w:r>
      <w:r w:rsidR="00C035C3">
        <w:rPr>
          <w:rStyle w:val="Heading1Char"/>
          <w:rFonts w:eastAsia="Calibri"/>
          <w:sz w:val="22"/>
          <w:szCs w:val="22"/>
        </w:rPr>
        <w:t xml:space="preserve"> (</w:t>
      </w:r>
      <w:r w:rsidR="00C035C3" w:rsidRPr="2F1055DC">
        <w:rPr>
          <w:rStyle w:val="Bold"/>
          <w:b w:val="0"/>
          <w:bCs w:val="0"/>
        </w:rPr>
        <w:t>distinct combination</w:t>
      </w:r>
      <w:r w:rsidR="00AF6921">
        <w:rPr>
          <w:rStyle w:val="Bold"/>
          <w:b w:val="0"/>
          <w:bCs w:val="0"/>
        </w:rPr>
        <w:t>s</w:t>
      </w:r>
      <w:r w:rsidR="00C035C3" w:rsidRPr="2F1055DC">
        <w:rPr>
          <w:rStyle w:val="Bold"/>
          <w:b w:val="0"/>
          <w:bCs w:val="0"/>
        </w:rPr>
        <w:t xml:space="preserve"> of technology </w:t>
      </w:r>
      <w:r w:rsidR="00655201">
        <w:rPr>
          <w:rStyle w:val="Bold"/>
          <w:b w:val="0"/>
          <w:bCs w:val="0"/>
        </w:rPr>
        <w:t>category</w:t>
      </w:r>
      <w:r w:rsidR="00C035C3" w:rsidRPr="2F1055DC">
        <w:rPr>
          <w:rStyle w:val="Bold"/>
          <w:b w:val="0"/>
          <w:bCs w:val="0"/>
        </w:rPr>
        <w:t xml:space="preserve"> and rebate type</w:t>
      </w:r>
      <w:r w:rsidR="00C035C3">
        <w:rPr>
          <w:rStyle w:val="Heading1Char"/>
          <w:rFonts w:eastAsia="Calibri"/>
          <w:sz w:val="22"/>
          <w:szCs w:val="22"/>
        </w:rPr>
        <w:t>)</w:t>
      </w:r>
      <w:r>
        <w:rPr>
          <w:rStyle w:val="Heading1Char"/>
          <w:rFonts w:eastAsia="Calibri"/>
          <w:sz w:val="22"/>
          <w:szCs w:val="22"/>
        </w:rPr>
        <w:t>.</w:t>
      </w:r>
    </w:p>
    <w:p w14:paraId="07672A08" w14:textId="264F4D90" w:rsidR="00473A21" w:rsidRPr="00B90CFD" w:rsidRDefault="00473A21" w:rsidP="00FD123B">
      <w:pPr>
        <w:pStyle w:val="TableFigureNumber0"/>
        <w:keepNext/>
        <w:rPr>
          <w:color w:val="0579BD"/>
        </w:rPr>
      </w:pPr>
      <w:bookmarkStart w:id="22" w:name="_Ref216033589"/>
      <w:r w:rsidRPr="00B90CFD">
        <w:rPr>
          <w:color w:val="0579BD"/>
        </w:rPr>
        <w:lastRenderedPageBreak/>
        <w:t xml:space="preserve">Figure </w:t>
      </w:r>
      <w:r w:rsidR="0023364B" w:rsidRPr="00B90CFD">
        <w:rPr>
          <w:noProof/>
          <w:color w:val="0579BD"/>
        </w:rPr>
        <w:t>1</w:t>
      </w:r>
      <w:bookmarkEnd w:id="22"/>
    </w:p>
    <w:p w14:paraId="276A0169" w14:textId="461AA635" w:rsidR="003C370D" w:rsidRDefault="003C370D" w:rsidP="00FD123B">
      <w:pPr>
        <w:pStyle w:val="TableFigureheader"/>
        <w:keepNext/>
      </w:pPr>
      <w:r>
        <w:t>Counterfactual Survey Question Flowchart</w:t>
      </w:r>
    </w:p>
    <w:p w14:paraId="6E081D3A" w14:textId="70468011" w:rsidR="00FD123B" w:rsidRDefault="003C370D" w:rsidP="00BB0620">
      <w:pPr>
        <w:pStyle w:val="TableFigureSubtitle"/>
        <w:keepNext/>
        <w:spacing w:after="200"/>
        <w:rPr>
          <w:noProof/>
          <w:color w:val="auto"/>
          <w:bdr w:val="none" w:sz="0" w:space="0" w:color="auto"/>
        </w:rPr>
      </w:pPr>
      <w:r w:rsidRPr="006D5404">
        <w:t>Survey Editions 2020</w:t>
      </w:r>
      <w:r w:rsidR="00D119B1">
        <w:t>–</w:t>
      </w:r>
      <w:r w:rsidRPr="006D5404">
        <w:t>2023 &amp; 2023</w:t>
      </w:r>
      <w:r w:rsidR="00D119B1">
        <w:t>–</w:t>
      </w:r>
      <w:r w:rsidRPr="006D5404">
        <w:t>Close</w:t>
      </w:r>
      <w:r w:rsidRPr="001E5E83">
        <w:rPr>
          <w:rStyle w:val="FootnoteReference"/>
        </w:rPr>
        <w:footnoteReference w:id="13"/>
      </w:r>
      <w:r w:rsidR="00E14528" w:rsidRPr="00E14528">
        <w:rPr>
          <w:noProof/>
          <w:color w:val="auto"/>
          <w:bdr w:val="none" w:sz="0" w:space="0" w:color="auto"/>
        </w:rPr>
        <w:t xml:space="preserve"> </w:t>
      </w:r>
    </w:p>
    <w:p w14:paraId="209FEE3B" w14:textId="26783EA6" w:rsidR="00E14528" w:rsidRPr="00E14528" w:rsidRDefault="00E14528" w:rsidP="00BB0620">
      <w:pPr>
        <w:pStyle w:val="TableFigureSubtitle"/>
        <w:spacing w:after="200"/>
        <w:rPr>
          <w:color w:val="auto"/>
          <w:bdr w:val="none" w:sz="0" w:space="0" w:color="auto"/>
        </w:rPr>
      </w:pPr>
      <w:r w:rsidRPr="00E14528">
        <w:rPr>
          <w:noProof/>
          <w:color w:val="auto"/>
          <w:bdr w:val="none" w:sz="0" w:space="0" w:color="auto"/>
        </w:rPr>
        <w:drawing>
          <wp:inline distT="0" distB="0" distL="0" distR="0" wp14:anchorId="6A1C75E8" wp14:editId="5D56B0FA">
            <wp:extent cx="5425440" cy="5399440"/>
            <wp:effectExtent l="0" t="0" r="3810" b="0"/>
            <wp:docPr id="1" name="Picture 1" descr="Chart visualizing the survey question flow from Rebate Essentiality to counterfactual behaviors. Counterfactual behavior response options also described in Table A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visualizing the survey question flow from Rebate Essentiality to counterfactual behaviors. Counterfactual behavior response options also described in Table A5.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554" cy="5401544"/>
                    </a:xfrm>
                    <a:prstGeom prst="rect">
                      <a:avLst/>
                    </a:prstGeom>
                    <a:noFill/>
                    <a:ln>
                      <a:noFill/>
                    </a:ln>
                  </pic:spPr>
                </pic:pic>
              </a:graphicData>
            </a:graphic>
          </wp:inline>
        </w:drawing>
      </w:r>
    </w:p>
    <w:p w14:paraId="5E8A2909" w14:textId="0C36EA3F" w:rsidR="007A3301" w:rsidRDefault="7BDD560A" w:rsidP="187DA56C">
      <w:pPr>
        <w:pStyle w:val="Heading"/>
        <w:rPr>
          <w:rStyle w:val="Heading1Char"/>
        </w:rPr>
      </w:pPr>
      <w:bookmarkStart w:id="23" w:name="_Toc227069787"/>
      <w:r w:rsidRPr="64B70F6E">
        <w:rPr>
          <w:rStyle w:val="Heading1Char"/>
        </w:rPr>
        <w:lastRenderedPageBreak/>
        <w:t>4. Results and Discussion</w:t>
      </w:r>
      <w:bookmarkEnd w:id="23"/>
    </w:p>
    <w:p w14:paraId="44C3585D" w14:textId="4CE3C365" w:rsidR="00EE2734" w:rsidRPr="00EE2734" w:rsidRDefault="00EE2734" w:rsidP="00EE2734">
      <w:pPr>
        <w:pStyle w:val="Body"/>
      </w:pPr>
      <w:r>
        <w:t xml:space="preserve">GHG emission reductions </w:t>
      </w:r>
      <w:r w:rsidR="004134DA">
        <w:t xml:space="preserve">and cost effectiveness </w:t>
      </w:r>
      <w:r>
        <w:t xml:space="preserve">are </w:t>
      </w:r>
      <w:r w:rsidR="00EB7257">
        <w:t xml:space="preserve">assessed at various levels </w:t>
      </w:r>
      <w:r w:rsidR="002F7D7B">
        <w:t>nex</w:t>
      </w:r>
      <w:r w:rsidR="00827DBD">
        <w:t>t</w:t>
      </w:r>
      <w:r w:rsidR="001A37CC">
        <w:t>.</w:t>
      </w:r>
      <w:r w:rsidR="008561B5">
        <w:t xml:space="preserve"> First are </w:t>
      </w:r>
      <w:r w:rsidR="00D9649E">
        <w:t xml:space="preserve">GHG </w:t>
      </w:r>
      <w:r w:rsidR="008561B5">
        <w:t xml:space="preserve">reductions </w:t>
      </w:r>
      <w:r w:rsidR="00FB2B75">
        <w:t xml:space="preserve">associated with </w:t>
      </w:r>
      <w:r w:rsidR="008561B5">
        <w:t xml:space="preserve">all rebated </w:t>
      </w:r>
      <w:r w:rsidR="006E586D">
        <w:t>EV</w:t>
      </w:r>
      <w:r w:rsidR="008561B5">
        <w:t>s</w:t>
      </w:r>
      <w:r w:rsidR="00FB2B75">
        <w:t>,</w:t>
      </w:r>
      <w:r w:rsidR="008561B5">
        <w:t xml:space="preserve"> relative to </w:t>
      </w:r>
      <w:r w:rsidR="00681B85">
        <w:t xml:space="preserve">a </w:t>
      </w:r>
      <w:r w:rsidR="001A37CC">
        <w:t>common</w:t>
      </w:r>
      <w:r w:rsidR="00676FBA">
        <w:t>ly assumed</w:t>
      </w:r>
      <w:r w:rsidR="001A37CC">
        <w:t xml:space="preserve"> baseline</w:t>
      </w:r>
      <w:r w:rsidR="00C42BDB">
        <w:t>—</w:t>
      </w:r>
      <w:r w:rsidR="008561B5">
        <w:t>new gasoline vehicles</w:t>
      </w:r>
      <w:r w:rsidR="001A37CC">
        <w:t>. Th</w:t>
      </w:r>
      <w:r w:rsidR="00E833C4">
        <w:t xml:space="preserve">en, </w:t>
      </w:r>
      <w:r w:rsidR="00343E94">
        <w:t xml:space="preserve">these reductions </w:t>
      </w:r>
      <w:r w:rsidR="001A37CC">
        <w:t xml:space="preserve">are </w:t>
      </w:r>
      <w:r w:rsidR="00ED7B67">
        <w:t>adjusted</w:t>
      </w:r>
      <w:r w:rsidR="001D3CD1">
        <w:t xml:space="preserve"> using</w:t>
      </w:r>
      <w:r w:rsidR="002F1E06">
        <w:t xml:space="preserve"> two different</w:t>
      </w:r>
      <w:r w:rsidR="006E2798">
        <w:t xml:space="preserve"> </w:t>
      </w:r>
      <w:r w:rsidR="00D8297D">
        <w:t>participant</w:t>
      </w:r>
      <w:r w:rsidR="006E641C">
        <w:t xml:space="preserve">-reported </w:t>
      </w:r>
      <w:r w:rsidR="008F19D2">
        <w:t>measures of rebate influence</w:t>
      </w:r>
      <w:r w:rsidR="002D3842">
        <w:t xml:space="preserve"> to </w:t>
      </w:r>
      <w:r w:rsidR="00C06B62">
        <w:t xml:space="preserve">isolate </w:t>
      </w:r>
      <w:r w:rsidR="00FB2B75">
        <w:t>impacts</w:t>
      </w:r>
      <w:r w:rsidR="0018774F">
        <w:t xml:space="preserve"> </w:t>
      </w:r>
      <w:r w:rsidR="002A0451">
        <w:t xml:space="preserve">that </w:t>
      </w:r>
      <w:r w:rsidR="00612391">
        <w:t>the rebate</w:t>
      </w:r>
      <w:r w:rsidR="002A0451">
        <w:t xml:space="preserve"> helped enable</w:t>
      </w:r>
      <w:r w:rsidR="008F19D2">
        <w:t xml:space="preserve">. Lastly, </w:t>
      </w:r>
      <w:r w:rsidR="00903868">
        <w:t xml:space="preserve">to account for reductions most directly attributable to CVRP, </w:t>
      </w:r>
      <w:r w:rsidR="00D10CFF">
        <w:t xml:space="preserve">results </w:t>
      </w:r>
      <w:r w:rsidR="006E641C">
        <w:t xml:space="preserve">are estimated </w:t>
      </w:r>
      <w:r w:rsidR="003F7011">
        <w:t xml:space="preserve">relative to </w:t>
      </w:r>
      <w:r w:rsidR="00CB25E9">
        <w:t>detailed data characterizing</w:t>
      </w:r>
      <w:r w:rsidR="000572DF">
        <w:t xml:space="preserve"> </w:t>
      </w:r>
      <w:r w:rsidR="008F19D2">
        <w:t xml:space="preserve">what would have alternatively </w:t>
      </w:r>
      <w:r w:rsidR="004134DA">
        <w:t xml:space="preserve">occurred </w:t>
      </w:r>
      <w:r w:rsidR="008C274F">
        <w:t xml:space="preserve">in </w:t>
      </w:r>
      <w:r w:rsidR="004134DA">
        <w:t>absen</w:t>
      </w:r>
      <w:r w:rsidR="008C274F">
        <w:t>ce of</w:t>
      </w:r>
      <w:r w:rsidR="004134DA">
        <w:t xml:space="preserve"> </w:t>
      </w:r>
      <w:r w:rsidR="00D94699">
        <w:t>the program</w:t>
      </w:r>
      <w:r w:rsidR="004134DA">
        <w:t xml:space="preserve">. </w:t>
      </w:r>
    </w:p>
    <w:p w14:paraId="48512075" w14:textId="010E9963" w:rsidR="007A3301" w:rsidRPr="003A15C4" w:rsidRDefault="7BDD560A" w:rsidP="187DA56C">
      <w:pPr>
        <w:pStyle w:val="Heading2"/>
        <w:rPr>
          <w:sz w:val="30"/>
          <w:szCs w:val="30"/>
        </w:rPr>
      </w:pPr>
      <w:bookmarkStart w:id="24" w:name="_Toc227069788"/>
      <w:r w:rsidRPr="7ACA0E52">
        <w:rPr>
          <w:sz w:val="30"/>
          <w:szCs w:val="30"/>
        </w:rPr>
        <w:t>GHG Emission Reduction</w:t>
      </w:r>
      <w:r w:rsidR="0EE38514" w:rsidRPr="7ACA0E52">
        <w:rPr>
          <w:sz w:val="30"/>
          <w:szCs w:val="30"/>
        </w:rPr>
        <w:t>s</w:t>
      </w:r>
      <w:r w:rsidRPr="7ACA0E52">
        <w:rPr>
          <w:sz w:val="30"/>
          <w:szCs w:val="30"/>
        </w:rPr>
        <w:t xml:space="preserve"> and Cost-Effectiveness</w:t>
      </w:r>
      <w:r w:rsidR="6A76A9D7" w:rsidRPr="7ACA0E52">
        <w:rPr>
          <w:sz w:val="30"/>
          <w:szCs w:val="30"/>
        </w:rPr>
        <w:t>: All Rebated Vehicles</w:t>
      </w:r>
      <w:bookmarkEnd w:id="24"/>
    </w:p>
    <w:p w14:paraId="64280DCF" w14:textId="0DA470CF" w:rsidR="00AB0FC0" w:rsidRDefault="1C6D2773" w:rsidP="001C3F44">
      <w:r>
        <w:t xml:space="preserve">CVRP rebated </w:t>
      </w:r>
      <w:r w:rsidR="00236B3B" w:rsidRPr="00236B3B">
        <w:t>570,668</w:t>
      </w:r>
      <w:r w:rsidR="00236B3B">
        <w:t xml:space="preserve"> </w:t>
      </w:r>
      <w:r w:rsidR="00335F31">
        <w:t xml:space="preserve">personal-use </w:t>
      </w:r>
      <w:r>
        <w:t>PHEVs, BEVs, and FCEVs</w:t>
      </w:r>
      <w:r w:rsidR="00054A86" w:rsidRPr="00054A86">
        <w:t xml:space="preserve"> </w:t>
      </w:r>
      <w:r w:rsidR="00054A86">
        <w:t>f</w:t>
      </w:r>
      <w:r w:rsidR="00054A86" w:rsidRPr="00054A86">
        <w:t>rom its inception in March 2010 through its closure in late 2023</w:t>
      </w:r>
      <w:r>
        <w:t xml:space="preserve">. </w:t>
      </w:r>
      <w:r w:rsidR="00F025F3">
        <w:t>Rebated reductions—t</w:t>
      </w:r>
      <w:r w:rsidR="36907C98">
        <w:t xml:space="preserve">otal GHG emission reductions </w:t>
      </w:r>
      <w:r w:rsidR="00E44A26">
        <w:t xml:space="preserve">of </w:t>
      </w:r>
      <w:r>
        <w:t>t</w:t>
      </w:r>
      <w:r w:rsidR="6A393728">
        <w:t>h</w:t>
      </w:r>
      <w:r>
        <w:t xml:space="preserve">ose EVs </w:t>
      </w:r>
      <w:r w:rsidR="00216A0A">
        <w:t>relative to new gasoline vehicles</w:t>
      </w:r>
      <w:r w:rsidR="00F025F3">
        <w:t>—</w:t>
      </w:r>
      <w:r w:rsidR="36907C98">
        <w:t xml:space="preserve">over the first year of ownership are estimated to be approximately </w:t>
      </w:r>
      <w:r w:rsidR="00FB0F42">
        <w:t>1.</w:t>
      </w:r>
      <w:r w:rsidR="004277B4">
        <w:t>9</w:t>
      </w:r>
      <w:r w:rsidR="00FB0F42">
        <w:t>M</w:t>
      </w:r>
      <w:r w:rsidR="36907C98">
        <w:t xml:space="preserve"> metric tons of CO</w:t>
      </w:r>
      <w:r w:rsidR="36907C98" w:rsidRPr="2F1055DC">
        <w:rPr>
          <w:vertAlign w:val="subscript"/>
        </w:rPr>
        <w:t>2</w:t>
      </w:r>
      <w:r w:rsidR="36907C98">
        <w:t>e</w:t>
      </w:r>
      <w:r w:rsidR="00E54EDE">
        <w:t xml:space="preserve"> </w:t>
      </w:r>
      <w:r w:rsidR="36907C98">
        <w:t xml:space="preserve">emissions. According to the EPA, this is equivalent to the GHGs avoided by </w:t>
      </w:r>
      <w:r w:rsidR="00DD51A5">
        <w:t>566</w:t>
      </w:r>
      <w:r w:rsidR="36907C98" w:rsidRPr="0064563D">
        <w:t xml:space="preserve"> wind turbines running for a year</w:t>
      </w:r>
      <w:r w:rsidR="003B6620">
        <w:t xml:space="preserve"> </w:t>
      </w:r>
      <w:r w:rsidR="00FD2EAE" w:rsidRPr="00FD2EAE">
        <w:rPr>
          <w:rFonts w:cs="Calibri"/>
        </w:rPr>
        <w:t>(US Environmental Protection Agency, 2025)</w:t>
      </w:r>
      <w:r w:rsidR="36907C98" w:rsidRPr="0064563D">
        <w:t xml:space="preserve">. </w:t>
      </w:r>
      <w:r w:rsidR="62B2DD29" w:rsidRPr="0064563D">
        <w:t>Further, this estimate indicates that the emissions produced from t</w:t>
      </w:r>
      <w:r w:rsidR="6A393728" w:rsidRPr="0064563D">
        <w:t>h</w:t>
      </w:r>
      <w:r w:rsidR="62B2DD29" w:rsidRPr="0064563D">
        <w:t xml:space="preserve">ese EVs are only </w:t>
      </w:r>
      <w:r w:rsidR="00574547" w:rsidRPr="0064563D">
        <w:t>3</w:t>
      </w:r>
      <w:r w:rsidR="00574547">
        <w:t>2</w:t>
      </w:r>
      <w:r w:rsidR="62B2DD29" w:rsidRPr="0064563D">
        <w:t xml:space="preserve">% of what </w:t>
      </w:r>
      <w:r w:rsidR="00355A3F">
        <w:t xml:space="preserve">new </w:t>
      </w:r>
      <w:r w:rsidR="34DABDF3" w:rsidRPr="0064563D">
        <w:t>gasoline</w:t>
      </w:r>
      <w:r w:rsidR="62B2DD29" w:rsidRPr="0064563D">
        <w:t xml:space="preserve"> vehicles would have produced, or </w:t>
      </w:r>
      <w:r w:rsidR="00574547">
        <w:t>68</w:t>
      </w:r>
      <w:r w:rsidR="62B2DD29" w:rsidRPr="0064563D">
        <w:t>% fewer</w:t>
      </w:r>
      <w:r w:rsidR="62B2DD29">
        <w:t>.</w:t>
      </w:r>
      <w:r w:rsidR="006A192A">
        <w:t xml:space="preserve"> </w:t>
      </w:r>
      <w:r w:rsidR="6CE30FB0">
        <w:t xml:space="preserve">The </w:t>
      </w:r>
      <w:r w:rsidR="000568B5">
        <w:t xml:space="preserve">total </w:t>
      </w:r>
      <w:r w:rsidR="00EA6B19">
        <w:t>rebated</w:t>
      </w:r>
      <w:r w:rsidR="6CE30FB0">
        <w:t xml:space="preserve"> reductions estimate increases to approximately </w:t>
      </w:r>
      <w:r w:rsidR="004277B4">
        <w:t>15.5</w:t>
      </w:r>
      <w:r w:rsidR="00970CB8">
        <w:t>M</w:t>
      </w:r>
      <w:r w:rsidR="6CE30FB0">
        <w:t xml:space="preserve"> tons when </w:t>
      </w:r>
      <w:r w:rsidR="00BF5FF0">
        <w:t>quantified</w:t>
      </w:r>
      <w:r w:rsidR="00343349">
        <w:t xml:space="preserve"> </w:t>
      </w:r>
      <w:r w:rsidR="00BF5FF0">
        <w:t>over</w:t>
      </w:r>
      <w:r>
        <w:t xml:space="preserve"> 100k mi</w:t>
      </w:r>
      <w:r w:rsidR="001155CA">
        <w:t>le</w:t>
      </w:r>
      <w:r w:rsidR="00F52A0C">
        <w:t>s</w:t>
      </w:r>
      <w:r>
        <w:t xml:space="preserve"> </w:t>
      </w:r>
      <w:r w:rsidR="00F52A0C">
        <w:t>of driving</w:t>
      </w:r>
      <w:r w:rsidR="00DD1B9B">
        <w:t xml:space="preserve"> using year-specific </w:t>
      </w:r>
      <w:r w:rsidR="009D5786">
        <w:t>carbon intensit</w:t>
      </w:r>
      <w:r w:rsidR="009C5532">
        <w:t>y</w:t>
      </w:r>
      <w:r w:rsidR="009D5786">
        <w:t xml:space="preserve"> </w:t>
      </w:r>
      <w:r w:rsidR="001E49E5">
        <w:t xml:space="preserve">of electricity </w:t>
      </w:r>
      <w:r w:rsidR="009D5786">
        <w:t>and vehicle miles traveled</w:t>
      </w:r>
      <w:r>
        <w:t xml:space="preserve">. </w:t>
      </w:r>
      <w:r w:rsidR="009B5991" w:rsidRPr="00704B9E">
        <w:t xml:space="preserve">Rebated EVs are estimated to emit </w:t>
      </w:r>
      <w:r w:rsidR="008A114F">
        <w:t xml:space="preserve">a total of </w:t>
      </w:r>
      <w:r w:rsidR="00795C96" w:rsidRPr="00704B9E">
        <w:t xml:space="preserve">only </w:t>
      </w:r>
      <w:r w:rsidR="00B05248">
        <w:t>6.5</w:t>
      </w:r>
      <w:r w:rsidR="00EE3ECA" w:rsidRPr="00704B9E">
        <w:t>M</w:t>
      </w:r>
      <w:r w:rsidR="00795C96" w:rsidRPr="00704B9E">
        <w:t xml:space="preserve"> tons</w:t>
      </w:r>
      <w:r w:rsidR="00722D64" w:rsidRPr="00704B9E">
        <w:t xml:space="preserve"> over 100k mi</w:t>
      </w:r>
      <w:r w:rsidR="001155CA">
        <w:t>les</w:t>
      </w:r>
      <w:r w:rsidR="00795C96" w:rsidRPr="00704B9E">
        <w:t xml:space="preserve">, </w:t>
      </w:r>
      <w:r w:rsidR="005F25F1" w:rsidRPr="00704B9E">
        <w:t>compared to</w:t>
      </w:r>
      <w:r w:rsidR="00F8309B">
        <w:t xml:space="preserve"> </w:t>
      </w:r>
      <w:r w:rsidR="00673C23">
        <w:t>a total of</w:t>
      </w:r>
      <w:r w:rsidR="005F25F1" w:rsidRPr="00704B9E">
        <w:t xml:space="preserve"> </w:t>
      </w:r>
      <w:r w:rsidR="00B05248">
        <w:t>22.0</w:t>
      </w:r>
      <w:r w:rsidR="00476178" w:rsidRPr="00704B9E">
        <w:t>M</w:t>
      </w:r>
      <w:r w:rsidR="008364DC" w:rsidRPr="00704B9E">
        <w:t xml:space="preserve"> tons</w:t>
      </w:r>
      <w:r w:rsidR="005D097F" w:rsidRPr="00704B9E">
        <w:t xml:space="preserve"> </w:t>
      </w:r>
      <w:r w:rsidR="00E2356B" w:rsidRPr="00704B9E">
        <w:t xml:space="preserve">from new gasoline vehicles </w:t>
      </w:r>
      <w:r w:rsidR="005D097F" w:rsidRPr="00704B9E">
        <w:t>(</w:t>
      </w:r>
      <w:r w:rsidR="0023364B">
        <w:t>Figure 2</w:t>
      </w:r>
      <w:r w:rsidR="005D097F" w:rsidRPr="00704B9E">
        <w:t>)</w:t>
      </w:r>
      <w:r w:rsidR="00476178" w:rsidRPr="00704B9E">
        <w:t xml:space="preserve">. </w:t>
      </w:r>
      <w:r w:rsidR="00B7756D">
        <w:t xml:space="preserve">Dividing </w:t>
      </w:r>
      <w:r w:rsidRPr="00704B9E">
        <w:t>the $</w:t>
      </w:r>
      <w:r w:rsidR="00785ACF" w:rsidRPr="00704B9E">
        <w:t>1</w:t>
      </w:r>
      <w:r w:rsidR="00E60F83" w:rsidRPr="00704B9E">
        <w:t>.</w:t>
      </w:r>
      <w:r w:rsidR="00785ACF" w:rsidRPr="00704B9E">
        <w:t>4</w:t>
      </w:r>
      <w:r w:rsidR="004F2A10" w:rsidRPr="00704B9E">
        <w:t>5</w:t>
      </w:r>
      <w:r w:rsidR="00E60F83" w:rsidRPr="00704B9E">
        <w:t xml:space="preserve">B </w:t>
      </w:r>
      <w:r w:rsidRPr="00704B9E">
        <w:t>in CVRP rebates (</w:t>
      </w:r>
      <w:r w:rsidR="002460A9" w:rsidRPr="00704B9E">
        <w:t xml:space="preserve">averaging </w:t>
      </w:r>
      <w:r w:rsidRPr="00704B9E">
        <w:t>roughly $</w:t>
      </w:r>
      <w:r w:rsidR="005825F0" w:rsidRPr="00704B9E">
        <w:t>2,500</w:t>
      </w:r>
      <w:r w:rsidR="003FBCFD" w:rsidRPr="00704B9E">
        <w:t xml:space="preserve"> </w:t>
      </w:r>
      <w:r w:rsidRPr="00704B9E">
        <w:t>per vehicle)</w:t>
      </w:r>
      <w:r>
        <w:t xml:space="preserve"> </w:t>
      </w:r>
      <w:r w:rsidR="00B7756D">
        <w:t xml:space="preserve">by </w:t>
      </w:r>
      <w:r w:rsidR="00EA4832">
        <w:t xml:space="preserve">the 15.5M </w:t>
      </w:r>
      <w:r w:rsidR="001C18B0">
        <w:t xml:space="preserve">tons </w:t>
      </w:r>
      <w:r w:rsidR="0068369C">
        <w:t xml:space="preserve">of GHG reductions </w:t>
      </w:r>
      <w:r>
        <w:t>indicate</w:t>
      </w:r>
      <w:r w:rsidR="00B7756D">
        <w:t>s</w:t>
      </w:r>
      <w:r>
        <w:t xml:space="preserve"> </w:t>
      </w:r>
      <w:r w:rsidR="00074D2E">
        <w:t xml:space="preserve">that </w:t>
      </w:r>
      <w:r>
        <w:t xml:space="preserve">each ton </w:t>
      </w:r>
      <w:r w:rsidR="6CE30FB0">
        <w:t xml:space="preserve">of </w:t>
      </w:r>
      <w:r>
        <w:t>reduc</w:t>
      </w:r>
      <w:r w:rsidR="6CE30FB0">
        <w:t>tions</w:t>
      </w:r>
      <w:r>
        <w:t xml:space="preserve"> is associated with $</w:t>
      </w:r>
      <w:r w:rsidR="004277B4">
        <w:t>93</w:t>
      </w:r>
      <w:r>
        <w:t xml:space="preserve"> in </w:t>
      </w:r>
      <w:r w:rsidR="6CE30FB0">
        <w:t xml:space="preserve">CVRP </w:t>
      </w:r>
      <w:r>
        <w:t>rebates. (Association v</w:t>
      </w:r>
      <w:r w:rsidR="4AB4A1D0">
        <w:t>ersus</w:t>
      </w:r>
      <w:r>
        <w:t xml:space="preserve"> attribution is discussed in subsequent section</w:t>
      </w:r>
      <w:r w:rsidR="7E11348E">
        <w:t>s</w:t>
      </w:r>
      <w:r>
        <w:t xml:space="preserve"> on rebate influence.)</w:t>
      </w:r>
      <w:r w:rsidR="1A500C93">
        <w:t xml:space="preserve"> </w:t>
      </w:r>
    </w:p>
    <w:p w14:paraId="40799528" w14:textId="7E31851B" w:rsidR="00815B50" w:rsidRPr="00B90CFD" w:rsidRDefault="00815B50" w:rsidP="00815B50">
      <w:pPr>
        <w:pStyle w:val="TableFigureNumber0"/>
        <w:keepNext/>
        <w:rPr>
          <w:color w:val="0579BD"/>
        </w:rPr>
      </w:pPr>
      <w:bookmarkStart w:id="25" w:name="_Ref216033754"/>
      <w:r w:rsidRPr="00B90CFD">
        <w:rPr>
          <w:color w:val="0579BD"/>
        </w:rPr>
        <w:lastRenderedPageBreak/>
        <w:t xml:space="preserve">Figure </w:t>
      </w:r>
      <w:r w:rsidR="0023364B" w:rsidRPr="00B90CFD">
        <w:rPr>
          <w:noProof/>
          <w:color w:val="0579BD"/>
        </w:rPr>
        <w:t>2</w:t>
      </w:r>
      <w:bookmarkEnd w:id="25"/>
    </w:p>
    <w:p w14:paraId="30EFD9A0" w14:textId="6EA07897" w:rsidR="005A3AFA" w:rsidRPr="003A15C4" w:rsidRDefault="003B624B" w:rsidP="004A3BDB">
      <w:pPr>
        <w:pStyle w:val="TableFigureheader"/>
        <w:keepNext/>
      </w:pPr>
      <w:r>
        <w:t xml:space="preserve">Cumulative </w:t>
      </w:r>
      <w:r w:rsidR="003C0547">
        <w:t xml:space="preserve">GHG </w:t>
      </w:r>
      <w:r>
        <w:t xml:space="preserve">Emissions </w:t>
      </w:r>
      <w:r w:rsidR="009617EE">
        <w:t>Over Time</w:t>
      </w:r>
    </w:p>
    <w:p w14:paraId="22679551" w14:textId="4FB68243" w:rsidR="005A3AFA" w:rsidRPr="004A3BDB" w:rsidRDefault="005A3AFA" w:rsidP="004A3BDB">
      <w:pPr>
        <w:pStyle w:val="TableFigureSubtitle"/>
        <w:keepNext/>
        <w:rPr>
          <w:rFonts w:eastAsia="Arial Unicode MS"/>
          <w:bCs/>
        </w:rPr>
      </w:pPr>
      <w:r>
        <w:t xml:space="preserve">All Rebated </w:t>
      </w:r>
      <w:r w:rsidR="00D0159D">
        <w:t xml:space="preserve">EVs &amp; </w:t>
      </w:r>
      <w:r>
        <w:t xml:space="preserve">New Gasoline </w:t>
      </w:r>
      <w:r w:rsidR="008A76E6">
        <w:t xml:space="preserve">Vehicle </w:t>
      </w:r>
      <w:r>
        <w:t>Baseline</w:t>
      </w:r>
      <w:r w:rsidR="00D973D1">
        <w:t>, 100k mi</w:t>
      </w:r>
      <w:r w:rsidR="001155CA">
        <w:t>les</w:t>
      </w:r>
    </w:p>
    <w:p w14:paraId="549D6968" w14:textId="483CA953" w:rsidR="002A2627" w:rsidRPr="002A2627" w:rsidRDefault="15B3FA0B" w:rsidP="69885ECB">
      <w:r>
        <w:rPr>
          <w:noProof/>
        </w:rPr>
        <w:drawing>
          <wp:inline distT="0" distB="0" distL="0" distR="0" wp14:anchorId="3FF10E56" wp14:editId="64D504E3">
            <wp:extent cx="5943600" cy="3562350"/>
            <wp:effectExtent l="0" t="0" r="0" b="0"/>
            <wp:docPr id="1523238109" name="drawing" descr="Chart visualizing the cumulative emissions over time from rebated EVs (totaling 6.5M tons) and baseline gasoline vehicles (totaling 22M 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38109" name="drawing" descr="Chart visualizing the cumulative emissions over time from rebated EVs (totaling 6.5M tons) and baseline gasoline vehicles (totaling 22M tons)."/>
                    <pic:cNvPicPr/>
                  </pic:nvPicPr>
                  <pic:blipFill>
                    <a:blip r:embed="rId15">
                      <a:extLst>
                        <a:ext uri="{28A0092B-C50C-407E-A947-70E740481C1C}">
                          <a14:useLocalDpi xmlns:a14="http://schemas.microsoft.com/office/drawing/2010/main"/>
                        </a:ext>
                      </a:extLst>
                    </a:blip>
                    <a:stretch>
                      <a:fillRect/>
                    </a:stretch>
                  </pic:blipFill>
                  <pic:spPr>
                    <a:xfrm>
                      <a:off x="0" y="0"/>
                      <a:ext cx="5943600" cy="3562350"/>
                    </a:xfrm>
                    <a:prstGeom prst="rect">
                      <a:avLst/>
                    </a:prstGeom>
                  </pic:spPr>
                </pic:pic>
              </a:graphicData>
            </a:graphic>
          </wp:inline>
        </w:drawing>
      </w:r>
    </w:p>
    <w:p w14:paraId="602810B6" w14:textId="7499DA3C" w:rsidR="00C70561" w:rsidRDefault="00525282" w:rsidP="00E26D0C">
      <w:pPr>
        <w:pStyle w:val="Body"/>
      </w:pPr>
      <w:r>
        <w:t xml:space="preserve">When </w:t>
      </w:r>
      <w:r w:rsidR="00BE7371">
        <w:t xml:space="preserve">comparing </w:t>
      </w:r>
      <w:r>
        <w:t xml:space="preserve">all rebated </w:t>
      </w:r>
      <w:r w:rsidR="00B05AB8">
        <w:t xml:space="preserve">EVs </w:t>
      </w:r>
      <w:r w:rsidR="009167A6">
        <w:t xml:space="preserve">to new gasoline vehicles, </w:t>
      </w:r>
      <w:r w:rsidR="77FC9E29">
        <w:t>e</w:t>
      </w:r>
      <w:r w:rsidR="21FFA91F">
        <w:t xml:space="preserve">stimated </w:t>
      </w:r>
      <w:r w:rsidR="6C5BA200">
        <w:t>first-year</w:t>
      </w:r>
      <w:r w:rsidR="21FFA91F">
        <w:t xml:space="preserve"> </w:t>
      </w:r>
      <w:r w:rsidR="6C5BA200">
        <w:t xml:space="preserve">reductions </w:t>
      </w:r>
      <w:r w:rsidR="21FFA91F">
        <w:t xml:space="preserve">average </w:t>
      </w:r>
      <w:r w:rsidR="00FC0FB9">
        <w:t>3.</w:t>
      </w:r>
      <w:r w:rsidR="008067FC">
        <w:t>3</w:t>
      </w:r>
      <w:r w:rsidR="21FFA91F">
        <w:t xml:space="preserve"> tons</w:t>
      </w:r>
      <w:r w:rsidR="3D990A25" w:rsidRPr="00391B55">
        <w:t xml:space="preserve"> </w:t>
      </w:r>
      <w:r w:rsidR="3D990A25">
        <w:t xml:space="preserve">per vehicle </w:t>
      </w:r>
      <w:r w:rsidR="36907C98">
        <w:t xml:space="preserve">and </w:t>
      </w:r>
      <w:r w:rsidR="00EB0D41">
        <w:t>100k</w:t>
      </w:r>
      <w:r w:rsidR="00C77924">
        <w:t>-</w:t>
      </w:r>
      <w:r w:rsidR="00EB0D41">
        <w:t>mi</w:t>
      </w:r>
      <w:r w:rsidR="004E67B4">
        <w:t>le</w:t>
      </w:r>
      <w:r w:rsidR="00EB0D41">
        <w:t xml:space="preserve"> </w:t>
      </w:r>
      <w:r w:rsidR="00E23362">
        <w:t>reductions</w:t>
      </w:r>
      <w:r w:rsidR="008E5A28">
        <w:t xml:space="preserve"> </w:t>
      </w:r>
      <w:r w:rsidR="0021471F">
        <w:t xml:space="preserve">average </w:t>
      </w:r>
      <w:r w:rsidR="008067FC">
        <w:t>27</w:t>
      </w:r>
      <w:r w:rsidR="008067FC" w:rsidRPr="00635D64">
        <w:t xml:space="preserve"> </w:t>
      </w:r>
      <w:r w:rsidR="36907C98">
        <w:t xml:space="preserve">tons per vehicle </w:t>
      </w:r>
      <w:r w:rsidR="7AA6FE02">
        <w:t>(</w:t>
      </w:r>
      <w:r w:rsidR="0023364B">
        <w:t xml:space="preserve">Table </w:t>
      </w:r>
      <w:r w:rsidR="0023364B">
        <w:rPr>
          <w:noProof/>
        </w:rPr>
        <w:t>4</w:t>
      </w:r>
      <w:r w:rsidR="7AA6FE02">
        <w:t>)</w:t>
      </w:r>
      <w:r w:rsidR="36907C98" w:rsidRPr="00635D64">
        <w:t>.</w:t>
      </w:r>
      <w:r w:rsidR="36907C98">
        <w:t xml:space="preserve"> </w:t>
      </w:r>
      <w:r w:rsidR="62B2DD29">
        <w:t>By technology type, f</w:t>
      </w:r>
      <w:r w:rsidR="77FC9E29">
        <w:t>irst-year reductions range</w:t>
      </w:r>
      <w:r w:rsidR="77FC9E29" w:rsidRPr="008C702A">
        <w:t xml:space="preserve"> </w:t>
      </w:r>
      <w:r w:rsidR="77FC9E29">
        <w:t xml:space="preserve">from </w:t>
      </w:r>
      <w:r w:rsidR="00B01DB4">
        <w:t>2.2</w:t>
      </w:r>
      <w:r w:rsidR="77FC9E29">
        <w:t xml:space="preserve"> tons per FCEV</w:t>
      </w:r>
      <w:r w:rsidR="77FC9E29" w:rsidRPr="008C702A">
        <w:t xml:space="preserve"> </w:t>
      </w:r>
      <w:r w:rsidR="77FC9E29">
        <w:t xml:space="preserve">to </w:t>
      </w:r>
      <w:r w:rsidR="00B01DB4">
        <w:t>3.6</w:t>
      </w:r>
      <w:r w:rsidR="77FC9E29">
        <w:t xml:space="preserve"> tons per BEV and 100k</w:t>
      </w:r>
      <w:r w:rsidR="000D773B">
        <w:t>-</w:t>
      </w:r>
      <w:r w:rsidR="77FC9E29">
        <w:t>mi</w:t>
      </w:r>
      <w:r w:rsidR="004E67B4">
        <w:t>le</w:t>
      </w:r>
      <w:r w:rsidR="77FC9E29">
        <w:t xml:space="preserve"> reductions range</w:t>
      </w:r>
      <w:r w:rsidR="77FC9E29" w:rsidRPr="008C702A">
        <w:t xml:space="preserve"> </w:t>
      </w:r>
      <w:r w:rsidR="77FC9E29">
        <w:t xml:space="preserve">from </w:t>
      </w:r>
      <w:r w:rsidR="00B01DB4">
        <w:t xml:space="preserve">18 </w:t>
      </w:r>
      <w:r w:rsidR="77FC9E29">
        <w:t>tons per FCEV</w:t>
      </w:r>
      <w:r w:rsidR="77FC9E29" w:rsidRPr="008C702A">
        <w:t xml:space="preserve"> </w:t>
      </w:r>
      <w:r w:rsidR="77FC9E29">
        <w:t xml:space="preserve">to </w:t>
      </w:r>
      <w:r w:rsidR="00B01DB4">
        <w:t xml:space="preserve">30 </w:t>
      </w:r>
      <w:r w:rsidR="77FC9E29">
        <w:t>tons per BEV.</w:t>
      </w:r>
      <w:r w:rsidR="77FC9E29" w:rsidRPr="00B600C1">
        <w:t xml:space="preserve"> Rebate dollars </w:t>
      </w:r>
      <w:r w:rsidR="49FF1AF1">
        <w:t xml:space="preserve">per </w:t>
      </w:r>
      <w:r w:rsidR="77FC9E29" w:rsidRPr="00B600C1">
        <w:t>ton of 100k</w:t>
      </w:r>
      <w:r w:rsidR="000D773B">
        <w:t>-</w:t>
      </w:r>
      <w:r w:rsidR="77FC9E29" w:rsidRPr="00B600C1">
        <w:t>mi</w:t>
      </w:r>
      <w:r w:rsidR="004E67B4">
        <w:t>le</w:t>
      </w:r>
      <w:r w:rsidR="77FC9E29">
        <w:t xml:space="preserve"> reductions range from $</w:t>
      </w:r>
      <w:r w:rsidR="00C723C4">
        <w:t xml:space="preserve">79 </w:t>
      </w:r>
      <w:r w:rsidR="49FF1AF1">
        <w:t>for PHEVs to $</w:t>
      </w:r>
      <w:r w:rsidR="0092172C">
        <w:t xml:space="preserve">292 </w:t>
      </w:r>
      <w:r w:rsidR="49FF1AF1">
        <w:t>for FCEVs</w:t>
      </w:r>
      <w:r w:rsidR="00D058AF">
        <w:t xml:space="preserve">. </w:t>
      </w:r>
      <w:r w:rsidR="001544AE">
        <w:t>PHEVs were found to be the most cost-effective vehicle type</w:t>
      </w:r>
      <w:r w:rsidR="0025109B">
        <w:t xml:space="preserve"> when compared to new gasoline vehicles</w:t>
      </w:r>
      <w:r w:rsidR="001544AE">
        <w:t>, narrowly below the BEV average of $</w:t>
      </w:r>
      <w:r w:rsidR="0092172C">
        <w:t>93</w:t>
      </w:r>
      <w:r w:rsidR="001544AE">
        <w:t>. This is largely due to their lower rebate amounts compared to BEVs and FCEVs (see</w:t>
      </w:r>
      <w:r w:rsidR="00C72CEC">
        <w:t xml:space="preserve"> </w:t>
      </w:r>
      <w:r w:rsidR="0023364B">
        <w:t xml:space="preserve">Table </w:t>
      </w:r>
      <w:r w:rsidR="0023364B">
        <w:rPr>
          <w:noProof/>
        </w:rPr>
        <w:t>1</w:t>
      </w:r>
      <w:r w:rsidR="001544AE">
        <w:t>).</w:t>
      </w:r>
      <w:r w:rsidR="001544AE" w:rsidRPr="2F1055DC">
        <w:rPr>
          <w:rStyle w:val="FootnoteReference"/>
          <w:vertAlign w:val="baseline"/>
        </w:rPr>
        <w:t xml:space="preserve"> </w:t>
      </w:r>
      <w:r w:rsidR="001544AE">
        <w:t>If rebate levels were equivalent across vehicle categories, BEVs would be most cost-effective based on their advantage in per-vehicle savings. Reductions from FCEVs were found to be the least cost-effective due to a combination of their higher rebate amounts and lower per-vehicle savings compared to other vehicle types.</w:t>
      </w:r>
      <w:r w:rsidR="00A43EB7" w:rsidRPr="001E5E83">
        <w:rPr>
          <w:rStyle w:val="FootnoteReference"/>
        </w:rPr>
        <w:footnoteReference w:id="14"/>
      </w:r>
    </w:p>
    <w:p w14:paraId="6A9D82EB" w14:textId="32E4E721" w:rsidR="009303B5" w:rsidRDefault="00051ADA" w:rsidP="003D75AF">
      <w:pPr>
        <w:pStyle w:val="Body"/>
      </w:pPr>
      <w:r>
        <w:t>When compared to new gasoline vehicles, p</w:t>
      </w:r>
      <w:r w:rsidR="00E900A0">
        <w:t>er-vehicle savings were similar between the two rebate types</w:t>
      </w:r>
      <w:r w:rsidR="00CE1503">
        <w:t xml:space="preserve">, with </w:t>
      </w:r>
      <w:r w:rsidR="00436B5E">
        <w:t xml:space="preserve">vehicles receiving </w:t>
      </w:r>
      <w:r w:rsidR="00CE1503">
        <w:t>Increased Rebate</w:t>
      </w:r>
      <w:r w:rsidR="00436B5E">
        <w:t>s reducing slightly more</w:t>
      </w:r>
      <w:r w:rsidR="00CF3D73">
        <w:t xml:space="preserve"> </w:t>
      </w:r>
      <w:r w:rsidR="00DD7713">
        <w:t xml:space="preserve">GHGs </w:t>
      </w:r>
      <w:r w:rsidR="00CF3D73">
        <w:t>on average</w:t>
      </w:r>
      <w:r w:rsidR="00F677AE">
        <w:t xml:space="preserve"> (Table 4)</w:t>
      </w:r>
      <w:r w:rsidR="00E900A0">
        <w:t>. Because Increased Rebate amounts are higher than Standard Rebate amounts (+$</w:t>
      </w:r>
      <w:r w:rsidR="00881E07">
        <w:t>1</w:t>
      </w:r>
      <w:r w:rsidR="00E900A0">
        <w:t>,500–$</w:t>
      </w:r>
      <w:r w:rsidR="0018058B">
        <w:t>5</w:t>
      </w:r>
      <w:r w:rsidR="00E900A0">
        <w:t>,</w:t>
      </w:r>
      <w:r w:rsidR="00881E07">
        <w:t>500</w:t>
      </w:r>
      <w:r w:rsidR="00E900A0">
        <w:t xml:space="preserve">), they </w:t>
      </w:r>
      <w:r w:rsidR="00E900A0">
        <w:lastRenderedPageBreak/>
        <w:t xml:space="preserve">were found to be less cost-effective. </w:t>
      </w:r>
      <w:r w:rsidR="004A472E">
        <w:t>As discussed in precursor work</w:t>
      </w:r>
      <w:r w:rsidR="000F6B4F">
        <w:t xml:space="preserve"> </w:t>
      </w:r>
      <w:r w:rsidR="00E733FA" w:rsidRPr="00E733FA">
        <w:rPr>
          <w:rFonts w:cs="Calibri"/>
        </w:rPr>
        <w:t>(Pallonetti et al., 2024)</w:t>
      </w:r>
      <w:r w:rsidR="004A472E">
        <w:t>, t</w:t>
      </w:r>
      <w:r w:rsidR="00E900A0">
        <w:t xml:space="preserve">his result should be interpreted in the context of the primary purpose of the Increased Rebate, to enable an </w:t>
      </w:r>
      <w:r w:rsidR="00497090">
        <w:t xml:space="preserve">additional </w:t>
      </w:r>
      <w:r w:rsidR="00E900A0">
        <w:t xml:space="preserve">swath of lower income consumers to access an EV who </w:t>
      </w:r>
      <w:r w:rsidR="00191EE9">
        <w:t xml:space="preserve">may </w:t>
      </w:r>
      <w:r w:rsidR="00E900A0">
        <w:t xml:space="preserve">not otherwise participate in the program. Indeed, </w:t>
      </w:r>
      <w:r w:rsidR="00E2373F">
        <w:t>3</w:t>
      </w:r>
      <w:r w:rsidR="00895693">
        <w:t>3</w:t>
      </w:r>
      <w:r w:rsidR="00E900A0">
        <w:t xml:space="preserve">% of rebate funding </w:t>
      </w:r>
      <w:r w:rsidR="005C67FF">
        <w:t xml:space="preserve">from </w:t>
      </w:r>
      <w:r w:rsidR="00706747">
        <w:t xml:space="preserve">its </w:t>
      </w:r>
      <w:r w:rsidR="00AE7123">
        <w:t xml:space="preserve">March </w:t>
      </w:r>
      <w:r w:rsidR="005C67FF">
        <w:t xml:space="preserve">2016 </w:t>
      </w:r>
      <w:r w:rsidR="00AE7123">
        <w:t xml:space="preserve">inception </w:t>
      </w:r>
      <w:r w:rsidR="005C67FF">
        <w:t>on</w:t>
      </w:r>
      <w:r w:rsidR="004C214A">
        <w:t>wards</w:t>
      </w:r>
      <w:r w:rsidR="005C67FF">
        <w:t xml:space="preserve"> </w:t>
      </w:r>
      <w:r w:rsidR="00E900A0">
        <w:t xml:space="preserve">went to the </w:t>
      </w:r>
      <w:r w:rsidR="00E2373F">
        <w:t>16</w:t>
      </w:r>
      <w:r w:rsidR="00E900A0">
        <w:t>% of participants who received an Increased Rebate. Further, the gap in cost-effectiveness narrow</w:t>
      </w:r>
      <w:r w:rsidR="00B30539">
        <w:t>s</w:t>
      </w:r>
      <w:r w:rsidR="00E900A0">
        <w:t xml:space="preserve"> when considering rebate influence</w:t>
      </w:r>
      <w:r w:rsidR="0026692A">
        <w:t xml:space="preserve"> and</w:t>
      </w:r>
      <w:r w:rsidR="008B28D6">
        <w:t xml:space="preserve"> detailed</w:t>
      </w:r>
      <w:r w:rsidR="0026692A">
        <w:t xml:space="preserve"> </w:t>
      </w:r>
      <w:r w:rsidR="008701FB">
        <w:t>counterfactual behaviors</w:t>
      </w:r>
      <w:r w:rsidR="00E900A0">
        <w:t>, discussed next.</w:t>
      </w:r>
      <w:bookmarkStart w:id="26" w:name="_Hlk122351774"/>
      <w:r w:rsidR="00F118F3" w:rsidRPr="00F118F3">
        <w:t xml:space="preserve"> </w:t>
      </w:r>
      <w:bookmarkEnd w:id="26"/>
    </w:p>
    <w:p w14:paraId="4E808ABF" w14:textId="3AA55289" w:rsidR="00815B50" w:rsidRPr="00B90CFD" w:rsidRDefault="00815B50" w:rsidP="00815B50">
      <w:pPr>
        <w:pStyle w:val="TableFigureNumber0"/>
        <w:rPr>
          <w:color w:val="0579BD"/>
        </w:rPr>
      </w:pPr>
      <w:bookmarkStart w:id="27" w:name="_Ref216033793"/>
      <w:r w:rsidRPr="00B90CFD">
        <w:rPr>
          <w:color w:val="0579BD"/>
        </w:rPr>
        <w:t xml:space="preserve">Table </w:t>
      </w:r>
      <w:r w:rsidR="0023364B" w:rsidRPr="00B90CFD">
        <w:rPr>
          <w:noProof/>
          <w:color w:val="0579BD"/>
        </w:rPr>
        <w:t>4</w:t>
      </w:r>
      <w:bookmarkEnd w:id="27"/>
    </w:p>
    <w:p w14:paraId="227079D0" w14:textId="330DC7D0" w:rsidR="001C3F44" w:rsidRPr="003A15C4" w:rsidRDefault="2B89C838" w:rsidP="187DA56C">
      <w:pPr>
        <w:pStyle w:val="TableFigureheader"/>
        <w:keepNext/>
      </w:pPr>
      <w:r>
        <w:t xml:space="preserve">GHG Reduction </w:t>
      </w:r>
      <w:r w:rsidR="175B848C">
        <w:t xml:space="preserve">and Cost-Effectiveness </w:t>
      </w:r>
      <w:r>
        <w:t xml:space="preserve">Estimates by Technology </w:t>
      </w:r>
      <w:r w:rsidR="00C35D41">
        <w:t>&amp;</w:t>
      </w:r>
      <w:r w:rsidR="00502A85">
        <w:t xml:space="preserve"> Rebate </w:t>
      </w:r>
      <w:r>
        <w:t>Type</w:t>
      </w:r>
    </w:p>
    <w:p w14:paraId="7AC36A53" w14:textId="1C01F15A" w:rsidR="00B031D1" w:rsidRDefault="3189BCE9" w:rsidP="00AC2A8C">
      <w:pPr>
        <w:pStyle w:val="TableFigureSubtitle"/>
        <w:keepNext/>
      </w:pPr>
      <w:r>
        <w:t xml:space="preserve">All Rebated </w:t>
      </w:r>
      <w:r w:rsidR="004978C4">
        <w:t>Reductions</w:t>
      </w:r>
      <w:r w:rsidR="00F46857">
        <w:t xml:space="preserve"> </w:t>
      </w:r>
      <w:r w:rsidR="00CB6E3F">
        <w:t>(</w:t>
      </w:r>
      <w:r w:rsidR="00F46857">
        <w:t>New Gasoline</w:t>
      </w:r>
      <w:r w:rsidR="00312879">
        <w:t xml:space="preserve"> Vehicle</w:t>
      </w:r>
      <w:r w:rsidR="00F46857">
        <w:t xml:space="preserve"> Baseline</w:t>
      </w:r>
      <w:r w:rsidR="00CB6E3F">
        <w:t>)</w:t>
      </w:r>
    </w:p>
    <w:tbl>
      <w:tblPr>
        <w:tblpPr w:leftFromText="187" w:rightFromText="187" w:topFromText="29" w:bottomFromText="29" w:vertAnchor="text" w:horzAnchor="margin" w:tblpY="59"/>
        <w:tblW w:w="9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1656"/>
        <w:gridCol w:w="1152"/>
        <w:gridCol w:w="2160"/>
        <w:gridCol w:w="2160"/>
        <w:gridCol w:w="2232"/>
      </w:tblGrid>
      <w:tr w:rsidR="00371F71" w:rsidRPr="003A15C4" w14:paraId="37363883" w14:textId="77777777" w:rsidTr="00AA2CFE">
        <w:trPr>
          <w:trHeight w:val="260"/>
        </w:trPr>
        <w:tc>
          <w:tcPr>
            <w:tcW w:w="1656" w:type="dxa"/>
            <w:shd w:val="clear" w:color="auto" w:fill="3C3A4C"/>
            <w:tcMar>
              <w:top w:w="80" w:type="dxa"/>
              <w:left w:w="80" w:type="dxa"/>
              <w:bottom w:w="80" w:type="dxa"/>
              <w:right w:w="80" w:type="dxa"/>
            </w:tcMar>
            <w:vAlign w:val="center"/>
          </w:tcPr>
          <w:p w14:paraId="5420BDFB" w14:textId="67074EE1" w:rsidR="00371F71" w:rsidRPr="003A15C4" w:rsidRDefault="00371F71" w:rsidP="00AA2CFE">
            <w:pPr>
              <w:pStyle w:val="Body"/>
              <w:spacing w:after="0" w:line="240" w:lineRule="auto"/>
              <w:rPr>
                <w:sz w:val="20"/>
                <w:szCs w:val="20"/>
              </w:rPr>
            </w:pPr>
            <w:r w:rsidRPr="7ACA0E52">
              <w:rPr>
                <w:b/>
                <w:bCs/>
                <w:color w:val="FFFFFF" w:themeColor="background1"/>
                <w:sz w:val="20"/>
                <w:szCs w:val="20"/>
              </w:rPr>
              <w:t xml:space="preserve">Technology </w:t>
            </w:r>
            <w:r>
              <w:rPr>
                <w:b/>
                <w:bCs/>
                <w:color w:val="FFFFFF" w:themeColor="background1"/>
                <w:sz w:val="20"/>
                <w:szCs w:val="20"/>
              </w:rPr>
              <w:t xml:space="preserve">or </w:t>
            </w:r>
            <w:r w:rsidRPr="7ACA0E52">
              <w:rPr>
                <w:b/>
                <w:bCs/>
                <w:color w:val="FFFFFF" w:themeColor="background1"/>
                <w:sz w:val="20"/>
                <w:szCs w:val="20"/>
              </w:rPr>
              <w:t>Rebate Type</w:t>
            </w:r>
          </w:p>
        </w:tc>
        <w:tc>
          <w:tcPr>
            <w:tcW w:w="1152" w:type="dxa"/>
            <w:shd w:val="clear" w:color="auto" w:fill="3C3A4C"/>
            <w:tcMar>
              <w:top w:w="80" w:type="dxa"/>
              <w:left w:w="80" w:type="dxa"/>
              <w:bottom w:w="80" w:type="dxa"/>
              <w:right w:w="80" w:type="dxa"/>
            </w:tcMar>
            <w:vAlign w:val="center"/>
          </w:tcPr>
          <w:p w14:paraId="072516A9" w14:textId="77777777" w:rsidR="00371F71" w:rsidRDefault="00371F71" w:rsidP="00AA2CFE">
            <w:pPr>
              <w:pStyle w:val="Body"/>
              <w:spacing w:after="0" w:line="240" w:lineRule="auto"/>
              <w:jc w:val="center"/>
              <w:rPr>
                <w:b/>
                <w:bCs/>
                <w:color w:val="FFFFFF"/>
                <w:sz w:val="20"/>
                <w:szCs w:val="20"/>
              </w:rPr>
            </w:pPr>
            <w:r w:rsidRPr="7ACA0E52">
              <w:rPr>
                <w:b/>
                <w:bCs/>
                <w:color w:val="FFFFFF" w:themeColor="background1"/>
                <w:sz w:val="20"/>
                <w:szCs w:val="20"/>
              </w:rPr>
              <w:t>Total</w:t>
            </w:r>
          </w:p>
          <w:p w14:paraId="34E30805" w14:textId="77777777" w:rsidR="00371F71" w:rsidRPr="003A15C4" w:rsidRDefault="00371F71" w:rsidP="00AA2CFE">
            <w:pPr>
              <w:pStyle w:val="Body"/>
              <w:spacing w:after="0" w:line="240" w:lineRule="auto"/>
              <w:jc w:val="center"/>
              <w:rPr>
                <w:sz w:val="20"/>
                <w:szCs w:val="20"/>
              </w:rPr>
            </w:pPr>
            <w:r w:rsidRPr="7ACA0E52">
              <w:rPr>
                <w:b/>
                <w:bCs/>
                <w:color w:val="FFFFFF" w:themeColor="background1"/>
                <w:sz w:val="20"/>
                <w:szCs w:val="20"/>
              </w:rPr>
              <w:t>Vehicles</w:t>
            </w:r>
          </w:p>
        </w:tc>
        <w:tc>
          <w:tcPr>
            <w:tcW w:w="2160" w:type="dxa"/>
            <w:shd w:val="clear" w:color="auto" w:fill="3C3A4C"/>
          </w:tcPr>
          <w:p w14:paraId="04B76B41" w14:textId="77777777" w:rsidR="00371F71" w:rsidRPr="001C3F44" w:rsidRDefault="00371F71" w:rsidP="00AA2CFE">
            <w:pPr>
              <w:pStyle w:val="Body"/>
              <w:spacing w:after="0" w:line="240" w:lineRule="auto"/>
              <w:jc w:val="center"/>
              <w:rPr>
                <w:b/>
                <w:bCs/>
                <w:color w:val="FFFFFF"/>
                <w:sz w:val="20"/>
                <w:szCs w:val="20"/>
              </w:rPr>
            </w:pPr>
            <w:r>
              <w:rPr>
                <w:rStyle w:val="normaltextrun"/>
                <w:rFonts w:cs="Calibri"/>
                <w:b/>
                <w:bCs/>
                <w:color w:val="FFFFFF"/>
                <w:sz w:val="20"/>
                <w:szCs w:val="20"/>
              </w:rPr>
              <w:t>Average First-Year Reductions Per Vehicle (tons)</w:t>
            </w:r>
            <w:r>
              <w:rPr>
                <w:rStyle w:val="eop"/>
                <w:rFonts w:cs="Calibri"/>
                <w:color w:val="FFFFFF"/>
                <w:sz w:val="20"/>
                <w:szCs w:val="20"/>
              </w:rPr>
              <w:t> </w:t>
            </w:r>
          </w:p>
        </w:tc>
        <w:tc>
          <w:tcPr>
            <w:tcW w:w="2160" w:type="dxa"/>
            <w:shd w:val="clear" w:color="auto" w:fill="3C3A4C"/>
          </w:tcPr>
          <w:p w14:paraId="0B9A6260" w14:textId="41722AA9" w:rsidR="00371F71" w:rsidRPr="003A15C4" w:rsidRDefault="00371F71" w:rsidP="00AA2CFE">
            <w:pPr>
              <w:pStyle w:val="Body"/>
              <w:spacing w:after="0" w:line="240" w:lineRule="auto"/>
              <w:jc w:val="center"/>
              <w:rPr>
                <w:b/>
                <w:color w:val="FFFFFF"/>
                <w:sz w:val="20"/>
                <w:szCs w:val="20"/>
              </w:rPr>
            </w:pPr>
            <w:r>
              <w:rPr>
                <w:rStyle w:val="normaltextrun"/>
                <w:rFonts w:cs="Calibri"/>
                <w:b/>
                <w:bCs/>
                <w:color w:val="FFFFFF"/>
                <w:sz w:val="20"/>
                <w:szCs w:val="20"/>
              </w:rPr>
              <w:t>Average 100k-mi</w:t>
            </w:r>
            <w:r w:rsidR="004E67B4">
              <w:rPr>
                <w:rStyle w:val="normaltextrun"/>
                <w:rFonts w:cs="Calibri"/>
                <w:b/>
                <w:bCs/>
                <w:color w:val="FFFFFF"/>
                <w:sz w:val="20"/>
                <w:szCs w:val="20"/>
              </w:rPr>
              <w:t>le</w:t>
            </w:r>
            <w:r>
              <w:rPr>
                <w:rStyle w:val="normaltextrun"/>
                <w:rFonts w:cs="Calibri"/>
                <w:b/>
                <w:bCs/>
                <w:color w:val="FFFFFF"/>
                <w:sz w:val="20"/>
                <w:szCs w:val="20"/>
              </w:rPr>
              <w:t xml:space="preserve"> Reductions Per Vehicle (tons)</w:t>
            </w:r>
            <w:r>
              <w:rPr>
                <w:rStyle w:val="eop"/>
                <w:rFonts w:cs="Calibri"/>
                <w:color w:val="FFFFFF"/>
                <w:sz w:val="20"/>
                <w:szCs w:val="20"/>
              </w:rPr>
              <w:t> </w:t>
            </w:r>
          </w:p>
        </w:tc>
        <w:tc>
          <w:tcPr>
            <w:tcW w:w="2232" w:type="dxa"/>
            <w:shd w:val="clear" w:color="auto" w:fill="3C3A4C"/>
          </w:tcPr>
          <w:p w14:paraId="3CBCB479" w14:textId="77777777" w:rsidR="00371F71" w:rsidRDefault="00371F71" w:rsidP="00AA2CFE">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b/>
                <w:bCs/>
                <w:color w:val="FFFFFF"/>
                <w:sz w:val="20"/>
                <w:szCs w:val="20"/>
              </w:rPr>
              <w:t>Rebate Dollars Per </w:t>
            </w:r>
            <w:r>
              <w:rPr>
                <w:rStyle w:val="eop"/>
                <w:rFonts w:ascii="Calibri" w:hAnsi="Calibri" w:cs="Calibri"/>
                <w:color w:val="FFFFFF"/>
                <w:sz w:val="20"/>
                <w:szCs w:val="20"/>
              </w:rPr>
              <w:t> </w:t>
            </w:r>
          </w:p>
          <w:p w14:paraId="2E645741" w14:textId="77777777" w:rsidR="00371F71" w:rsidRDefault="00371F71" w:rsidP="00AA2CFE">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b/>
                <w:bCs/>
                <w:color w:val="FFFFFF"/>
                <w:sz w:val="20"/>
                <w:szCs w:val="20"/>
              </w:rPr>
              <w:t>Ton of GHG Reductions </w:t>
            </w:r>
            <w:r>
              <w:rPr>
                <w:rStyle w:val="eop"/>
                <w:rFonts w:ascii="Calibri" w:hAnsi="Calibri" w:cs="Calibri"/>
                <w:color w:val="FFFFFF"/>
                <w:sz w:val="20"/>
                <w:szCs w:val="20"/>
              </w:rPr>
              <w:t> </w:t>
            </w:r>
          </w:p>
          <w:p w14:paraId="5A743586" w14:textId="20EE8898" w:rsidR="00371F71" w:rsidRPr="003A15C4" w:rsidRDefault="00371F71" w:rsidP="00AA2CFE">
            <w:pPr>
              <w:pStyle w:val="Body"/>
              <w:spacing w:after="0" w:line="240" w:lineRule="auto"/>
              <w:jc w:val="center"/>
              <w:rPr>
                <w:b/>
                <w:color w:val="FFFFFF"/>
                <w:sz w:val="20"/>
                <w:szCs w:val="20"/>
              </w:rPr>
            </w:pPr>
            <w:r>
              <w:rPr>
                <w:rStyle w:val="normaltextrun"/>
                <w:rFonts w:cs="Calibri"/>
                <w:b/>
                <w:bCs/>
                <w:color w:val="FFFFFF"/>
                <w:sz w:val="20"/>
                <w:szCs w:val="20"/>
              </w:rPr>
              <w:t>(100k mi</w:t>
            </w:r>
            <w:r w:rsidR="004E67B4">
              <w:rPr>
                <w:rStyle w:val="normaltextrun"/>
                <w:rFonts w:cs="Calibri"/>
                <w:b/>
                <w:bCs/>
                <w:color w:val="FFFFFF"/>
                <w:sz w:val="20"/>
                <w:szCs w:val="20"/>
              </w:rPr>
              <w:t>les</w:t>
            </w:r>
            <w:r>
              <w:rPr>
                <w:rStyle w:val="normaltextrun"/>
                <w:rFonts w:cs="Calibri"/>
                <w:b/>
                <w:bCs/>
                <w:color w:val="FFFFFF"/>
                <w:sz w:val="20"/>
                <w:szCs w:val="20"/>
              </w:rPr>
              <w:t>)</w:t>
            </w:r>
            <w:r>
              <w:rPr>
                <w:rStyle w:val="eop"/>
                <w:rFonts w:cs="Calibri"/>
                <w:color w:val="FFFFFF"/>
                <w:sz w:val="20"/>
                <w:szCs w:val="20"/>
              </w:rPr>
              <w:t> </w:t>
            </w:r>
          </w:p>
        </w:tc>
      </w:tr>
      <w:tr w:rsidR="00371F71" w:rsidRPr="001C3F44" w14:paraId="748CCEC4" w14:textId="77777777" w:rsidTr="00AA2CFE">
        <w:trPr>
          <w:trHeight w:val="20"/>
        </w:trPr>
        <w:tc>
          <w:tcPr>
            <w:tcW w:w="1656" w:type="dxa"/>
            <w:tcMar>
              <w:top w:w="80" w:type="dxa"/>
              <w:left w:w="80" w:type="dxa"/>
              <w:bottom w:w="80" w:type="dxa"/>
              <w:right w:w="80" w:type="dxa"/>
            </w:tcMar>
          </w:tcPr>
          <w:p w14:paraId="3622C378" w14:textId="25A2C6EE" w:rsidR="00371F71" w:rsidRPr="00E65889" w:rsidRDefault="00371F71" w:rsidP="00AA2CFE">
            <w:pPr>
              <w:pStyle w:val="Body"/>
              <w:spacing w:after="0"/>
              <w:rPr>
                <w:sz w:val="20"/>
                <w:szCs w:val="20"/>
              </w:rPr>
            </w:pPr>
            <w:r w:rsidRPr="7ACA0E52">
              <w:rPr>
                <w:b/>
                <w:bCs/>
                <w:sz w:val="20"/>
                <w:szCs w:val="20"/>
              </w:rPr>
              <w:t>PHEV</w:t>
            </w:r>
          </w:p>
        </w:tc>
        <w:tc>
          <w:tcPr>
            <w:tcW w:w="1152" w:type="dxa"/>
            <w:tcMar>
              <w:top w:w="80" w:type="dxa"/>
              <w:left w:w="80" w:type="dxa"/>
              <w:bottom w:w="80" w:type="dxa"/>
              <w:right w:w="80" w:type="dxa"/>
            </w:tcMar>
            <w:vAlign w:val="center"/>
          </w:tcPr>
          <w:p w14:paraId="6EB1B02D" w14:textId="42E5989E" w:rsidR="00371F71" w:rsidRPr="001C3F44" w:rsidRDefault="00371F71" w:rsidP="00AA2CFE">
            <w:pPr>
              <w:pStyle w:val="Body"/>
              <w:spacing w:after="0" w:line="240" w:lineRule="auto"/>
              <w:jc w:val="center"/>
              <w:rPr>
                <w:sz w:val="20"/>
                <w:szCs w:val="20"/>
              </w:rPr>
            </w:pPr>
            <w:r w:rsidRPr="7ACA0E52">
              <w:rPr>
                <w:i/>
                <w:iCs/>
                <w:sz w:val="20"/>
                <w:szCs w:val="20"/>
              </w:rPr>
              <w:t>N</w:t>
            </w:r>
            <w:r w:rsidRPr="7ACA0E52">
              <w:rPr>
                <w:sz w:val="20"/>
                <w:szCs w:val="20"/>
              </w:rPr>
              <w:t xml:space="preserve"> = </w:t>
            </w:r>
            <w:r w:rsidR="004E76DA" w:rsidRPr="004E76DA">
              <w:rPr>
                <w:sz w:val="20"/>
                <w:szCs w:val="20"/>
              </w:rPr>
              <w:t>148,472</w:t>
            </w:r>
          </w:p>
        </w:tc>
        <w:tc>
          <w:tcPr>
            <w:tcW w:w="2160" w:type="dxa"/>
          </w:tcPr>
          <w:p w14:paraId="31C0A988" w14:textId="14AF8EA7" w:rsidR="00371F71" w:rsidRDefault="004B04EA" w:rsidP="00AA2CFE">
            <w:pPr>
              <w:pStyle w:val="Body"/>
              <w:spacing w:after="0" w:line="240" w:lineRule="auto"/>
              <w:jc w:val="center"/>
              <w:rPr>
                <w:sz w:val="20"/>
                <w:szCs w:val="20"/>
              </w:rPr>
            </w:pPr>
            <w:r>
              <w:rPr>
                <w:sz w:val="20"/>
                <w:szCs w:val="20"/>
              </w:rPr>
              <w:t>2.7</w:t>
            </w:r>
          </w:p>
        </w:tc>
        <w:tc>
          <w:tcPr>
            <w:tcW w:w="2160" w:type="dxa"/>
          </w:tcPr>
          <w:p w14:paraId="4734918F" w14:textId="31206EE2" w:rsidR="00371F71" w:rsidRDefault="00A56787" w:rsidP="00AA2CFE">
            <w:pPr>
              <w:pStyle w:val="Body"/>
              <w:spacing w:after="0" w:line="240" w:lineRule="auto"/>
              <w:ind w:right="385"/>
              <w:jc w:val="center"/>
              <w:rPr>
                <w:rFonts w:cs="Calibri"/>
                <w:sz w:val="20"/>
                <w:szCs w:val="20"/>
              </w:rPr>
            </w:pPr>
            <w:r>
              <w:rPr>
                <w:rFonts w:cs="Calibri"/>
                <w:sz w:val="20"/>
                <w:szCs w:val="20"/>
              </w:rPr>
              <w:t>21</w:t>
            </w:r>
          </w:p>
        </w:tc>
        <w:tc>
          <w:tcPr>
            <w:tcW w:w="2232" w:type="dxa"/>
          </w:tcPr>
          <w:p w14:paraId="46C0FBE8" w14:textId="74D93128" w:rsidR="00371F71" w:rsidRPr="001C3F44" w:rsidRDefault="00371F71" w:rsidP="00AA2CFE">
            <w:pPr>
              <w:pStyle w:val="Body"/>
              <w:spacing w:after="0" w:line="240" w:lineRule="auto"/>
              <w:ind w:right="385"/>
              <w:jc w:val="center"/>
              <w:rPr>
                <w:sz w:val="20"/>
                <w:szCs w:val="20"/>
              </w:rPr>
            </w:pPr>
            <w:r w:rsidRPr="5C35E5CB">
              <w:rPr>
                <w:sz w:val="20"/>
                <w:szCs w:val="20"/>
              </w:rPr>
              <w:t>$</w:t>
            </w:r>
            <w:r w:rsidR="00A56787">
              <w:rPr>
                <w:sz w:val="20"/>
                <w:szCs w:val="20"/>
              </w:rPr>
              <w:t>79</w:t>
            </w:r>
          </w:p>
        </w:tc>
      </w:tr>
      <w:tr w:rsidR="00E2706A" w:rsidRPr="001C3F44" w14:paraId="29AC9774" w14:textId="77777777" w:rsidTr="00371F71">
        <w:trPr>
          <w:trHeight w:val="20"/>
        </w:trPr>
        <w:tc>
          <w:tcPr>
            <w:tcW w:w="1656" w:type="dxa"/>
            <w:tcBorders>
              <w:bottom w:val="single" w:sz="6" w:space="0" w:color="FFFFFF" w:themeColor="background1"/>
            </w:tcBorders>
            <w:shd w:val="clear" w:color="auto" w:fill="F2F2F2" w:themeFill="background1" w:themeFillShade="F2"/>
            <w:tcMar>
              <w:top w:w="80" w:type="dxa"/>
              <w:left w:w="80" w:type="dxa"/>
              <w:bottom w:w="80" w:type="dxa"/>
              <w:right w:w="80" w:type="dxa"/>
            </w:tcMar>
          </w:tcPr>
          <w:p w14:paraId="58E52D16" w14:textId="294CFCDC" w:rsidR="00E2706A" w:rsidRPr="00E65889" w:rsidRDefault="00E2706A" w:rsidP="00E2706A">
            <w:pPr>
              <w:pStyle w:val="Body"/>
              <w:spacing w:after="0"/>
              <w:rPr>
                <w:sz w:val="20"/>
                <w:szCs w:val="20"/>
              </w:rPr>
            </w:pPr>
            <w:r>
              <w:rPr>
                <w:b/>
                <w:bCs/>
                <w:sz w:val="20"/>
                <w:szCs w:val="20"/>
              </w:rPr>
              <w:t>B</w:t>
            </w:r>
            <w:r w:rsidRPr="7ACA0E52">
              <w:rPr>
                <w:b/>
                <w:bCs/>
                <w:sz w:val="20"/>
                <w:szCs w:val="20"/>
              </w:rPr>
              <w:t>EV</w:t>
            </w:r>
          </w:p>
        </w:tc>
        <w:tc>
          <w:tcPr>
            <w:tcW w:w="1152" w:type="dxa"/>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6AFF96CE" w14:textId="6C957989" w:rsidR="00E2706A" w:rsidRPr="001C3F44" w:rsidRDefault="00E2706A" w:rsidP="00E2706A">
            <w:pPr>
              <w:pStyle w:val="Body"/>
              <w:spacing w:after="0" w:line="240" w:lineRule="auto"/>
              <w:jc w:val="center"/>
              <w:rPr>
                <w:sz w:val="20"/>
                <w:szCs w:val="20"/>
              </w:rPr>
            </w:pPr>
            <w:r w:rsidRPr="7ACA0E52">
              <w:rPr>
                <w:i/>
                <w:iCs/>
                <w:sz w:val="20"/>
                <w:szCs w:val="20"/>
              </w:rPr>
              <w:t>N</w:t>
            </w:r>
            <w:r w:rsidRPr="7ACA0E52">
              <w:rPr>
                <w:sz w:val="20"/>
                <w:szCs w:val="20"/>
              </w:rPr>
              <w:t xml:space="preserve"> = </w:t>
            </w:r>
            <w:r w:rsidR="00034509" w:rsidRPr="00034509">
              <w:rPr>
                <w:sz w:val="20"/>
                <w:szCs w:val="20"/>
              </w:rPr>
              <w:t>408,286</w:t>
            </w:r>
          </w:p>
        </w:tc>
        <w:tc>
          <w:tcPr>
            <w:tcW w:w="2160" w:type="dxa"/>
            <w:tcBorders>
              <w:bottom w:val="single" w:sz="6" w:space="0" w:color="FFFFFF" w:themeColor="background1"/>
            </w:tcBorders>
            <w:shd w:val="clear" w:color="auto" w:fill="F2F2F2" w:themeFill="background1" w:themeFillShade="F2"/>
          </w:tcPr>
          <w:p w14:paraId="6A4959AA" w14:textId="3730FFB2" w:rsidR="00E2706A" w:rsidDel="00B361EB" w:rsidRDefault="00964061" w:rsidP="00E2706A">
            <w:pPr>
              <w:pStyle w:val="Body"/>
              <w:spacing w:after="0" w:line="240" w:lineRule="auto"/>
              <w:jc w:val="center"/>
              <w:rPr>
                <w:sz w:val="20"/>
                <w:szCs w:val="20"/>
              </w:rPr>
            </w:pPr>
            <w:r>
              <w:rPr>
                <w:sz w:val="20"/>
                <w:szCs w:val="20"/>
              </w:rPr>
              <w:t>3.6</w:t>
            </w:r>
          </w:p>
        </w:tc>
        <w:tc>
          <w:tcPr>
            <w:tcW w:w="2160" w:type="dxa"/>
            <w:tcBorders>
              <w:bottom w:val="single" w:sz="6" w:space="0" w:color="FFFFFF" w:themeColor="background1"/>
            </w:tcBorders>
            <w:shd w:val="clear" w:color="auto" w:fill="F2F2F2" w:themeFill="background1" w:themeFillShade="F2"/>
          </w:tcPr>
          <w:p w14:paraId="1B01C047" w14:textId="7852E0C2" w:rsidR="00E2706A" w:rsidDel="00B361EB" w:rsidRDefault="00A56787" w:rsidP="00E2706A">
            <w:pPr>
              <w:pStyle w:val="Body"/>
              <w:spacing w:after="0" w:line="240" w:lineRule="auto"/>
              <w:ind w:right="385"/>
              <w:jc w:val="center"/>
              <w:rPr>
                <w:rFonts w:cs="Calibri"/>
                <w:sz w:val="20"/>
                <w:szCs w:val="20"/>
              </w:rPr>
            </w:pPr>
            <w:r>
              <w:rPr>
                <w:sz w:val="20"/>
                <w:szCs w:val="20"/>
              </w:rPr>
              <w:t>30</w:t>
            </w:r>
          </w:p>
        </w:tc>
        <w:tc>
          <w:tcPr>
            <w:tcW w:w="2232" w:type="dxa"/>
            <w:tcBorders>
              <w:bottom w:val="single" w:sz="6" w:space="0" w:color="FFFFFF" w:themeColor="background1"/>
            </w:tcBorders>
            <w:shd w:val="clear" w:color="auto" w:fill="F2F2F2" w:themeFill="background1" w:themeFillShade="F2"/>
          </w:tcPr>
          <w:p w14:paraId="2D3A1E63" w14:textId="1B1E8616" w:rsidR="00E2706A" w:rsidRPr="001C3F44" w:rsidRDefault="00E2706A" w:rsidP="00E2706A">
            <w:pPr>
              <w:pStyle w:val="Body"/>
              <w:spacing w:after="0" w:line="240" w:lineRule="auto"/>
              <w:ind w:right="385"/>
              <w:jc w:val="center"/>
              <w:rPr>
                <w:sz w:val="20"/>
                <w:szCs w:val="20"/>
              </w:rPr>
            </w:pPr>
            <w:r w:rsidRPr="7ACA0E52">
              <w:rPr>
                <w:sz w:val="20"/>
                <w:szCs w:val="20"/>
              </w:rPr>
              <w:t>$</w:t>
            </w:r>
            <w:r w:rsidR="00A56787">
              <w:rPr>
                <w:sz w:val="20"/>
                <w:szCs w:val="20"/>
              </w:rPr>
              <w:t>93</w:t>
            </w:r>
          </w:p>
        </w:tc>
      </w:tr>
      <w:tr w:rsidR="00371F71" w:rsidRPr="001C3F44" w14:paraId="07338CC4" w14:textId="77777777" w:rsidTr="00371F71">
        <w:trPr>
          <w:trHeight w:val="20"/>
        </w:trPr>
        <w:tc>
          <w:tcPr>
            <w:tcW w:w="1656" w:type="dxa"/>
            <w:tcBorders>
              <w:top w:val="single" w:sz="6" w:space="0" w:color="FFFFFF" w:themeColor="background1"/>
              <w:bottom w:val="single" w:sz="4" w:space="0" w:color="auto"/>
            </w:tcBorders>
            <w:tcMar>
              <w:top w:w="80" w:type="dxa"/>
              <w:left w:w="80" w:type="dxa"/>
              <w:bottom w:w="80" w:type="dxa"/>
              <w:right w:w="80" w:type="dxa"/>
            </w:tcMar>
          </w:tcPr>
          <w:p w14:paraId="5D3B0EA9" w14:textId="4D89E9F3" w:rsidR="00371F71" w:rsidRPr="00E65889" w:rsidRDefault="00371F71" w:rsidP="00AA2CFE">
            <w:pPr>
              <w:pStyle w:val="Body"/>
              <w:spacing w:after="0"/>
              <w:rPr>
                <w:sz w:val="20"/>
                <w:szCs w:val="20"/>
              </w:rPr>
            </w:pPr>
            <w:r>
              <w:rPr>
                <w:b/>
                <w:bCs/>
                <w:sz w:val="20"/>
                <w:szCs w:val="20"/>
              </w:rPr>
              <w:t>FCEV</w:t>
            </w:r>
          </w:p>
        </w:tc>
        <w:tc>
          <w:tcPr>
            <w:tcW w:w="1152" w:type="dxa"/>
            <w:tcBorders>
              <w:top w:val="single" w:sz="6" w:space="0" w:color="FFFFFF" w:themeColor="background1"/>
              <w:bottom w:val="single" w:sz="4" w:space="0" w:color="auto"/>
            </w:tcBorders>
            <w:tcMar>
              <w:top w:w="80" w:type="dxa"/>
              <w:left w:w="80" w:type="dxa"/>
              <w:bottom w:w="80" w:type="dxa"/>
              <w:right w:w="80" w:type="dxa"/>
            </w:tcMar>
            <w:vAlign w:val="center"/>
          </w:tcPr>
          <w:p w14:paraId="3DAE5B36" w14:textId="57568D37" w:rsidR="00371F71" w:rsidRPr="001C3F44" w:rsidRDefault="00371F71" w:rsidP="00AA2CFE">
            <w:pPr>
              <w:pStyle w:val="Body"/>
              <w:spacing w:after="0" w:line="240" w:lineRule="auto"/>
              <w:jc w:val="center"/>
              <w:rPr>
                <w:sz w:val="20"/>
                <w:szCs w:val="20"/>
              </w:rPr>
            </w:pPr>
            <w:r w:rsidRPr="7ACA0E52">
              <w:rPr>
                <w:i/>
                <w:iCs/>
                <w:sz w:val="20"/>
                <w:szCs w:val="20"/>
              </w:rPr>
              <w:t>N</w:t>
            </w:r>
            <w:r w:rsidRPr="7ACA0E52">
              <w:rPr>
                <w:sz w:val="20"/>
                <w:szCs w:val="20"/>
              </w:rPr>
              <w:t xml:space="preserve"> = </w:t>
            </w:r>
            <w:r w:rsidR="00D41137" w:rsidRPr="00D41137">
              <w:rPr>
                <w:sz w:val="20"/>
                <w:szCs w:val="20"/>
              </w:rPr>
              <w:t>13,910</w:t>
            </w:r>
          </w:p>
        </w:tc>
        <w:tc>
          <w:tcPr>
            <w:tcW w:w="2160" w:type="dxa"/>
            <w:tcBorders>
              <w:top w:val="single" w:sz="6" w:space="0" w:color="FFFFFF" w:themeColor="background1"/>
              <w:bottom w:val="single" w:sz="4" w:space="0" w:color="auto"/>
            </w:tcBorders>
          </w:tcPr>
          <w:p w14:paraId="64EDFD15" w14:textId="56C2C941" w:rsidR="00371F71" w:rsidDel="00B361EB" w:rsidRDefault="00964061" w:rsidP="00AA2CFE">
            <w:pPr>
              <w:pStyle w:val="Body"/>
              <w:spacing w:after="0" w:line="240" w:lineRule="auto"/>
              <w:jc w:val="center"/>
              <w:rPr>
                <w:sz w:val="20"/>
                <w:szCs w:val="20"/>
              </w:rPr>
            </w:pPr>
            <w:r>
              <w:rPr>
                <w:sz w:val="20"/>
                <w:szCs w:val="20"/>
              </w:rPr>
              <w:t>2.2</w:t>
            </w:r>
          </w:p>
        </w:tc>
        <w:tc>
          <w:tcPr>
            <w:tcW w:w="2160" w:type="dxa"/>
            <w:tcBorders>
              <w:top w:val="single" w:sz="6" w:space="0" w:color="FFFFFF" w:themeColor="background1"/>
              <w:bottom w:val="single" w:sz="4" w:space="0" w:color="auto"/>
            </w:tcBorders>
          </w:tcPr>
          <w:p w14:paraId="19130000" w14:textId="0A57457C" w:rsidR="00371F71" w:rsidDel="00B361EB" w:rsidRDefault="00A56787" w:rsidP="00AA2CFE">
            <w:pPr>
              <w:pStyle w:val="Body"/>
              <w:spacing w:after="0" w:line="240" w:lineRule="auto"/>
              <w:ind w:right="385"/>
              <w:jc w:val="center"/>
              <w:rPr>
                <w:sz w:val="20"/>
                <w:szCs w:val="20"/>
              </w:rPr>
            </w:pPr>
            <w:r>
              <w:rPr>
                <w:sz w:val="20"/>
                <w:szCs w:val="20"/>
              </w:rPr>
              <w:t>21</w:t>
            </w:r>
          </w:p>
        </w:tc>
        <w:tc>
          <w:tcPr>
            <w:tcW w:w="2232" w:type="dxa"/>
            <w:tcBorders>
              <w:top w:val="single" w:sz="6" w:space="0" w:color="FFFFFF" w:themeColor="background1"/>
              <w:bottom w:val="single" w:sz="4" w:space="0" w:color="auto"/>
            </w:tcBorders>
          </w:tcPr>
          <w:p w14:paraId="08F3ACA9" w14:textId="521F1C09" w:rsidR="00371F71" w:rsidRPr="001C3F44" w:rsidRDefault="00E2706A" w:rsidP="00AA2CFE">
            <w:pPr>
              <w:pStyle w:val="Body"/>
              <w:spacing w:after="0" w:line="240" w:lineRule="auto"/>
              <w:ind w:right="385"/>
              <w:jc w:val="center"/>
              <w:rPr>
                <w:sz w:val="20"/>
                <w:szCs w:val="20"/>
              </w:rPr>
            </w:pPr>
            <w:r>
              <w:rPr>
                <w:sz w:val="20"/>
                <w:szCs w:val="20"/>
              </w:rPr>
              <w:t>$</w:t>
            </w:r>
            <w:r w:rsidR="00A56787">
              <w:rPr>
                <w:sz w:val="20"/>
                <w:szCs w:val="20"/>
              </w:rPr>
              <w:t>292</w:t>
            </w:r>
          </w:p>
        </w:tc>
      </w:tr>
      <w:tr w:rsidR="00371F71" w:rsidRPr="7ACA0E52" w14:paraId="62BE1469" w14:textId="77777777" w:rsidTr="00371F71">
        <w:trPr>
          <w:trHeight w:val="20"/>
        </w:trPr>
        <w:tc>
          <w:tcPr>
            <w:tcW w:w="1656" w:type="dxa"/>
            <w:tcBorders>
              <w:top w:val="single" w:sz="4" w:space="0" w:color="auto"/>
              <w:bottom w:val="single" w:sz="4" w:space="0" w:color="535353" w:themeColor="text2" w:themeShade="80"/>
            </w:tcBorders>
            <w:shd w:val="clear" w:color="auto" w:fill="F2F2F2" w:themeFill="background1" w:themeFillShade="F2"/>
            <w:tcMar>
              <w:top w:w="80" w:type="dxa"/>
              <w:left w:w="80" w:type="dxa"/>
              <w:bottom w:w="80" w:type="dxa"/>
              <w:right w:w="80" w:type="dxa"/>
            </w:tcMar>
          </w:tcPr>
          <w:p w14:paraId="5FABE59C" w14:textId="0C703CFE" w:rsidR="00371F71" w:rsidRPr="7ACA0E52" w:rsidRDefault="00371F71" w:rsidP="00AA2CFE">
            <w:pPr>
              <w:pStyle w:val="Body"/>
              <w:spacing w:after="0"/>
              <w:rPr>
                <w:b/>
                <w:bCs/>
                <w:sz w:val="20"/>
                <w:szCs w:val="20"/>
              </w:rPr>
            </w:pPr>
            <w:r>
              <w:rPr>
                <w:b/>
                <w:bCs/>
                <w:sz w:val="20"/>
                <w:szCs w:val="20"/>
              </w:rPr>
              <w:t>Standard Rebate</w:t>
            </w:r>
          </w:p>
        </w:tc>
        <w:tc>
          <w:tcPr>
            <w:tcW w:w="1152" w:type="dxa"/>
            <w:tcBorders>
              <w:top w:val="single" w:sz="4" w:space="0" w:color="auto"/>
              <w:bottom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60948A88" w14:textId="60990838" w:rsidR="00371F71" w:rsidRPr="7ACA0E52" w:rsidRDefault="00371F71" w:rsidP="00AA2CFE">
            <w:pPr>
              <w:pStyle w:val="Body"/>
              <w:spacing w:after="0" w:line="240" w:lineRule="auto"/>
              <w:jc w:val="center"/>
              <w:rPr>
                <w:i/>
                <w:iCs/>
                <w:sz w:val="20"/>
                <w:szCs w:val="20"/>
              </w:rPr>
            </w:pPr>
            <w:r w:rsidRPr="7ACA0E52">
              <w:rPr>
                <w:i/>
                <w:iCs/>
                <w:sz w:val="20"/>
                <w:szCs w:val="20"/>
              </w:rPr>
              <w:t>N</w:t>
            </w:r>
            <w:r w:rsidRPr="7ACA0E52">
              <w:rPr>
                <w:sz w:val="20"/>
                <w:szCs w:val="20"/>
              </w:rPr>
              <w:t xml:space="preserve"> = </w:t>
            </w:r>
            <w:r w:rsidR="00F833C9" w:rsidRPr="00F833C9">
              <w:rPr>
                <w:sz w:val="20"/>
                <w:szCs w:val="20"/>
              </w:rPr>
              <w:t>501,791</w:t>
            </w:r>
          </w:p>
        </w:tc>
        <w:tc>
          <w:tcPr>
            <w:tcW w:w="2160" w:type="dxa"/>
            <w:tcBorders>
              <w:top w:val="single" w:sz="4" w:space="0" w:color="auto"/>
              <w:bottom w:val="single" w:sz="4" w:space="0" w:color="535353" w:themeColor="text2" w:themeShade="80"/>
            </w:tcBorders>
            <w:shd w:val="clear" w:color="auto" w:fill="F2F2F2" w:themeFill="background1" w:themeFillShade="F2"/>
          </w:tcPr>
          <w:p w14:paraId="3D935CB9" w14:textId="145D2EDA" w:rsidR="00371F71" w:rsidRPr="7ACA0E52" w:rsidRDefault="00964061" w:rsidP="00AA2CFE">
            <w:pPr>
              <w:pStyle w:val="Body"/>
              <w:spacing w:after="0" w:line="240" w:lineRule="auto"/>
              <w:jc w:val="center"/>
              <w:rPr>
                <w:sz w:val="20"/>
                <w:szCs w:val="20"/>
              </w:rPr>
            </w:pPr>
            <w:r>
              <w:rPr>
                <w:sz w:val="20"/>
                <w:szCs w:val="20"/>
              </w:rPr>
              <w:t>3.3</w:t>
            </w:r>
          </w:p>
        </w:tc>
        <w:tc>
          <w:tcPr>
            <w:tcW w:w="2160" w:type="dxa"/>
            <w:tcBorders>
              <w:top w:val="single" w:sz="4" w:space="0" w:color="auto"/>
              <w:bottom w:val="single" w:sz="4" w:space="0" w:color="535353" w:themeColor="text2" w:themeShade="80"/>
            </w:tcBorders>
            <w:shd w:val="clear" w:color="auto" w:fill="F2F2F2" w:themeFill="background1" w:themeFillShade="F2"/>
          </w:tcPr>
          <w:p w14:paraId="5958EC76" w14:textId="3208E8EC" w:rsidR="00371F71" w:rsidRPr="7ACA0E52" w:rsidRDefault="00A56787" w:rsidP="00AA2CFE">
            <w:pPr>
              <w:pStyle w:val="Body"/>
              <w:spacing w:after="0" w:line="240" w:lineRule="auto"/>
              <w:ind w:right="385"/>
              <w:jc w:val="center"/>
              <w:rPr>
                <w:sz w:val="20"/>
                <w:szCs w:val="20"/>
              </w:rPr>
            </w:pPr>
            <w:r>
              <w:rPr>
                <w:sz w:val="20"/>
                <w:szCs w:val="20"/>
              </w:rPr>
              <w:t>27</w:t>
            </w:r>
          </w:p>
        </w:tc>
        <w:tc>
          <w:tcPr>
            <w:tcW w:w="2232" w:type="dxa"/>
            <w:tcBorders>
              <w:top w:val="single" w:sz="4" w:space="0" w:color="auto"/>
              <w:bottom w:val="single" w:sz="4" w:space="0" w:color="535353" w:themeColor="text2" w:themeShade="80"/>
            </w:tcBorders>
            <w:shd w:val="clear" w:color="auto" w:fill="F2F2F2" w:themeFill="background1" w:themeFillShade="F2"/>
          </w:tcPr>
          <w:p w14:paraId="4374611B" w14:textId="19401204" w:rsidR="00371F71" w:rsidRPr="7ACA0E52" w:rsidRDefault="00371F71" w:rsidP="00AA2CFE">
            <w:pPr>
              <w:pStyle w:val="Body"/>
              <w:spacing w:after="0" w:line="240" w:lineRule="auto"/>
              <w:ind w:right="385"/>
              <w:jc w:val="center"/>
              <w:rPr>
                <w:sz w:val="20"/>
                <w:szCs w:val="20"/>
              </w:rPr>
            </w:pPr>
            <w:r w:rsidRPr="5C35E5CB">
              <w:rPr>
                <w:sz w:val="20"/>
                <w:szCs w:val="20"/>
              </w:rPr>
              <w:t>$</w:t>
            </w:r>
            <w:r w:rsidR="00A56787">
              <w:rPr>
                <w:sz w:val="20"/>
                <w:szCs w:val="20"/>
              </w:rPr>
              <w:t>79</w:t>
            </w:r>
          </w:p>
        </w:tc>
      </w:tr>
      <w:tr w:rsidR="00371F71" w:rsidRPr="7ACA0E52" w14:paraId="17EF80E5" w14:textId="77777777" w:rsidTr="00AA2CFE">
        <w:trPr>
          <w:trHeight w:val="20"/>
        </w:trPr>
        <w:tc>
          <w:tcPr>
            <w:tcW w:w="1656" w:type="dxa"/>
            <w:tcBorders>
              <w:bottom w:val="single" w:sz="4" w:space="0" w:color="535353" w:themeColor="text2" w:themeShade="80"/>
            </w:tcBorders>
            <w:tcMar>
              <w:top w:w="80" w:type="dxa"/>
              <w:left w:w="80" w:type="dxa"/>
              <w:bottom w:w="80" w:type="dxa"/>
              <w:right w:w="80" w:type="dxa"/>
            </w:tcMar>
          </w:tcPr>
          <w:p w14:paraId="3121E48D" w14:textId="702F7ECB" w:rsidR="00371F71" w:rsidRPr="7ACA0E52" w:rsidRDefault="00371F71" w:rsidP="00AA2CFE">
            <w:pPr>
              <w:pStyle w:val="Body"/>
              <w:spacing w:after="0"/>
              <w:rPr>
                <w:b/>
                <w:bCs/>
                <w:sz w:val="20"/>
                <w:szCs w:val="20"/>
              </w:rPr>
            </w:pPr>
            <w:r>
              <w:rPr>
                <w:b/>
                <w:bCs/>
                <w:sz w:val="20"/>
                <w:szCs w:val="20"/>
              </w:rPr>
              <w:t>Increased Rebate</w:t>
            </w:r>
          </w:p>
        </w:tc>
        <w:tc>
          <w:tcPr>
            <w:tcW w:w="1152" w:type="dxa"/>
            <w:tcBorders>
              <w:bottom w:val="single" w:sz="4" w:space="0" w:color="535353" w:themeColor="text2" w:themeShade="80"/>
            </w:tcBorders>
            <w:tcMar>
              <w:top w:w="80" w:type="dxa"/>
              <w:left w:w="80" w:type="dxa"/>
              <w:bottom w:w="80" w:type="dxa"/>
              <w:right w:w="80" w:type="dxa"/>
            </w:tcMar>
            <w:vAlign w:val="center"/>
          </w:tcPr>
          <w:p w14:paraId="7C49B7FB" w14:textId="66022A10" w:rsidR="00371F71" w:rsidRPr="7ACA0E52" w:rsidRDefault="00371F71" w:rsidP="00AA2CFE">
            <w:pPr>
              <w:pStyle w:val="Body"/>
              <w:spacing w:after="0" w:line="240" w:lineRule="auto"/>
              <w:jc w:val="center"/>
              <w:rPr>
                <w:i/>
                <w:iCs/>
                <w:sz w:val="20"/>
                <w:szCs w:val="20"/>
              </w:rPr>
            </w:pPr>
            <w:r w:rsidRPr="7ACA0E52">
              <w:rPr>
                <w:i/>
                <w:iCs/>
                <w:sz w:val="20"/>
                <w:szCs w:val="20"/>
              </w:rPr>
              <w:t>N</w:t>
            </w:r>
            <w:r w:rsidRPr="7ACA0E52">
              <w:rPr>
                <w:sz w:val="20"/>
                <w:szCs w:val="20"/>
              </w:rPr>
              <w:t xml:space="preserve"> =</w:t>
            </w:r>
            <w:r>
              <w:rPr>
                <w:sz w:val="20"/>
                <w:szCs w:val="20"/>
              </w:rPr>
              <w:t xml:space="preserve"> </w:t>
            </w:r>
            <w:r w:rsidR="00BB4F1D">
              <w:rPr>
                <w:sz w:val="20"/>
                <w:szCs w:val="20"/>
              </w:rPr>
              <w:t>68,877</w:t>
            </w:r>
          </w:p>
        </w:tc>
        <w:tc>
          <w:tcPr>
            <w:tcW w:w="2160" w:type="dxa"/>
            <w:tcBorders>
              <w:bottom w:val="single" w:sz="4" w:space="0" w:color="535353" w:themeColor="text2" w:themeShade="80"/>
            </w:tcBorders>
          </w:tcPr>
          <w:p w14:paraId="33241251" w14:textId="520B021F" w:rsidR="00371F71" w:rsidRPr="7ACA0E52" w:rsidRDefault="00964061" w:rsidP="00AA2CFE">
            <w:pPr>
              <w:pStyle w:val="Body"/>
              <w:spacing w:after="0" w:line="240" w:lineRule="auto"/>
              <w:jc w:val="center"/>
              <w:rPr>
                <w:sz w:val="20"/>
                <w:szCs w:val="20"/>
              </w:rPr>
            </w:pPr>
            <w:r>
              <w:rPr>
                <w:sz w:val="20"/>
                <w:szCs w:val="20"/>
              </w:rPr>
              <w:t>3.5</w:t>
            </w:r>
          </w:p>
        </w:tc>
        <w:tc>
          <w:tcPr>
            <w:tcW w:w="2160" w:type="dxa"/>
            <w:tcBorders>
              <w:bottom w:val="single" w:sz="4" w:space="0" w:color="535353" w:themeColor="text2" w:themeShade="80"/>
            </w:tcBorders>
          </w:tcPr>
          <w:p w14:paraId="09DF8A44" w14:textId="1FE235DB" w:rsidR="00371F71" w:rsidRPr="7ACA0E52" w:rsidRDefault="00A56787" w:rsidP="00AA2CFE">
            <w:pPr>
              <w:pStyle w:val="Body"/>
              <w:spacing w:after="0" w:line="240" w:lineRule="auto"/>
              <w:ind w:right="385"/>
              <w:jc w:val="center"/>
              <w:rPr>
                <w:sz w:val="20"/>
                <w:szCs w:val="20"/>
              </w:rPr>
            </w:pPr>
            <w:r>
              <w:rPr>
                <w:sz w:val="20"/>
                <w:szCs w:val="20"/>
              </w:rPr>
              <w:t>28</w:t>
            </w:r>
          </w:p>
        </w:tc>
        <w:tc>
          <w:tcPr>
            <w:tcW w:w="2232" w:type="dxa"/>
            <w:tcBorders>
              <w:bottom w:val="single" w:sz="4" w:space="0" w:color="535353" w:themeColor="text2" w:themeShade="80"/>
            </w:tcBorders>
          </w:tcPr>
          <w:p w14:paraId="5FC80833" w14:textId="0A535413" w:rsidR="00371F71" w:rsidRPr="7ACA0E52" w:rsidRDefault="00371F71" w:rsidP="00AA2CFE">
            <w:pPr>
              <w:pStyle w:val="Body"/>
              <w:spacing w:after="0" w:line="240" w:lineRule="auto"/>
              <w:ind w:right="385"/>
              <w:jc w:val="center"/>
              <w:rPr>
                <w:sz w:val="20"/>
                <w:szCs w:val="20"/>
              </w:rPr>
            </w:pPr>
            <w:r w:rsidRPr="7ACA0E52">
              <w:rPr>
                <w:sz w:val="20"/>
                <w:szCs w:val="20"/>
              </w:rPr>
              <w:t>$</w:t>
            </w:r>
            <w:r w:rsidR="00A56787">
              <w:rPr>
                <w:sz w:val="20"/>
                <w:szCs w:val="20"/>
              </w:rPr>
              <w:t>195</w:t>
            </w:r>
          </w:p>
        </w:tc>
      </w:tr>
      <w:tr w:rsidR="00371F71" w:rsidRPr="006B453D" w14:paraId="4DE48C58" w14:textId="77777777" w:rsidTr="00AA2CFE">
        <w:trPr>
          <w:trHeight w:val="20"/>
        </w:trPr>
        <w:tc>
          <w:tcPr>
            <w:tcW w:w="1656" w:type="dxa"/>
            <w:tcBorders>
              <w:top w:val="single" w:sz="4" w:space="0" w:color="535353" w:themeColor="text2" w:themeShade="80"/>
            </w:tcBorders>
            <w:shd w:val="clear" w:color="auto" w:fill="F2F2F2" w:themeFill="background1" w:themeFillShade="F2"/>
            <w:tcMar>
              <w:top w:w="80" w:type="dxa"/>
              <w:left w:w="80" w:type="dxa"/>
              <w:bottom w:w="80" w:type="dxa"/>
              <w:right w:w="80" w:type="dxa"/>
            </w:tcMar>
          </w:tcPr>
          <w:p w14:paraId="39D7B3E5" w14:textId="77777777" w:rsidR="00371F71" w:rsidRPr="003A15C4" w:rsidRDefault="00371F71" w:rsidP="00AA2CFE">
            <w:pPr>
              <w:pStyle w:val="Body"/>
              <w:spacing w:after="0"/>
              <w:rPr>
                <w:b/>
                <w:sz w:val="20"/>
                <w:szCs w:val="20"/>
              </w:rPr>
            </w:pPr>
            <w:r w:rsidRPr="7ACA0E52">
              <w:rPr>
                <w:b/>
                <w:bCs/>
                <w:sz w:val="20"/>
                <w:szCs w:val="20"/>
              </w:rPr>
              <w:t>All</w:t>
            </w:r>
          </w:p>
        </w:tc>
        <w:tc>
          <w:tcPr>
            <w:tcW w:w="1152" w:type="dxa"/>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231D39FA" w14:textId="60746E52" w:rsidR="00371F71" w:rsidRPr="006B453D" w:rsidRDefault="00371F71" w:rsidP="00AA2CFE">
            <w:pPr>
              <w:pStyle w:val="Body"/>
              <w:spacing w:after="0" w:line="240" w:lineRule="auto"/>
              <w:jc w:val="center"/>
              <w:rPr>
                <w:rFonts w:cs="Calibri"/>
                <w:b/>
                <w:bCs/>
                <w:i/>
                <w:iCs/>
                <w:sz w:val="20"/>
                <w:szCs w:val="20"/>
              </w:rPr>
            </w:pPr>
            <w:r w:rsidRPr="7ACA0E52">
              <w:rPr>
                <w:rFonts w:cs="Calibri"/>
                <w:b/>
                <w:bCs/>
                <w:i/>
                <w:iCs/>
                <w:sz w:val="20"/>
                <w:szCs w:val="20"/>
              </w:rPr>
              <w:t>N</w:t>
            </w:r>
            <w:r w:rsidRPr="7ACA0E52">
              <w:rPr>
                <w:rFonts w:cs="Calibri"/>
                <w:b/>
                <w:bCs/>
                <w:sz w:val="20"/>
                <w:szCs w:val="20"/>
              </w:rPr>
              <w:t xml:space="preserve"> = </w:t>
            </w:r>
            <w:r>
              <w:rPr>
                <w:rFonts w:cs="Calibri"/>
                <w:b/>
                <w:bCs/>
                <w:sz w:val="20"/>
                <w:szCs w:val="20"/>
              </w:rPr>
              <w:t>5</w:t>
            </w:r>
            <w:r w:rsidR="00ED5D2D">
              <w:rPr>
                <w:rFonts w:cs="Calibri"/>
                <w:b/>
                <w:bCs/>
                <w:sz w:val="20"/>
                <w:szCs w:val="20"/>
              </w:rPr>
              <w:t>70</w:t>
            </w:r>
            <w:r>
              <w:rPr>
                <w:rFonts w:cs="Calibri"/>
                <w:b/>
                <w:bCs/>
                <w:sz w:val="20"/>
                <w:szCs w:val="20"/>
              </w:rPr>
              <w:t>,</w:t>
            </w:r>
            <w:r w:rsidR="00ED5D2D">
              <w:rPr>
                <w:rFonts w:cs="Calibri"/>
                <w:b/>
                <w:bCs/>
                <w:sz w:val="20"/>
                <w:szCs w:val="20"/>
              </w:rPr>
              <w:t>877</w:t>
            </w:r>
          </w:p>
        </w:tc>
        <w:tc>
          <w:tcPr>
            <w:tcW w:w="2160" w:type="dxa"/>
            <w:tcBorders>
              <w:top w:val="single" w:sz="4" w:space="0" w:color="535353" w:themeColor="text2" w:themeShade="80"/>
            </w:tcBorders>
            <w:shd w:val="clear" w:color="auto" w:fill="F2F2F2" w:themeFill="background1" w:themeFillShade="F2"/>
          </w:tcPr>
          <w:p w14:paraId="3345E0DF" w14:textId="57A1D982" w:rsidR="00371F71" w:rsidRPr="006B453D" w:rsidRDefault="00964061" w:rsidP="00AA2CFE">
            <w:pPr>
              <w:pStyle w:val="Body"/>
              <w:spacing w:after="0" w:line="240" w:lineRule="auto"/>
              <w:jc w:val="center"/>
              <w:rPr>
                <w:b/>
                <w:bCs/>
                <w:sz w:val="20"/>
                <w:szCs w:val="20"/>
              </w:rPr>
            </w:pPr>
            <w:r>
              <w:rPr>
                <w:b/>
                <w:bCs/>
                <w:sz w:val="20"/>
                <w:szCs w:val="20"/>
              </w:rPr>
              <w:t>3.3</w:t>
            </w:r>
          </w:p>
        </w:tc>
        <w:tc>
          <w:tcPr>
            <w:tcW w:w="2160" w:type="dxa"/>
            <w:tcBorders>
              <w:top w:val="single" w:sz="4" w:space="0" w:color="535353" w:themeColor="text2" w:themeShade="80"/>
            </w:tcBorders>
            <w:shd w:val="clear" w:color="auto" w:fill="F2F2F2" w:themeFill="background1" w:themeFillShade="F2"/>
          </w:tcPr>
          <w:p w14:paraId="1AD09591" w14:textId="2A48DFD3" w:rsidR="00371F71" w:rsidRPr="006B453D" w:rsidRDefault="00A56787" w:rsidP="00AA2CFE">
            <w:pPr>
              <w:pStyle w:val="Body"/>
              <w:spacing w:after="0" w:line="240" w:lineRule="auto"/>
              <w:ind w:right="385"/>
              <w:jc w:val="center"/>
              <w:rPr>
                <w:b/>
                <w:bCs/>
                <w:sz w:val="20"/>
                <w:szCs w:val="20"/>
              </w:rPr>
            </w:pPr>
            <w:r>
              <w:rPr>
                <w:b/>
                <w:bCs/>
                <w:sz w:val="20"/>
                <w:szCs w:val="20"/>
              </w:rPr>
              <w:t>27</w:t>
            </w:r>
          </w:p>
        </w:tc>
        <w:tc>
          <w:tcPr>
            <w:tcW w:w="2232" w:type="dxa"/>
            <w:tcBorders>
              <w:top w:val="single" w:sz="4" w:space="0" w:color="535353" w:themeColor="text2" w:themeShade="80"/>
            </w:tcBorders>
            <w:shd w:val="clear" w:color="auto" w:fill="F2F2F2" w:themeFill="background1" w:themeFillShade="F2"/>
          </w:tcPr>
          <w:p w14:paraId="4F06AB40" w14:textId="377EDAA7" w:rsidR="00371F71" w:rsidRPr="006B453D" w:rsidRDefault="00371F71" w:rsidP="00AA2CFE">
            <w:pPr>
              <w:pStyle w:val="Body"/>
              <w:spacing w:after="0" w:line="240" w:lineRule="auto"/>
              <w:ind w:right="385"/>
              <w:jc w:val="center"/>
              <w:rPr>
                <w:b/>
                <w:bCs/>
                <w:sz w:val="20"/>
                <w:szCs w:val="20"/>
              </w:rPr>
            </w:pPr>
            <w:r w:rsidRPr="0C18FB96">
              <w:rPr>
                <w:b/>
                <w:bCs/>
                <w:sz w:val="20"/>
                <w:szCs w:val="20"/>
              </w:rPr>
              <w:t>$</w:t>
            </w:r>
            <w:r w:rsidR="00A56787">
              <w:rPr>
                <w:b/>
                <w:bCs/>
                <w:sz w:val="20"/>
                <w:szCs w:val="20"/>
              </w:rPr>
              <w:t>93</w:t>
            </w:r>
          </w:p>
        </w:tc>
      </w:tr>
    </w:tbl>
    <w:p w14:paraId="7E8FFFE7" w14:textId="77777777" w:rsidR="00F55433" w:rsidRDefault="00F55433" w:rsidP="00F55433"/>
    <w:p w14:paraId="2F3FFA88" w14:textId="1768FBD4" w:rsidR="003E731C" w:rsidRDefault="00720A21" w:rsidP="0027706A">
      <w:r>
        <w:t xml:space="preserve">Over time, average </w:t>
      </w:r>
      <w:r w:rsidR="00964493">
        <w:t xml:space="preserve">per-vehicle </w:t>
      </w:r>
      <w:r>
        <w:t>GHG reductions</w:t>
      </w:r>
      <w:r w:rsidR="002F6599">
        <w:t xml:space="preserve"> relative to new gasoline vehicles</w:t>
      </w:r>
      <w:r>
        <w:t xml:space="preserve"> </w:t>
      </w:r>
      <w:r w:rsidR="002F6599">
        <w:t xml:space="preserve">was </w:t>
      </w:r>
      <w:r w:rsidR="00910544">
        <w:t xml:space="preserve">highest in 2010 and 2011, when BEVs </w:t>
      </w:r>
      <w:r w:rsidR="00A63BE9">
        <w:t>composed nearly 100% of the program.</w:t>
      </w:r>
      <w:r w:rsidR="00910544">
        <w:t xml:space="preserve"> </w:t>
      </w:r>
      <w:r w:rsidR="00337B3F">
        <w:t>A</w:t>
      </w:r>
      <w:r w:rsidR="00715174">
        <w:t xml:space="preserve">fter </w:t>
      </w:r>
      <w:r w:rsidR="00C7390C">
        <w:t>drop</w:t>
      </w:r>
      <w:r w:rsidR="00715174">
        <w:t>ping</w:t>
      </w:r>
      <w:r w:rsidR="00C7390C">
        <w:t xml:space="preserve"> </w:t>
      </w:r>
      <w:r w:rsidR="00CC419A">
        <w:t>in</w:t>
      </w:r>
      <w:r w:rsidR="00715174">
        <w:t xml:space="preserve"> </w:t>
      </w:r>
      <w:r w:rsidR="00C7390C">
        <w:t>2012 when PHEV</w:t>
      </w:r>
      <w:r w:rsidR="00C82FCE">
        <w:t xml:space="preserve"> participation widely emerged</w:t>
      </w:r>
      <w:r w:rsidR="00E46AF4">
        <w:t xml:space="preserve"> (</w:t>
      </w:r>
      <w:r w:rsidR="000157CB">
        <w:t>Figure</w:t>
      </w:r>
      <w:r w:rsidR="00436301">
        <w:t xml:space="preserve"> C</w:t>
      </w:r>
      <w:r w:rsidR="000157CB">
        <w:t>1</w:t>
      </w:r>
      <w:r w:rsidR="00337B3F">
        <w:t>)</w:t>
      </w:r>
      <w:r w:rsidR="00CC419A">
        <w:t>,</w:t>
      </w:r>
      <w:r w:rsidR="00337B3F" w:rsidRPr="00337B3F">
        <w:t xml:space="preserve"> </w:t>
      </w:r>
      <w:r w:rsidR="009D7D1F">
        <w:t xml:space="preserve">program </w:t>
      </w:r>
      <w:r w:rsidR="00D228AA">
        <w:t xml:space="preserve">average </w:t>
      </w:r>
      <w:r w:rsidR="00337B3F">
        <w:t>per</w:t>
      </w:r>
      <w:r w:rsidR="007D7B36">
        <w:t>-</w:t>
      </w:r>
      <w:r w:rsidR="00337B3F">
        <w:t xml:space="preserve">vehicle </w:t>
      </w:r>
      <w:r w:rsidR="007D7B36">
        <w:t xml:space="preserve">reductions </w:t>
      </w:r>
      <w:r w:rsidR="00337B3F">
        <w:t xml:space="preserve">gradually increased from 2012 through 2023 (Figure </w:t>
      </w:r>
      <w:r w:rsidR="00337B3F">
        <w:rPr>
          <w:noProof/>
        </w:rPr>
        <w:t>3</w:t>
      </w:r>
      <w:r w:rsidR="00337B3F">
        <w:t>)</w:t>
      </w:r>
      <w:r w:rsidR="00715174">
        <w:t>.</w:t>
      </w:r>
      <w:r w:rsidR="009C71D1">
        <w:t xml:space="preserve"> </w:t>
      </w:r>
      <w:r w:rsidR="00817A9C" w:rsidRPr="00817A9C">
        <w:t>Th</w:t>
      </w:r>
      <w:r w:rsidR="0068723B">
        <w:t>e</w:t>
      </w:r>
      <w:r w:rsidR="00817A9C" w:rsidRPr="00817A9C">
        <w:t xml:space="preserve"> upward trend is primarily driven by</w:t>
      </w:r>
      <w:r w:rsidR="00A9653A">
        <w:t xml:space="preserve"> the program </w:t>
      </w:r>
      <w:r w:rsidR="00857ED2">
        <w:t xml:space="preserve">composition </w:t>
      </w:r>
      <w:r w:rsidR="00C7023F">
        <w:t xml:space="preserve">shifting towards BEVs </w:t>
      </w:r>
      <w:r w:rsidR="00FD4C68">
        <w:t xml:space="preserve">(which consistently had the highest average reductions) </w:t>
      </w:r>
      <w:r w:rsidR="00C7023F">
        <w:t>ov</w:t>
      </w:r>
      <w:r w:rsidR="00EE4492">
        <w:t>er time</w:t>
      </w:r>
      <w:r w:rsidR="00FD7293">
        <w:t>.</w:t>
      </w:r>
      <w:r w:rsidR="00817A9C" w:rsidRPr="00817A9C">
        <w:t xml:space="preserve"> </w:t>
      </w:r>
      <w:r w:rsidR="00FD7293">
        <w:t xml:space="preserve">Average reductions for </w:t>
      </w:r>
      <w:r w:rsidR="00C73AB3">
        <w:t>each</w:t>
      </w:r>
      <w:r w:rsidR="00FD7293">
        <w:t xml:space="preserve"> technology type increased </w:t>
      </w:r>
      <w:r w:rsidR="00741AEA">
        <w:t xml:space="preserve">from 2014–2018 </w:t>
      </w:r>
      <w:r w:rsidR="00FD7293">
        <w:t>as EV fuel efficiency improved</w:t>
      </w:r>
      <w:r w:rsidR="00A542DF">
        <w:t xml:space="preserve"> and carbon intensity </w:t>
      </w:r>
      <w:r w:rsidR="00817A9C" w:rsidRPr="00817A9C">
        <w:t>of California electric</w:t>
      </w:r>
      <w:r w:rsidR="00CC2D06">
        <w:t>ity</w:t>
      </w:r>
      <w:r w:rsidR="00817A9C" w:rsidRPr="00817A9C">
        <w:t xml:space="preserve"> </w:t>
      </w:r>
      <w:r w:rsidR="003F3D8C">
        <w:t>decreased</w:t>
      </w:r>
      <w:r w:rsidR="00817A9C" w:rsidRPr="00817A9C">
        <w:t xml:space="preserve"> (</w:t>
      </w:r>
      <w:r w:rsidR="006E4963">
        <w:t xml:space="preserve">see </w:t>
      </w:r>
      <w:r w:rsidR="00CC2D06">
        <w:t>Appendix A</w:t>
      </w:r>
      <w:r w:rsidR="00817A9C" w:rsidRPr="00817A9C">
        <w:t>).</w:t>
      </w:r>
      <w:r w:rsidR="00CB4118">
        <w:t xml:space="preserve"> </w:t>
      </w:r>
      <w:r w:rsidR="00817A9C" w:rsidRPr="00817A9C">
        <w:t xml:space="preserve">For PHEVs, </w:t>
      </w:r>
      <w:r w:rsidR="008D035E">
        <w:t xml:space="preserve">another factor </w:t>
      </w:r>
      <w:r w:rsidR="00BC1E5F">
        <w:t xml:space="preserve">was </w:t>
      </w:r>
      <w:r w:rsidR="00817A9C" w:rsidRPr="00817A9C">
        <w:t>improved range capability (Figure C2)</w:t>
      </w:r>
      <w:r w:rsidR="007159AE">
        <w:t xml:space="preserve"> which</w:t>
      </w:r>
      <w:r w:rsidR="00817A9C" w:rsidRPr="00817A9C">
        <w:t xml:space="preserve"> allowed for a</w:t>
      </w:r>
      <w:r w:rsidR="00164D4C">
        <w:t>n</w:t>
      </w:r>
      <w:r w:rsidR="00817A9C" w:rsidRPr="00817A9C">
        <w:t xml:space="preserve"> increasing percentage of miles driven on electricity rather than gasoline (Figure</w:t>
      </w:r>
      <w:r w:rsidR="001B4ED5">
        <w:t xml:space="preserve"> A4 and Figure</w:t>
      </w:r>
      <w:r w:rsidR="00817A9C" w:rsidRPr="00817A9C">
        <w:t xml:space="preserve"> A5). </w:t>
      </w:r>
      <w:r w:rsidR="00E474C3">
        <w:t xml:space="preserve">Average reductions decreased after </w:t>
      </w:r>
      <w:r w:rsidR="000B1AD6">
        <w:t>2018</w:t>
      </w:r>
      <w:r w:rsidR="007D1E99">
        <w:t xml:space="preserve"> for </w:t>
      </w:r>
      <w:r w:rsidR="00AA7A91">
        <w:t xml:space="preserve">BEVs and FCEVs and after </w:t>
      </w:r>
      <w:r w:rsidR="00E474C3">
        <w:t xml:space="preserve">2020 </w:t>
      </w:r>
      <w:r w:rsidR="00AA7A91">
        <w:t xml:space="preserve">for PHEVs </w:t>
      </w:r>
      <w:r w:rsidR="00E474C3">
        <w:t xml:space="preserve">as </w:t>
      </w:r>
      <w:r w:rsidR="005202F4">
        <w:t>improvements in electric CI stalled (until 2023)</w:t>
      </w:r>
      <w:r w:rsidR="00E57BD9">
        <w:t xml:space="preserve">, improvements in baseline gasoline fuel efficiency </w:t>
      </w:r>
      <w:r w:rsidR="00445EDE">
        <w:t>accelerated,</w:t>
      </w:r>
      <w:r w:rsidR="005202F4">
        <w:t xml:space="preserve"> and </w:t>
      </w:r>
      <w:r w:rsidR="00E474C3">
        <w:t xml:space="preserve">less-efficient </w:t>
      </w:r>
      <w:r w:rsidR="00445EDE">
        <w:t xml:space="preserve">EV </w:t>
      </w:r>
      <w:r w:rsidR="00E474C3">
        <w:t>models proliferated</w:t>
      </w:r>
      <w:r w:rsidR="0028657A">
        <w:t xml:space="preserve"> (see Appendix A)</w:t>
      </w:r>
      <w:r w:rsidR="00E474C3">
        <w:t xml:space="preserve">. However, program average reductions continued to increase during this time due </w:t>
      </w:r>
      <w:r w:rsidR="00EB778D">
        <w:t xml:space="preserve">to the </w:t>
      </w:r>
      <w:r w:rsidR="00447EF7">
        <w:t xml:space="preserve">increasing BEV </w:t>
      </w:r>
      <w:r w:rsidR="00E474C3">
        <w:t xml:space="preserve">rebate share. </w:t>
      </w:r>
    </w:p>
    <w:p w14:paraId="37F28C16" w14:textId="032D7129" w:rsidR="00DF3D7B" w:rsidRPr="00B90CFD" w:rsidRDefault="00026A3D" w:rsidP="00A35578">
      <w:pPr>
        <w:pStyle w:val="TableFigureNumber0"/>
        <w:keepNext/>
        <w:rPr>
          <w:b/>
          <w:bCs/>
          <w:color w:val="0579BD"/>
        </w:rPr>
      </w:pPr>
      <w:bookmarkStart w:id="28" w:name="_Ref216033928"/>
      <w:r w:rsidRPr="00B90CFD">
        <w:rPr>
          <w:color w:val="0579BD"/>
        </w:rPr>
        <w:lastRenderedPageBreak/>
        <w:t xml:space="preserve">Figure </w:t>
      </w:r>
      <w:r w:rsidR="0023364B" w:rsidRPr="00B90CFD">
        <w:rPr>
          <w:noProof/>
          <w:color w:val="0579BD"/>
        </w:rPr>
        <w:t>3</w:t>
      </w:r>
      <w:r w:rsidR="00570FCE" w:rsidRPr="00B90CFD">
        <w:rPr>
          <w:color w:val="0579BD"/>
        </w:rPr>
        <w:t xml:space="preserve"> </w:t>
      </w:r>
      <w:r w:rsidRPr="00B90CFD">
        <w:rPr>
          <w:color w:val="0579BD"/>
        </w:rPr>
        <w:t xml:space="preserve">  </w:t>
      </w:r>
      <w:bookmarkEnd w:id="28"/>
    </w:p>
    <w:p w14:paraId="6EF4FCF5" w14:textId="15061EBD" w:rsidR="00DF3D7B" w:rsidRPr="003A15C4" w:rsidRDefault="007379DC" w:rsidP="00DF3D7B">
      <w:pPr>
        <w:pStyle w:val="TableFigureheader"/>
        <w:keepNext/>
      </w:pPr>
      <w:r>
        <w:t xml:space="preserve">Average </w:t>
      </w:r>
      <w:r w:rsidR="00DF3D7B">
        <w:t>GHG Reduction</w:t>
      </w:r>
      <w:r w:rsidR="00424432">
        <w:t xml:space="preserve">s </w:t>
      </w:r>
      <w:r w:rsidR="000C39F1">
        <w:t xml:space="preserve">Per Vehicle </w:t>
      </w:r>
      <w:r w:rsidR="008004B1">
        <w:t>by Purchase Year</w:t>
      </w:r>
    </w:p>
    <w:p w14:paraId="16C9A5B1" w14:textId="26CB5FCA" w:rsidR="00DF3D7B" w:rsidRPr="000D6C69" w:rsidRDefault="00DF3D7B" w:rsidP="000D6C69">
      <w:pPr>
        <w:pStyle w:val="TableFigureSubtitle"/>
        <w:keepNext/>
        <w:rPr>
          <w:rFonts w:eastAsia="Arial Unicode MS"/>
          <w:bCs/>
        </w:rPr>
      </w:pPr>
      <w:r>
        <w:t xml:space="preserve">All Rebated </w:t>
      </w:r>
      <w:r w:rsidR="000413F0">
        <w:t>Reductions</w:t>
      </w:r>
      <w:r w:rsidR="008004B1">
        <w:t xml:space="preserve"> </w:t>
      </w:r>
      <w:r w:rsidR="00DD2BAD">
        <w:t>(</w:t>
      </w:r>
      <w:r w:rsidR="00F46857">
        <w:t xml:space="preserve">New Gasoline </w:t>
      </w:r>
      <w:r w:rsidR="00DD2BAD">
        <w:t xml:space="preserve">Vehicle </w:t>
      </w:r>
      <w:r w:rsidR="00F46857">
        <w:t>Baseline</w:t>
      </w:r>
      <w:r w:rsidR="00DD2BAD">
        <w:t>)</w:t>
      </w:r>
      <w:r w:rsidR="00D973D1">
        <w:t>, 100k mi</w:t>
      </w:r>
      <w:r w:rsidR="004E67B4">
        <w:t>les</w:t>
      </w:r>
    </w:p>
    <w:p w14:paraId="6CAC226A" w14:textId="0C5BB301" w:rsidR="0045535B" w:rsidRDefault="166625D7" w:rsidP="005E0F27">
      <w:pPr>
        <w:spacing w:after="0"/>
      </w:pPr>
      <w:r>
        <w:rPr>
          <w:noProof/>
        </w:rPr>
        <w:drawing>
          <wp:inline distT="0" distB="0" distL="0" distR="0" wp14:anchorId="68A161BC" wp14:editId="4042AF40">
            <wp:extent cx="5943600" cy="3562350"/>
            <wp:effectExtent l="0" t="0" r="0" b="0"/>
            <wp:docPr id="883521110" name="drawing" descr="Line chart displaying the average GHG reductions per vehicle by purchase year overall and for each fue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21110" name="drawing" descr="Line chart displaying the average GHG reductions per vehicle by purchase year overall and for each fuel type."/>
                    <pic:cNvPicPr/>
                  </pic:nvPicPr>
                  <pic:blipFill>
                    <a:blip r:embed="rId16">
                      <a:extLst>
                        <a:ext uri="{28A0092B-C50C-407E-A947-70E740481C1C}">
                          <a14:useLocalDpi xmlns:a14="http://schemas.microsoft.com/office/drawing/2010/main"/>
                        </a:ext>
                      </a:extLst>
                    </a:blip>
                    <a:stretch>
                      <a:fillRect/>
                    </a:stretch>
                  </pic:blipFill>
                  <pic:spPr>
                    <a:xfrm>
                      <a:off x="0" y="0"/>
                      <a:ext cx="5943600" cy="3562350"/>
                    </a:xfrm>
                    <a:prstGeom prst="rect">
                      <a:avLst/>
                    </a:prstGeom>
                  </pic:spPr>
                </pic:pic>
              </a:graphicData>
            </a:graphic>
          </wp:inline>
        </w:drawing>
      </w:r>
    </w:p>
    <w:p w14:paraId="592E6784" w14:textId="0AAB223B" w:rsidR="009A1026" w:rsidRPr="005E0F27" w:rsidRDefault="00F710B2" w:rsidP="009A1026">
      <w:pPr>
        <w:pStyle w:val="NoSpacing"/>
        <w:rPr>
          <w:sz w:val="18"/>
          <w:szCs w:val="18"/>
        </w:rPr>
      </w:pPr>
      <w:r w:rsidRPr="005A15FF">
        <w:rPr>
          <w:b/>
          <w:bCs/>
          <w:sz w:val="18"/>
          <w:szCs w:val="18"/>
        </w:rPr>
        <w:t>Note:</w:t>
      </w:r>
      <w:r w:rsidRPr="005E0F27">
        <w:rPr>
          <w:sz w:val="18"/>
          <w:szCs w:val="18"/>
        </w:rPr>
        <w:t xml:space="preserve"> </w:t>
      </w:r>
      <w:r w:rsidR="0066490D" w:rsidRPr="005E0F27">
        <w:rPr>
          <w:sz w:val="18"/>
          <w:szCs w:val="18"/>
        </w:rPr>
        <w:t xml:space="preserve">Large fluctuations in </w:t>
      </w:r>
      <w:r w:rsidRPr="005E0F27">
        <w:rPr>
          <w:sz w:val="18"/>
          <w:szCs w:val="18"/>
        </w:rPr>
        <w:t xml:space="preserve">FCEV reductions </w:t>
      </w:r>
      <w:r w:rsidR="0066490D" w:rsidRPr="005E0F27">
        <w:rPr>
          <w:sz w:val="18"/>
          <w:szCs w:val="18"/>
        </w:rPr>
        <w:t>early on</w:t>
      </w:r>
      <w:r w:rsidR="00860C08" w:rsidRPr="005E0F27">
        <w:rPr>
          <w:sz w:val="18"/>
          <w:szCs w:val="18"/>
        </w:rPr>
        <w:t xml:space="preserve"> were</w:t>
      </w:r>
      <w:r w:rsidR="0066490D" w:rsidRPr="005E0F27">
        <w:rPr>
          <w:sz w:val="18"/>
          <w:szCs w:val="18"/>
        </w:rPr>
        <w:t xml:space="preserve"> </w:t>
      </w:r>
      <w:r w:rsidR="000E788F" w:rsidRPr="005E0F27">
        <w:rPr>
          <w:sz w:val="18"/>
          <w:szCs w:val="18"/>
        </w:rPr>
        <w:t xml:space="preserve">a function of </w:t>
      </w:r>
      <w:r w:rsidR="00233F75" w:rsidRPr="005E0F27">
        <w:rPr>
          <w:sz w:val="18"/>
          <w:szCs w:val="18"/>
        </w:rPr>
        <w:t xml:space="preserve">fuel efficiency changes </w:t>
      </w:r>
      <w:r w:rsidR="00EE3148" w:rsidRPr="005E0F27">
        <w:rPr>
          <w:sz w:val="18"/>
          <w:szCs w:val="18"/>
        </w:rPr>
        <w:t>(</w:t>
      </w:r>
      <w:r w:rsidR="00CD6203" w:rsidRPr="005E0F27">
        <w:rPr>
          <w:sz w:val="18"/>
          <w:szCs w:val="18"/>
        </w:rPr>
        <w:t xml:space="preserve">see </w:t>
      </w:r>
      <w:r w:rsidR="00EE3148" w:rsidRPr="005E0F27">
        <w:rPr>
          <w:sz w:val="18"/>
          <w:szCs w:val="18"/>
        </w:rPr>
        <w:t xml:space="preserve">Figure </w:t>
      </w:r>
      <w:r w:rsidR="00CD6203" w:rsidRPr="005E0F27">
        <w:rPr>
          <w:sz w:val="18"/>
          <w:szCs w:val="18"/>
        </w:rPr>
        <w:t>A2</w:t>
      </w:r>
      <w:r w:rsidR="00EE3148" w:rsidRPr="005E0F27">
        <w:rPr>
          <w:sz w:val="18"/>
          <w:szCs w:val="18"/>
        </w:rPr>
        <w:t xml:space="preserve">) </w:t>
      </w:r>
      <w:r w:rsidRPr="005E0F27">
        <w:rPr>
          <w:sz w:val="18"/>
          <w:szCs w:val="18"/>
        </w:rPr>
        <w:t xml:space="preserve">as </w:t>
      </w:r>
      <w:r w:rsidR="00036D1E" w:rsidRPr="005E0F27">
        <w:rPr>
          <w:sz w:val="18"/>
          <w:szCs w:val="18"/>
        </w:rPr>
        <w:t xml:space="preserve">models were discontinued/released </w:t>
      </w:r>
      <w:r w:rsidR="000E788F" w:rsidRPr="005E0F27">
        <w:rPr>
          <w:sz w:val="18"/>
          <w:szCs w:val="18"/>
        </w:rPr>
        <w:t xml:space="preserve">and the </w:t>
      </w:r>
      <w:r w:rsidR="007B4FE4">
        <w:rPr>
          <w:sz w:val="18"/>
          <w:szCs w:val="18"/>
        </w:rPr>
        <w:t xml:space="preserve">small size of the </w:t>
      </w:r>
      <w:r w:rsidR="000E788F" w:rsidRPr="005E0F27">
        <w:rPr>
          <w:sz w:val="18"/>
          <w:szCs w:val="18"/>
        </w:rPr>
        <w:t>market (</w:t>
      </w:r>
      <w:r w:rsidR="00DA3516" w:rsidRPr="005E0F27">
        <w:rPr>
          <w:sz w:val="18"/>
          <w:szCs w:val="18"/>
        </w:rPr>
        <w:t xml:space="preserve">e.g., </w:t>
      </w:r>
      <w:r w:rsidR="001F534E" w:rsidRPr="005E0F27">
        <w:rPr>
          <w:sz w:val="18"/>
          <w:szCs w:val="18"/>
        </w:rPr>
        <w:t xml:space="preserve">only two different models and </w:t>
      </w:r>
      <w:r w:rsidR="005D05E7" w:rsidRPr="005E0F27">
        <w:rPr>
          <w:sz w:val="18"/>
          <w:szCs w:val="18"/>
        </w:rPr>
        <w:t>48 rebates in 2014</w:t>
      </w:r>
      <w:r w:rsidR="000E788F" w:rsidRPr="005E0F27">
        <w:rPr>
          <w:sz w:val="18"/>
          <w:szCs w:val="18"/>
        </w:rPr>
        <w:t>)</w:t>
      </w:r>
      <w:r w:rsidRPr="005E0F27">
        <w:rPr>
          <w:sz w:val="18"/>
          <w:szCs w:val="18"/>
        </w:rPr>
        <w:t>.</w:t>
      </w:r>
    </w:p>
    <w:p w14:paraId="6B61B231" w14:textId="6A5549E5" w:rsidR="00F710B2" w:rsidRPr="0045535B" w:rsidRDefault="00F710B2" w:rsidP="00F710B2">
      <w:pPr>
        <w:pStyle w:val="NoSpacing"/>
      </w:pPr>
    </w:p>
    <w:p w14:paraId="03B9A4C3" w14:textId="47294AA1" w:rsidR="003613C5" w:rsidRDefault="00FC08D5" w:rsidP="00F55433">
      <w:r>
        <w:t>C</w:t>
      </w:r>
      <w:r w:rsidRPr="00562B0D">
        <w:t>osts per ton of reductions over time were relatively stable between 2012 and 2022, ranging from $</w:t>
      </w:r>
      <w:r>
        <w:t>78</w:t>
      </w:r>
      <w:r w:rsidRPr="00562B0D">
        <w:t>–$</w:t>
      </w:r>
      <w:r>
        <w:t>96</w:t>
      </w:r>
      <w:r w:rsidRPr="00562B0D">
        <w:t xml:space="preserve">/ton (Figure 4). </w:t>
      </w:r>
      <w:r>
        <w:t>This stability, despite overall reductions per vehicle increasing over time, is reflective of average rebate costs also gradually increasing (</w:t>
      </w:r>
      <w:r w:rsidR="001C6C2B">
        <w:t>see Program &amp; Market Context</w:t>
      </w:r>
      <w:r>
        <w:t xml:space="preserve">). </w:t>
      </w:r>
      <w:r w:rsidRPr="00562B0D">
        <w:t>Cost</w:t>
      </w:r>
      <w:r>
        <w:t xml:space="preserve">s per ton were </w:t>
      </w:r>
      <w:r w:rsidRPr="00562B0D">
        <w:t>above $10</w:t>
      </w:r>
      <w:r>
        <w:t>0</w:t>
      </w:r>
      <w:r w:rsidRPr="00562B0D">
        <w:t xml:space="preserve"> only in the first two and last year</w:t>
      </w:r>
      <w:r>
        <w:t>s</w:t>
      </w:r>
      <w:r w:rsidRPr="00562B0D">
        <w:t xml:space="preserve"> of the program—both periods of elevated rebate amount</w:t>
      </w:r>
      <w:r w:rsidR="00CD1AAB">
        <w:t>s</w:t>
      </w:r>
      <w:r w:rsidRPr="00562B0D">
        <w:t>.</w:t>
      </w:r>
      <w:r>
        <w:t xml:space="preserve"> From program launch through June 2011, rebate amounts were higher across the board (Table </w:t>
      </w:r>
      <w:r>
        <w:rPr>
          <w:noProof/>
        </w:rPr>
        <w:t>8</w:t>
      </w:r>
      <w:r>
        <w:t xml:space="preserve">). In 2023, Increased Rebate amounts were hiked </w:t>
      </w:r>
      <w:proofErr w:type="gramStart"/>
      <w:r>
        <w:t>significantly</w:t>
      </w:r>
      <w:proofErr w:type="gramEnd"/>
      <w:r>
        <w:t xml:space="preserve"> and their availability was expanded (Table </w:t>
      </w:r>
      <w:r>
        <w:rPr>
          <w:noProof/>
        </w:rPr>
        <w:t>9</w:t>
      </w:r>
      <w:r>
        <w:t>).</w:t>
      </w:r>
      <w:r w:rsidR="00734023">
        <w:t xml:space="preserve"> Th</w:t>
      </w:r>
      <w:r w:rsidR="009345C7">
        <w:t>ese</w:t>
      </w:r>
      <w:r w:rsidR="00FD5887">
        <w:t xml:space="preserve"> program changes </w:t>
      </w:r>
      <w:r w:rsidR="00C256CC">
        <w:t xml:space="preserve">resulted in the </w:t>
      </w:r>
      <w:r w:rsidR="00734023">
        <w:t xml:space="preserve">average rebate amount increasing </w:t>
      </w:r>
      <w:r w:rsidR="00CC0159">
        <w:t xml:space="preserve">more than </w:t>
      </w:r>
      <w:r w:rsidR="000204DA">
        <w:t xml:space="preserve">$1,000 </w:t>
      </w:r>
      <w:r w:rsidR="00734023">
        <w:t xml:space="preserve">from </w:t>
      </w:r>
      <w:r w:rsidR="00C256CC">
        <w:t xml:space="preserve">2022 </w:t>
      </w:r>
      <w:r w:rsidR="00DB0B4A">
        <w:t xml:space="preserve">to </w:t>
      </w:r>
      <w:r w:rsidR="00C256CC">
        <w:t>2023</w:t>
      </w:r>
      <w:r w:rsidR="00A74E61">
        <w:t xml:space="preserve">, </w:t>
      </w:r>
      <w:r w:rsidR="004260D8">
        <w:t>which drove</w:t>
      </w:r>
      <w:r w:rsidR="00655EC4">
        <w:t xml:space="preserve"> </w:t>
      </w:r>
      <w:r w:rsidR="00A74E61">
        <w:t xml:space="preserve">the </w:t>
      </w:r>
      <w:r w:rsidR="00DB0B4A">
        <w:t xml:space="preserve">2023 </w:t>
      </w:r>
      <w:r w:rsidR="00BE024F">
        <w:t xml:space="preserve">spike in </w:t>
      </w:r>
      <w:r w:rsidR="00DB0B4A">
        <w:t xml:space="preserve">the </w:t>
      </w:r>
      <w:r w:rsidR="00BE024F">
        <w:t>costs of reductions displayed in Figure 4 below.</w:t>
      </w:r>
      <w:r w:rsidR="00CE0398">
        <w:t xml:space="preserve"> </w:t>
      </w:r>
    </w:p>
    <w:p w14:paraId="365C735A" w14:textId="08C1205A" w:rsidR="00027E7E" w:rsidRPr="00B90CFD" w:rsidRDefault="00027E7E" w:rsidP="00027E7E">
      <w:pPr>
        <w:pStyle w:val="TableFigureNumber0"/>
        <w:keepNext/>
        <w:rPr>
          <w:color w:val="0579BD"/>
        </w:rPr>
      </w:pPr>
      <w:bookmarkStart w:id="29" w:name="_Ref216034056"/>
      <w:r w:rsidRPr="00B90CFD">
        <w:rPr>
          <w:color w:val="0579BD"/>
        </w:rPr>
        <w:lastRenderedPageBreak/>
        <w:t xml:space="preserve">Figure </w:t>
      </w:r>
      <w:r w:rsidR="0023364B" w:rsidRPr="00B90CFD">
        <w:rPr>
          <w:noProof/>
          <w:color w:val="0579BD"/>
        </w:rPr>
        <w:t>4</w:t>
      </w:r>
      <w:bookmarkEnd w:id="29"/>
    </w:p>
    <w:p w14:paraId="01B40750" w14:textId="267CE903" w:rsidR="00110F81" w:rsidRPr="003A15C4" w:rsidRDefault="00110F81" w:rsidP="00110F81">
      <w:pPr>
        <w:pStyle w:val="TableFigureheader"/>
        <w:keepNext/>
      </w:pPr>
      <w:r>
        <w:t>Cost-Effectiveness by Purchase Year</w:t>
      </w:r>
      <w:r w:rsidR="002C30BB">
        <w:t>*</w:t>
      </w:r>
    </w:p>
    <w:p w14:paraId="72894A85" w14:textId="78A8A890" w:rsidR="00110F81" w:rsidRDefault="00110F81" w:rsidP="00110F81">
      <w:pPr>
        <w:pStyle w:val="TableFigureSubtitle"/>
        <w:keepNext/>
      </w:pPr>
      <w:r>
        <w:t xml:space="preserve">All Rebated </w:t>
      </w:r>
      <w:r w:rsidR="00237D33">
        <w:t>Reductions</w:t>
      </w:r>
      <w:r>
        <w:t xml:space="preserve"> </w:t>
      </w:r>
      <w:r w:rsidR="00237D33">
        <w:t>(</w:t>
      </w:r>
      <w:r>
        <w:t xml:space="preserve">New Gasoline </w:t>
      </w:r>
      <w:r w:rsidR="00237D33">
        <w:t xml:space="preserve">Vehicle </w:t>
      </w:r>
      <w:r>
        <w:t>Baseline</w:t>
      </w:r>
      <w:r w:rsidR="00237D33">
        <w:t>)</w:t>
      </w:r>
      <w:r w:rsidR="00D77100">
        <w:t>, 100k mi</w:t>
      </w:r>
      <w:r w:rsidR="004E67B4">
        <w:t>les</w:t>
      </w:r>
    </w:p>
    <w:p w14:paraId="5E9FD578" w14:textId="7F6C8FF6" w:rsidR="00B3541F" w:rsidRDefault="00EE17D4" w:rsidP="00EC7525">
      <w:pPr>
        <w:spacing w:after="0" w:line="240" w:lineRule="auto"/>
      </w:pPr>
      <w:r>
        <w:rPr>
          <w:noProof/>
        </w:rPr>
        <w:drawing>
          <wp:inline distT="0" distB="0" distL="0" distR="0" wp14:anchorId="768B6387" wp14:editId="35A4E589">
            <wp:extent cx="5715000" cy="3306443"/>
            <wp:effectExtent l="0" t="0" r="0" b="8890"/>
            <wp:docPr id="2130819920" name="Picture 11" descr="Line chart displaying the cost per ton of GHG reductions by purchase year overall and for BEVs and PHE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19920" name="Picture 11" descr="Line chart displaying the cost per ton of GHG reductions by purchase year overall and for BEVs and PHEV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00" cy="3312286"/>
                    </a:xfrm>
                    <a:prstGeom prst="rect">
                      <a:avLst/>
                    </a:prstGeom>
                    <a:noFill/>
                  </pic:spPr>
                </pic:pic>
              </a:graphicData>
            </a:graphic>
          </wp:inline>
        </w:drawing>
      </w:r>
    </w:p>
    <w:p w14:paraId="62BDDBF1" w14:textId="446F2B0B" w:rsidR="005F0D7F" w:rsidRPr="00D76F35" w:rsidRDefault="00CE064F" w:rsidP="00BB0620">
      <w:pPr>
        <w:pStyle w:val="NoSpacing"/>
        <w:spacing w:after="120"/>
        <w:rPr>
          <w:sz w:val="18"/>
          <w:szCs w:val="18"/>
        </w:rPr>
      </w:pPr>
      <w:r w:rsidRPr="00D76F35">
        <w:rPr>
          <w:sz w:val="18"/>
          <w:szCs w:val="18"/>
        </w:rPr>
        <w:t xml:space="preserve">* </w:t>
      </w:r>
      <w:r w:rsidR="00B23DCF" w:rsidRPr="00D76F35">
        <w:rPr>
          <w:sz w:val="18"/>
          <w:szCs w:val="18"/>
        </w:rPr>
        <w:t>FCEV</w:t>
      </w:r>
      <w:r w:rsidR="00502D8C" w:rsidRPr="00D76F35">
        <w:rPr>
          <w:sz w:val="18"/>
          <w:szCs w:val="18"/>
        </w:rPr>
        <w:t xml:space="preserve">s omitted to show </w:t>
      </w:r>
      <w:r w:rsidR="00433BDB" w:rsidRPr="00D76F35">
        <w:rPr>
          <w:sz w:val="18"/>
          <w:szCs w:val="18"/>
        </w:rPr>
        <w:t xml:space="preserve">the </w:t>
      </w:r>
      <w:proofErr w:type="gramStart"/>
      <w:r w:rsidR="00717D85" w:rsidRPr="00D76F35">
        <w:rPr>
          <w:sz w:val="18"/>
          <w:szCs w:val="18"/>
        </w:rPr>
        <w:t>detail</w:t>
      </w:r>
      <w:proofErr w:type="gramEnd"/>
      <w:r w:rsidR="00335D7F" w:rsidRPr="00D76F35">
        <w:rPr>
          <w:sz w:val="18"/>
          <w:szCs w:val="18"/>
        </w:rPr>
        <w:t xml:space="preserve"> of other groups</w:t>
      </w:r>
      <w:r w:rsidR="00561BA3" w:rsidRPr="00D76F35">
        <w:rPr>
          <w:sz w:val="18"/>
          <w:szCs w:val="18"/>
        </w:rPr>
        <w:t>. FCEV cost</w:t>
      </w:r>
      <w:r w:rsidR="00EC7525" w:rsidRPr="00D76F35">
        <w:rPr>
          <w:sz w:val="18"/>
          <w:szCs w:val="18"/>
        </w:rPr>
        <w:t>s/ton</w:t>
      </w:r>
      <w:r w:rsidR="00561BA3" w:rsidRPr="00D76F35">
        <w:rPr>
          <w:sz w:val="18"/>
          <w:szCs w:val="18"/>
        </w:rPr>
        <w:t xml:space="preserve"> </w:t>
      </w:r>
      <w:proofErr w:type="gramStart"/>
      <w:r w:rsidR="00561BA3" w:rsidRPr="00D76F35">
        <w:rPr>
          <w:sz w:val="18"/>
          <w:szCs w:val="18"/>
        </w:rPr>
        <w:t>range</w:t>
      </w:r>
      <w:r w:rsidR="005D478D" w:rsidRPr="00D76F35">
        <w:rPr>
          <w:sz w:val="18"/>
          <w:szCs w:val="18"/>
        </w:rPr>
        <w:t>s</w:t>
      </w:r>
      <w:proofErr w:type="gramEnd"/>
      <w:r w:rsidR="005D478D" w:rsidRPr="00D76F35">
        <w:rPr>
          <w:sz w:val="18"/>
          <w:szCs w:val="18"/>
        </w:rPr>
        <w:t xml:space="preserve"> from $1</w:t>
      </w:r>
      <w:r w:rsidR="00454445" w:rsidRPr="00D76F35">
        <w:rPr>
          <w:sz w:val="18"/>
          <w:szCs w:val="18"/>
        </w:rPr>
        <w:t>27</w:t>
      </w:r>
      <w:r w:rsidR="005D478D" w:rsidRPr="00D76F35">
        <w:rPr>
          <w:sz w:val="18"/>
          <w:szCs w:val="18"/>
        </w:rPr>
        <w:t xml:space="preserve"> in 2011</w:t>
      </w:r>
      <w:r w:rsidR="00B23DCF" w:rsidRPr="00D76F35">
        <w:rPr>
          <w:sz w:val="18"/>
          <w:szCs w:val="18"/>
        </w:rPr>
        <w:t xml:space="preserve"> </w:t>
      </w:r>
      <w:r w:rsidR="00335D7F" w:rsidRPr="00D76F35">
        <w:rPr>
          <w:sz w:val="18"/>
          <w:szCs w:val="18"/>
        </w:rPr>
        <w:t>to $4</w:t>
      </w:r>
      <w:r w:rsidR="00F36B36" w:rsidRPr="00D76F35">
        <w:rPr>
          <w:sz w:val="18"/>
          <w:szCs w:val="18"/>
        </w:rPr>
        <w:t>19</w:t>
      </w:r>
      <w:r w:rsidR="00335D7F" w:rsidRPr="00D76F35">
        <w:rPr>
          <w:sz w:val="18"/>
          <w:szCs w:val="18"/>
        </w:rPr>
        <w:t xml:space="preserve"> in 2014.</w:t>
      </w:r>
      <w:r w:rsidR="00B23DCF" w:rsidRPr="00D76F35">
        <w:rPr>
          <w:sz w:val="18"/>
          <w:szCs w:val="18"/>
        </w:rPr>
        <w:t xml:space="preserve"> </w:t>
      </w:r>
      <w:r w:rsidR="00C331A4" w:rsidRPr="00D76F35">
        <w:rPr>
          <w:sz w:val="18"/>
          <w:szCs w:val="18"/>
        </w:rPr>
        <w:t>“All” results do include FCEVs.</w:t>
      </w:r>
    </w:p>
    <w:p w14:paraId="17913B4F" w14:textId="4F481209" w:rsidR="007A3301" w:rsidRPr="003A15C4" w:rsidRDefault="0EDAEB15" w:rsidP="00BB0620">
      <w:pPr>
        <w:pStyle w:val="Heading2"/>
        <w:spacing w:before="240"/>
        <w:rPr>
          <w:sz w:val="30"/>
          <w:szCs w:val="30"/>
        </w:rPr>
      </w:pPr>
      <w:bookmarkStart w:id="30" w:name="_Toc227069789"/>
      <w:r w:rsidRPr="2F1055DC">
        <w:rPr>
          <w:sz w:val="30"/>
          <w:szCs w:val="30"/>
        </w:rPr>
        <w:t>GHG</w:t>
      </w:r>
      <w:r w:rsidRPr="2F1055DC">
        <w:rPr>
          <w:i/>
          <w:iCs/>
          <w:sz w:val="30"/>
          <w:szCs w:val="30"/>
        </w:rPr>
        <w:t xml:space="preserve"> </w:t>
      </w:r>
      <w:r w:rsidR="6A76A9D7" w:rsidRPr="2F1055DC">
        <w:rPr>
          <w:sz w:val="30"/>
          <w:szCs w:val="30"/>
        </w:rPr>
        <w:t xml:space="preserve">Emission Reductions </w:t>
      </w:r>
      <w:r w:rsidRPr="2F1055DC">
        <w:rPr>
          <w:sz w:val="30"/>
          <w:szCs w:val="30"/>
        </w:rPr>
        <w:t>and</w:t>
      </w:r>
      <w:r w:rsidR="6A76A9D7" w:rsidRPr="2F1055DC">
        <w:rPr>
          <w:sz w:val="30"/>
          <w:szCs w:val="30"/>
        </w:rPr>
        <w:t xml:space="preserve"> Cost-Effectiveness</w:t>
      </w:r>
      <w:r w:rsidRPr="2F1055DC">
        <w:rPr>
          <w:sz w:val="30"/>
          <w:szCs w:val="30"/>
        </w:rPr>
        <w:t>:</w:t>
      </w:r>
      <w:r w:rsidRPr="2F1055DC">
        <w:rPr>
          <w:i/>
          <w:iCs/>
          <w:sz w:val="30"/>
          <w:szCs w:val="30"/>
        </w:rPr>
        <w:t xml:space="preserve"> </w:t>
      </w:r>
      <w:r w:rsidRPr="00575738">
        <w:rPr>
          <w:sz w:val="30"/>
          <w:szCs w:val="30"/>
        </w:rPr>
        <w:t>Rebate</w:t>
      </w:r>
      <w:r w:rsidR="007F4721">
        <w:rPr>
          <w:i/>
          <w:iCs/>
          <w:sz w:val="30"/>
          <w:szCs w:val="30"/>
        </w:rPr>
        <w:t>-</w:t>
      </w:r>
      <w:r w:rsidR="000717C8">
        <w:rPr>
          <w:sz w:val="30"/>
          <w:szCs w:val="30"/>
        </w:rPr>
        <w:t xml:space="preserve">Influenced </w:t>
      </w:r>
      <w:r w:rsidRPr="2F1055DC">
        <w:rPr>
          <w:sz w:val="30"/>
          <w:szCs w:val="30"/>
        </w:rPr>
        <w:t>Vehicles</w:t>
      </w:r>
      <w:bookmarkEnd w:id="30"/>
    </w:p>
    <w:p w14:paraId="362BEE7F" w14:textId="0AD57272" w:rsidR="00717CE8" w:rsidRPr="00373C6D" w:rsidRDefault="734B55F6" w:rsidP="007102DB">
      <w:pPr>
        <w:rPr>
          <w:rFonts w:eastAsia="Arial Unicode MS"/>
        </w:rPr>
      </w:pPr>
      <w:r>
        <w:t xml:space="preserve">Using the </w:t>
      </w:r>
      <w:r w:rsidR="67180876">
        <w:t xml:space="preserve">case-specific </w:t>
      </w:r>
      <w:r>
        <w:t xml:space="preserve">metrics of rebate influence defined in the </w:t>
      </w:r>
      <w:r w:rsidR="00F24009">
        <w:t xml:space="preserve">Methodology </w:t>
      </w:r>
      <w:r>
        <w:t xml:space="preserve">section, </w:t>
      </w:r>
      <w:r w:rsidR="007619D9">
        <w:t>90</w:t>
      </w:r>
      <w:r w:rsidR="00393B47" w:rsidRPr="002C2609">
        <w:t xml:space="preserve">% of the </w:t>
      </w:r>
      <w:r w:rsidR="00393B47">
        <w:t xml:space="preserve">total GHG </w:t>
      </w:r>
      <w:r w:rsidR="00393B47" w:rsidRPr="002C2609">
        <w:t>reductions</w:t>
      </w:r>
      <w:r w:rsidR="002507AF">
        <w:t xml:space="preserve"> </w:t>
      </w:r>
      <w:r w:rsidR="00C90F40">
        <w:t>over 100k mi</w:t>
      </w:r>
      <w:r w:rsidR="004E67B4">
        <w:t>les</w:t>
      </w:r>
      <w:r w:rsidR="00F9409E">
        <w:t xml:space="preserve"> of driving</w:t>
      </w:r>
      <w:r w:rsidR="00C90F40">
        <w:t xml:space="preserve"> </w:t>
      </w:r>
      <w:r w:rsidR="002507AF">
        <w:t>(</w:t>
      </w:r>
      <w:r w:rsidR="00D35B59">
        <w:t>13.9</w:t>
      </w:r>
      <w:r w:rsidR="004669E2">
        <w:t>M tons</w:t>
      </w:r>
      <w:r w:rsidR="002507AF">
        <w:t>)</w:t>
      </w:r>
      <w:r w:rsidR="00393B47" w:rsidRPr="002C2609">
        <w:t xml:space="preserve"> are associated with </w:t>
      </w:r>
      <w:r w:rsidR="00393B47">
        <w:t>“</w:t>
      </w:r>
      <w:r w:rsidR="00393B47" w:rsidRPr="7EFE98F3">
        <w:rPr>
          <w:i/>
          <w:iCs/>
        </w:rPr>
        <w:t>Rebate-</w:t>
      </w:r>
      <w:r w:rsidR="00393B47">
        <w:rPr>
          <w:i/>
          <w:iCs/>
        </w:rPr>
        <w:t>Important</w:t>
      </w:r>
      <w:r w:rsidR="00393B47" w:rsidRPr="7EFE98F3">
        <w:rPr>
          <w:i/>
          <w:iCs/>
        </w:rPr>
        <w:t>”</w:t>
      </w:r>
      <w:r w:rsidR="00393B47" w:rsidRPr="002C2609">
        <w:t xml:space="preserve"> participants</w:t>
      </w:r>
      <w:r w:rsidR="00393B47" w:rsidDel="007070D8">
        <w:t xml:space="preserve"> </w:t>
      </w:r>
      <w:r w:rsidR="00393B47">
        <w:t xml:space="preserve">and </w:t>
      </w:r>
      <w:r w:rsidR="007619D9">
        <w:t>50</w:t>
      </w:r>
      <w:r w:rsidRPr="002C2609">
        <w:t xml:space="preserve">% </w:t>
      </w:r>
      <w:r w:rsidR="000A2D21">
        <w:t>(</w:t>
      </w:r>
      <w:r w:rsidR="004304DE">
        <w:t>7.7</w:t>
      </w:r>
      <w:r w:rsidR="009F6624">
        <w:t>M tons</w:t>
      </w:r>
      <w:r w:rsidR="000A2D21">
        <w:t xml:space="preserve">) </w:t>
      </w:r>
      <w:r w:rsidRPr="002C2609">
        <w:t xml:space="preserve">are associated with </w:t>
      </w:r>
      <w:r>
        <w:t>“</w:t>
      </w:r>
      <w:r w:rsidRPr="7EFE98F3">
        <w:rPr>
          <w:i/>
          <w:iCs/>
        </w:rPr>
        <w:t>Rebate-Essential”</w:t>
      </w:r>
      <w:r w:rsidRPr="002C2609">
        <w:t xml:space="preserve"> participants</w:t>
      </w:r>
      <w:r w:rsidR="005F3D68">
        <w:t xml:space="preserve"> (</w:t>
      </w:r>
      <w:r w:rsidR="0023364B" w:rsidRPr="00353B5A">
        <w:t xml:space="preserve">Figure </w:t>
      </w:r>
      <w:r w:rsidR="0023364B">
        <w:rPr>
          <w:noProof/>
        </w:rPr>
        <w:t>5</w:t>
      </w:r>
      <w:r w:rsidR="005F3D68">
        <w:t>)</w:t>
      </w:r>
      <w:r>
        <w:t xml:space="preserve">. </w:t>
      </w:r>
      <w:r w:rsidR="000B07DB">
        <w:t xml:space="preserve">Across </w:t>
      </w:r>
      <w:r>
        <w:t>vehicle technology type and rebate type</w:t>
      </w:r>
      <w:r w:rsidR="000B07DB">
        <w:t xml:space="preserve">, </w:t>
      </w:r>
      <w:r w:rsidR="000B07DB" w:rsidRPr="00C80A25">
        <w:rPr>
          <w:i/>
          <w:iCs/>
        </w:rPr>
        <w:t xml:space="preserve">Rebate </w:t>
      </w:r>
      <w:r w:rsidR="00C80A25" w:rsidRPr="00C80A25">
        <w:rPr>
          <w:i/>
          <w:iCs/>
        </w:rPr>
        <w:t>Important</w:t>
      </w:r>
      <w:r w:rsidR="000B07DB">
        <w:t xml:space="preserve"> reductions were relatively </w:t>
      </w:r>
      <w:r w:rsidR="000B226A">
        <w:t>similar</w:t>
      </w:r>
      <w:r w:rsidR="001E0AC0">
        <w:t>,</w:t>
      </w:r>
      <w:r w:rsidR="000B07DB">
        <w:t xml:space="preserve"> while </w:t>
      </w:r>
      <w:r w:rsidR="001E0AC0" w:rsidRPr="00C80A25">
        <w:rPr>
          <w:i/>
          <w:iCs/>
        </w:rPr>
        <w:t>Rebate Essential</w:t>
      </w:r>
      <w:r w:rsidR="001E0AC0">
        <w:t xml:space="preserve"> reductions varied</w:t>
      </w:r>
      <w:r>
        <w:t xml:space="preserve">. </w:t>
      </w:r>
      <w:r w:rsidR="007C349B" w:rsidRPr="00C80A25">
        <w:rPr>
          <w:i/>
          <w:iCs/>
        </w:rPr>
        <w:t>Rebate Important</w:t>
      </w:r>
      <w:r w:rsidR="007C349B">
        <w:t xml:space="preserve"> reductions ranged from </w:t>
      </w:r>
      <w:r w:rsidR="000D3A92">
        <w:t xml:space="preserve">88% of </w:t>
      </w:r>
      <w:r w:rsidR="00B0571A">
        <w:t xml:space="preserve">all PHEV </w:t>
      </w:r>
      <w:r w:rsidR="000D3A92">
        <w:t xml:space="preserve">reductions to </w:t>
      </w:r>
      <w:r w:rsidR="00B0571A">
        <w:t xml:space="preserve">94% of all FCEV reductions and from </w:t>
      </w:r>
      <w:r w:rsidR="006644AC">
        <w:t>89% of Standard Rebate reductions to 95</w:t>
      </w:r>
      <w:r w:rsidR="007C349B">
        <w:t xml:space="preserve">% </w:t>
      </w:r>
      <w:r w:rsidR="006644AC">
        <w:t xml:space="preserve">of Increased Rebate </w:t>
      </w:r>
      <w:r w:rsidR="00EE6869">
        <w:t>reductions</w:t>
      </w:r>
      <w:r w:rsidR="006644AC">
        <w:t xml:space="preserve">. </w:t>
      </w:r>
      <w:r w:rsidR="00FA4F0C">
        <w:t xml:space="preserve">Across technologies, </w:t>
      </w:r>
      <w:r w:rsidR="00EE6869" w:rsidRPr="0078253F">
        <w:rPr>
          <w:i/>
          <w:iCs/>
        </w:rPr>
        <w:t>Rebate Essential</w:t>
      </w:r>
      <w:r w:rsidR="00EE6869">
        <w:t xml:space="preserve"> reductions composed</w:t>
      </w:r>
      <w:r>
        <w:t xml:space="preserve"> </w:t>
      </w:r>
      <w:r w:rsidR="00370D8D">
        <w:t>46</w:t>
      </w:r>
      <w:r>
        <w:t xml:space="preserve">% of PHEV, </w:t>
      </w:r>
      <w:r w:rsidR="005D29BA">
        <w:t>50</w:t>
      </w:r>
      <w:r>
        <w:t xml:space="preserve">% of BEV, and </w:t>
      </w:r>
      <w:r w:rsidR="005D29BA">
        <w:t>71</w:t>
      </w:r>
      <w:r>
        <w:t>% of FCEV reductions.</w:t>
      </w:r>
      <w:r w:rsidR="00FA4F0C">
        <w:t xml:space="preserve"> By rebate type,</w:t>
      </w:r>
      <w:r>
        <w:t xml:space="preserve"> </w:t>
      </w:r>
      <w:r w:rsidR="00FA4F0C">
        <w:t>a</w:t>
      </w:r>
      <w:r>
        <w:t xml:space="preserve">pproximately </w:t>
      </w:r>
      <w:r w:rsidR="0078253F">
        <w:t>48</w:t>
      </w:r>
      <w:r>
        <w:t xml:space="preserve">% of Standard Rebate reductions and </w:t>
      </w:r>
      <w:r w:rsidR="0078253F">
        <w:t>65</w:t>
      </w:r>
      <w:r>
        <w:t xml:space="preserve">% of Increased Rebate reductions were </w:t>
      </w:r>
      <w:r w:rsidRPr="7EFE98F3">
        <w:rPr>
          <w:i/>
          <w:iCs/>
        </w:rPr>
        <w:t>Rebate</w:t>
      </w:r>
      <w:r w:rsidR="0032460D">
        <w:rPr>
          <w:i/>
          <w:iCs/>
        </w:rPr>
        <w:t xml:space="preserve"> </w:t>
      </w:r>
      <w:r w:rsidRPr="7EFE98F3">
        <w:rPr>
          <w:i/>
          <w:iCs/>
        </w:rPr>
        <w:t>Essential</w:t>
      </w:r>
      <w:r>
        <w:t>.</w:t>
      </w:r>
      <w:r w:rsidR="00C43ACD">
        <w:t xml:space="preserve"> </w:t>
      </w:r>
      <w:r w:rsidR="0072684F">
        <w:t>C</w:t>
      </w:r>
      <w:r w:rsidR="376A1F13">
        <w:t xml:space="preserve">hanges </w:t>
      </w:r>
      <w:r w:rsidR="64BA327F">
        <w:t>in</w:t>
      </w:r>
      <w:r w:rsidRPr="7EFE98F3">
        <w:rPr>
          <w:i/>
        </w:rPr>
        <w:t xml:space="preserve"> </w:t>
      </w:r>
      <w:r w:rsidR="278AF95D">
        <w:t xml:space="preserve">rebate influence </w:t>
      </w:r>
      <w:r w:rsidR="456A0C13">
        <w:t xml:space="preserve">over time </w:t>
      </w:r>
      <w:r w:rsidR="64BA327F">
        <w:t xml:space="preserve">are discussed in </w:t>
      </w:r>
      <w:r w:rsidR="00CF140B" w:rsidRPr="00CF140B">
        <w:rPr>
          <w:rFonts w:cs="Calibri"/>
        </w:rPr>
        <w:t>(B. D. H. Williams &amp; Pallonetti, 2023)</w:t>
      </w:r>
      <w:r w:rsidR="00B201CB">
        <w:t xml:space="preserve"> </w:t>
      </w:r>
      <w:r w:rsidR="001A6834">
        <w:t xml:space="preserve">and will be </w:t>
      </w:r>
      <w:r w:rsidR="008F6307">
        <w:t xml:space="preserve">explored further </w:t>
      </w:r>
      <w:r w:rsidR="00D057D3">
        <w:rPr>
          <w:rStyle w:val="Bold"/>
          <w:b w:val="0"/>
          <w:bCs w:val="0"/>
        </w:rPr>
        <w:t>in another retrospective report focused on CVRP rebate influence</w:t>
      </w:r>
      <w:r w:rsidR="00373C6D">
        <w:t>.</w:t>
      </w:r>
    </w:p>
    <w:p w14:paraId="6A4F6D0C" w14:textId="5934117B" w:rsidR="005F3D68" w:rsidRPr="00B90CFD" w:rsidRDefault="005F3D68" w:rsidP="005F3D68">
      <w:pPr>
        <w:pStyle w:val="TableFigureNumber0"/>
        <w:keepNext/>
        <w:rPr>
          <w:color w:val="0579BD"/>
        </w:rPr>
      </w:pPr>
      <w:bookmarkStart w:id="31" w:name="_Ref216034933"/>
      <w:r w:rsidRPr="00B90CFD">
        <w:rPr>
          <w:color w:val="0579BD"/>
        </w:rPr>
        <w:lastRenderedPageBreak/>
        <w:t xml:space="preserve">Figure </w:t>
      </w:r>
      <w:r w:rsidR="0023364B" w:rsidRPr="00B90CFD">
        <w:rPr>
          <w:noProof/>
          <w:color w:val="0579BD"/>
        </w:rPr>
        <w:t>5</w:t>
      </w:r>
      <w:bookmarkEnd w:id="31"/>
    </w:p>
    <w:p w14:paraId="04174E1D" w14:textId="5E8E527A" w:rsidR="005F3D68" w:rsidRPr="003A15C4" w:rsidRDefault="005F3D68" w:rsidP="005F3D68">
      <w:pPr>
        <w:pStyle w:val="TableFigureheader"/>
        <w:keepNext/>
      </w:pPr>
      <w:r>
        <w:t>Cumulative GHG Reductions by Rebate Influence Over Time</w:t>
      </w:r>
      <w:r w:rsidR="00BE553B">
        <w:t xml:space="preserve"> (100k mi</w:t>
      </w:r>
      <w:r w:rsidR="004E67B4">
        <w:t>les</w:t>
      </w:r>
      <w:r w:rsidR="00BE553B">
        <w:t>)</w:t>
      </w:r>
    </w:p>
    <w:p w14:paraId="0D1C5F77" w14:textId="1191F8ED" w:rsidR="005F3D68" w:rsidRPr="00AD1040" w:rsidRDefault="7A3ADCC9" w:rsidP="005F3D68">
      <w:pPr>
        <w:pStyle w:val="TableFigureSubtitle"/>
      </w:pPr>
      <w:r>
        <w:rPr>
          <w:noProof/>
        </w:rPr>
        <w:drawing>
          <wp:inline distT="0" distB="0" distL="0" distR="0" wp14:anchorId="7CB0EF4C" wp14:editId="2AA6AE86">
            <wp:extent cx="5943600" cy="3562350"/>
            <wp:effectExtent l="0" t="0" r="0" b="0"/>
            <wp:docPr id="1523404269" name="drawing" descr="Chart visualizing the cumulative GHG reductions over time for three groups: all program, rebate important, and rebate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04269" name="drawing" descr="Chart visualizing the cumulative GHG reductions over time for three groups: all program, rebate important, and rebate essential."/>
                    <pic:cNvPicPr/>
                  </pic:nvPicPr>
                  <pic:blipFill>
                    <a:blip r:embed="rId18">
                      <a:extLst>
                        <a:ext uri="{28A0092B-C50C-407E-A947-70E740481C1C}">
                          <a14:useLocalDpi xmlns:a14="http://schemas.microsoft.com/office/drawing/2010/main"/>
                        </a:ext>
                      </a:extLst>
                    </a:blip>
                    <a:stretch>
                      <a:fillRect/>
                    </a:stretch>
                  </pic:blipFill>
                  <pic:spPr>
                    <a:xfrm>
                      <a:off x="0" y="0"/>
                      <a:ext cx="5943600" cy="3562350"/>
                    </a:xfrm>
                    <a:prstGeom prst="rect">
                      <a:avLst/>
                    </a:prstGeom>
                  </pic:spPr>
                </pic:pic>
              </a:graphicData>
            </a:graphic>
          </wp:inline>
        </w:drawing>
      </w:r>
    </w:p>
    <w:p w14:paraId="6CA7D3CE" w14:textId="37AF3A33" w:rsidR="008E0A02" w:rsidRDefault="734B55F6" w:rsidP="007102DB">
      <w:r>
        <w:t xml:space="preserve">When assessing cost-effectiveness based </w:t>
      </w:r>
      <w:r w:rsidR="0037235A">
        <w:t>only</w:t>
      </w:r>
      <w:r>
        <w:t xml:space="preserve"> on </w:t>
      </w:r>
      <w:r w:rsidRPr="73025F1F">
        <w:rPr>
          <w:i/>
          <w:iCs/>
        </w:rPr>
        <w:t>Rebate-Essential</w:t>
      </w:r>
      <w:r>
        <w:t xml:space="preserve"> emission reductions, the average </w:t>
      </w:r>
      <w:r w:rsidR="00CD53DB">
        <w:t xml:space="preserve">cost per ton saved </w:t>
      </w:r>
      <w:r>
        <w:t>increases from $</w:t>
      </w:r>
      <w:r w:rsidR="009B0CD9">
        <w:t>93</w:t>
      </w:r>
      <w:r>
        <w:t xml:space="preserve"> (</w:t>
      </w:r>
      <w:r w:rsidR="0023364B">
        <w:t xml:space="preserve">Table </w:t>
      </w:r>
      <w:r w:rsidR="0023364B">
        <w:rPr>
          <w:noProof/>
        </w:rPr>
        <w:t>5</w:t>
      </w:r>
      <w:r>
        <w:t>) to $</w:t>
      </w:r>
      <w:r w:rsidR="00911C00">
        <w:t>1</w:t>
      </w:r>
      <w:r w:rsidR="00E057E0">
        <w:t>88</w:t>
      </w:r>
      <w:r>
        <w:t xml:space="preserve">. The values </w:t>
      </w:r>
      <w:r w:rsidR="009B2E47">
        <w:t xml:space="preserve">by technology type </w:t>
      </w:r>
      <w:r w:rsidR="00E577FF">
        <w:t xml:space="preserve">average </w:t>
      </w:r>
      <w:r>
        <w:t>$</w:t>
      </w:r>
      <w:r w:rsidR="00B168B1">
        <w:t xml:space="preserve">172 </w:t>
      </w:r>
      <w:r>
        <w:t xml:space="preserve">for </w:t>
      </w:r>
      <w:r w:rsidR="00F83739">
        <w:t>PH</w:t>
      </w:r>
      <w:r w:rsidR="70963609">
        <w:t>EVs</w:t>
      </w:r>
      <w:r w:rsidR="00EE473F">
        <w:t>,</w:t>
      </w:r>
      <w:r w:rsidR="00990146">
        <w:t xml:space="preserve"> </w:t>
      </w:r>
      <w:r w:rsidR="00252619">
        <w:t>$</w:t>
      </w:r>
      <w:r w:rsidR="00B168B1">
        <w:t xml:space="preserve">185 </w:t>
      </w:r>
      <w:r w:rsidR="00252619">
        <w:t xml:space="preserve">for </w:t>
      </w:r>
      <w:r w:rsidR="00F83739">
        <w:t>B</w:t>
      </w:r>
      <w:r w:rsidR="00252619">
        <w:t xml:space="preserve">EVs, </w:t>
      </w:r>
      <w:r w:rsidR="00E577FF">
        <w:t xml:space="preserve">and </w:t>
      </w:r>
      <w:r>
        <w:t>$</w:t>
      </w:r>
      <w:r w:rsidR="00B168B1">
        <w:t xml:space="preserve">410 </w:t>
      </w:r>
      <w:r>
        <w:t>for FCEVs</w:t>
      </w:r>
      <w:r w:rsidR="00CC72CC">
        <w:t xml:space="preserve">. </w:t>
      </w:r>
      <w:r w:rsidR="2CA1AC23" w:rsidRPr="73025F1F">
        <w:rPr>
          <w:i/>
          <w:iCs/>
        </w:rPr>
        <w:t>Rebate-Essential</w:t>
      </w:r>
      <w:r w:rsidR="2CA1AC23">
        <w:t xml:space="preserve"> emission reductions </w:t>
      </w:r>
      <w:r w:rsidR="465C86D6">
        <w:t xml:space="preserve">for </w:t>
      </w:r>
      <w:r w:rsidR="52DDC1BF">
        <w:t xml:space="preserve">BEVs were </w:t>
      </w:r>
      <w:r w:rsidR="00C60A31">
        <w:t xml:space="preserve">similarly </w:t>
      </w:r>
      <w:r w:rsidR="52DDC1BF">
        <w:t xml:space="preserve">cost-effective </w:t>
      </w:r>
      <w:r w:rsidR="00816F07">
        <w:t xml:space="preserve">to </w:t>
      </w:r>
      <w:r w:rsidR="52DDC1BF">
        <w:t>PHEVs</w:t>
      </w:r>
      <w:r w:rsidR="00AD3945">
        <w:t xml:space="preserve">, </w:t>
      </w:r>
      <w:r w:rsidR="00193F18">
        <w:t xml:space="preserve">despite having higher rebate amounts, </w:t>
      </w:r>
      <w:r w:rsidR="00AD3945">
        <w:t xml:space="preserve">due </w:t>
      </w:r>
      <w:r w:rsidR="00956AE6">
        <w:t xml:space="preserve">both </w:t>
      </w:r>
      <w:r w:rsidR="00AD3945">
        <w:t xml:space="preserve">to their higher levels of </w:t>
      </w:r>
      <w:r w:rsidR="00AD3945" w:rsidRPr="00AD3945">
        <w:rPr>
          <w:i/>
          <w:iCs/>
        </w:rPr>
        <w:t>Rebate Essentiality</w:t>
      </w:r>
      <w:r w:rsidR="00956AE6">
        <w:t xml:space="preserve"> </w:t>
      </w:r>
      <w:r w:rsidR="0005174B">
        <w:t>(</w:t>
      </w:r>
      <w:r w:rsidR="0023364B">
        <w:t xml:space="preserve">Table </w:t>
      </w:r>
      <w:r w:rsidR="0023364B">
        <w:rPr>
          <w:noProof/>
        </w:rPr>
        <w:t>3</w:t>
      </w:r>
      <w:r w:rsidR="0005174B">
        <w:t xml:space="preserve">) </w:t>
      </w:r>
      <w:r w:rsidR="00956AE6">
        <w:t>and higher GHG reductions</w:t>
      </w:r>
      <w:r w:rsidR="0005174B">
        <w:t xml:space="preserve"> (</w:t>
      </w:r>
      <w:r w:rsidR="0023364B">
        <w:t xml:space="preserve">Table </w:t>
      </w:r>
      <w:r w:rsidR="0023364B">
        <w:rPr>
          <w:noProof/>
        </w:rPr>
        <w:t>4</w:t>
      </w:r>
      <w:r w:rsidR="0005174B">
        <w:t>)</w:t>
      </w:r>
      <w:r w:rsidR="00327215">
        <w:t>.</w:t>
      </w:r>
      <w:r w:rsidR="00075CAF">
        <w:t xml:space="preserve"> </w:t>
      </w:r>
      <w:r w:rsidR="44A354A0">
        <w:t xml:space="preserve">FCEVs </w:t>
      </w:r>
      <w:r w:rsidR="00EF0E79">
        <w:t xml:space="preserve">remain </w:t>
      </w:r>
      <w:r w:rsidR="44A354A0">
        <w:t>the least cost-effective due to a combination of their higher rebate amounts and lower per-vehicle savings compared to other vehicle types</w:t>
      </w:r>
      <w:r w:rsidR="00DF2BFC">
        <w:t xml:space="preserve">, despite having high levels of </w:t>
      </w:r>
      <w:r w:rsidR="00564B26" w:rsidRPr="00AD3945">
        <w:rPr>
          <w:i/>
          <w:iCs/>
        </w:rPr>
        <w:t>Rebate Essentiality</w:t>
      </w:r>
      <w:r w:rsidR="44A354A0">
        <w:t xml:space="preserve">. </w:t>
      </w:r>
    </w:p>
    <w:p w14:paraId="49996270" w14:textId="495F3963" w:rsidR="002B6D89" w:rsidRDefault="001B4AEC" w:rsidP="002B6D89">
      <w:r>
        <w:t xml:space="preserve">By rebate type, cost-effectiveness of </w:t>
      </w:r>
      <w:r w:rsidRPr="2F1055DC">
        <w:rPr>
          <w:i/>
          <w:iCs/>
        </w:rPr>
        <w:t>Rebate-Essential</w:t>
      </w:r>
      <w:r>
        <w:t xml:space="preserve"> emission reductions </w:t>
      </w:r>
      <w:r w:rsidR="000B61B7">
        <w:t>averaged</w:t>
      </w:r>
      <w:r w:rsidR="00903F8A">
        <w:t xml:space="preserve"> $</w:t>
      </w:r>
      <w:r w:rsidR="00B168B1">
        <w:t xml:space="preserve">166 </w:t>
      </w:r>
      <w:r w:rsidR="00903F8A">
        <w:t xml:space="preserve">for Standard Rebates </w:t>
      </w:r>
      <w:r w:rsidR="000B61B7">
        <w:t>and</w:t>
      </w:r>
      <w:r w:rsidR="00903F8A">
        <w:t xml:space="preserve"> $</w:t>
      </w:r>
      <w:r w:rsidR="00B168B1">
        <w:t xml:space="preserve">299 </w:t>
      </w:r>
      <w:r w:rsidR="00903F8A">
        <w:t>for Increased Rebates</w:t>
      </w:r>
      <w:r w:rsidR="000A042E">
        <w:t xml:space="preserve"> (Figure </w:t>
      </w:r>
      <w:r w:rsidR="000A042E">
        <w:rPr>
          <w:noProof/>
        </w:rPr>
        <w:t>6</w:t>
      </w:r>
      <w:r w:rsidR="000A042E">
        <w:t>)</w:t>
      </w:r>
      <w:r w:rsidR="00903F8A">
        <w:t xml:space="preserve">. </w:t>
      </w:r>
      <w:r w:rsidR="006423E8">
        <w:t>By technology and rebate type, cost-effectiveness ranges from $</w:t>
      </w:r>
      <w:r w:rsidR="001C139D">
        <w:t xml:space="preserve">159 </w:t>
      </w:r>
      <w:r w:rsidR="006423E8">
        <w:t>for PHEV Standard Rebates to $</w:t>
      </w:r>
      <w:r w:rsidR="001C139D">
        <w:t xml:space="preserve">546 </w:t>
      </w:r>
      <w:r w:rsidR="006423E8">
        <w:t xml:space="preserve">for FCEV Increased Rebates. </w:t>
      </w:r>
      <w:r w:rsidR="00903F8A">
        <w:t>S</w:t>
      </w:r>
      <w:r w:rsidR="734B55F6">
        <w:t xml:space="preserve">ince the groups with higher rebate amounts like FCEVs and Increased Rebates were associated with higher </w:t>
      </w:r>
      <w:r w:rsidR="734B55F6" w:rsidRPr="2F1055DC">
        <w:rPr>
          <w:i/>
          <w:iCs/>
        </w:rPr>
        <w:t>Rebate Essentiality</w:t>
      </w:r>
      <w:r w:rsidR="734B55F6">
        <w:t xml:space="preserve">, the cost-effectiveness gap between these groups and the lower-rebate groups (i.e., non-FCEVs and Standard Rebates) narrows when assessing </w:t>
      </w:r>
      <w:r w:rsidR="734B55F6" w:rsidRPr="2F1055DC">
        <w:rPr>
          <w:i/>
          <w:iCs/>
        </w:rPr>
        <w:t xml:space="preserve">Rebate-Essential </w:t>
      </w:r>
      <w:r w:rsidR="734B55F6">
        <w:t xml:space="preserve">reductions. These findings </w:t>
      </w:r>
      <w:r w:rsidR="00751812">
        <w:t xml:space="preserve">by technology and rebate type </w:t>
      </w:r>
      <w:r w:rsidR="734B55F6">
        <w:t xml:space="preserve">are displayed in </w:t>
      </w:r>
      <w:r w:rsidR="0023364B">
        <w:t xml:space="preserve">Figure </w:t>
      </w:r>
      <w:r w:rsidR="0023364B">
        <w:rPr>
          <w:noProof/>
        </w:rPr>
        <w:t>6</w:t>
      </w:r>
      <w:r w:rsidR="48369B38">
        <w:t xml:space="preserve"> </w:t>
      </w:r>
      <w:r w:rsidR="007033BC">
        <w:t>(separately</w:t>
      </w:r>
      <w:r w:rsidR="00A133D6">
        <w:t>)</w:t>
      </w:r>
      <w:r w:rsidR="007B1DA8" w:rsidRPr="007B1DA8">
        <w:t xml:space="preserve"> </w:t>
      </w:r>
      <w:r w:rsidR="007B1DA8">
        <w:t xml:space="preserve">and Table </w:t>
      </w:r>
      <w:r w:rsidR="007B1DA8">
        <w:rPr>
          <w:noProof/>
        </w:rPr>
        <w:t>5</w:t>
      </w:r>
      <w:r w:rsidR="007B1DA8">
        <w:t xml:space="preserve"> (combined)</w:t>
      </w:r>
      <w:r w:rsidR="002B6D89">
        <w:t xml:space="preserve"> </w:t>
      </w:r>
      <w:r w:rsidR="00A133D6">
        <w:t xml:space="preserve">along with the cost-effectiveness of </w:t>
      </w:r>
      <w:r w:rsidR="00A133D6" w:rsidRPr="2F1055DC">
        <w:rPr>
          <w:i/>
          <w:iCs/>
        </w:rPr>
        <w:t>Rebate-Important</w:t>
      </w:r>
      <w:r w:rsidR="00A133D6">
        <w:t xml:space="preserve"> reductions for additional context.</w:t>
      </w:r>
    </w:p>
    <w:p w14:paraId="41BA26F1" w14:textId="6E93C8CB" w:rsidR="003218D6" w:rsidRPr="00B90CFD" w:rsidRDefault="003218D6" w:rsidP="004112D2">
      <w:pPr>
        <w:pStyle w:val="TableFigureNumber0"/>
        <w:keepNext/>
        <w:rPr>
          <w:color w:val="0579BD"/>
        </w:rPr>
      </w:pPr>
      <w:bookmarkStart w:id="32" w:name="_Ref216034328"/>
      <w:r w:rsidRPr="00B90CFD">
        <w:rPr>
          <w:color w:val="0579BD"/>
        </w:rPr>
        <w:lastRenderedPageBreak/>
        <w:t xml:space="preserve">Figure </w:t>
      </w:r>
      <w:r w:rsidR="0023364B" w:rsidRPr="00B90CFD">
        <w:rPr>
          <w:noProof/>
          <w:color w:val="0579BD"/>
        </w:rPr>
        <w:t>6</w:t>
      </w:r>
      <w:bookmarkEnd w:id="32"/>
    </w:p>
    <w:p w14:paraId="7463439D" w14:textId="42E40C56" w:rsidR="007102DB" w:rsidRPr="003A15C4" w:rsidRDefault="2EB8910C" w:rsidP="187DA56C">
      <w:pPr>
        <w:pStyle w:val="TableFigureheader"/>
        <w:keepNext/>
      </w:pPr>
      <w:r>
        <w:t>Cost-Effectiveness by Rebate Influence</w:t>
      </w:r>
    </w:p>
    <w:p w14:paraId="52F3AE7A" w14:textId="1AF827E1" w:rsidR="00967D2C" w:rsidRDefault="00967D2C" w:rsidP="00967D2C">
      <w:pPr>
        <w:pStyle w:val="TableFigureSubtitle"/>
      </w:pPr>
      <w:r>
        <w:t>New Gasoline Vehicle Baseline</w:t>
      </w:r>
      <w:r w:rsidRPr="7ACA0E52">
        <w:t>, 100k mi</w:t>
      </w:r>
      <w:r w:rsidR="004E67B4">
        <w:t>les</w:t>
      </w:r>
      <w:r w:rsidRPr="7ACA0E52">
        <w:t xml:space="preserve"> </w:t>
      </w:r>
    </w:p>
    <w:p w14:paraId="07872178" w14:textId="7C8DD66A" w:rsidR="007102DB" w:rsidRPr="003A15C4" w:rsidRDefault="2EB8910C" w:rsidP="7ACA0E52">
      <w:pPr>
        <w:pStyle w:val="Body"/>
        <w:keepNext/>
        <w:spacing w:before="80" w:after="80"/>
        <w:rPr>
          <w:i/>
          <w:sz w:val="18"/>
          <w:szCs w:val="18"/>
        </w:rPr>
      </w:pPr>
      <w:r w:rsidRPr="7ACA0E52">
        <w:rPr>
          <w:i/>
          <w:iCs/>
          <w:sz w:val="18"/>
          <w:szCs w:val="18"/>
        </w:rPr>
        <w:t>Rebate dollars per ton</w:t>
      </w:r>
      <w:r w:rsidR="0F78FAC7" w:rsidRPr="7ACA0E52">
        <w:rPr>
          <w:i/>
          <w:iCs/>
          <w:sz w:val="18"/>
          <w:szCs w:val="18"/>
        </w:rPr>
        <w:t xml:space="preserve"> of </w:t>
      </w:r>
      <w:r w:rsidRPr="7ACA0E52">
        <w:rPr>
          <w:i/>
          <w:iCs/>
          <w:sz w:val="18"/>
          <w:szCs w:val="18"/>
        </w:rPr>
        <w:t xml:space="preserve">GHG </w:t>
      </w:r>
      <w:r w:rsidR="0F78FAC7" w:rsidRPr="7ACA0E52">
        <w:rPr>
          <w:i/>
          <w:iCs/>
          <w:sz w:val="18"/>
          <w:szCs w:val="18"/>
        </w:rPr>
        <w:t xml:space="preserve">emissions </w:t>
      </w:r>
      <w:r w:rsidRPr="7ACA0E52">
        <w:rPr>
          <w:i/>
          <w:iCs/>
          <w:sz w:val="18"/>
          <w:szCs w:val="18"/>
        </w:rPr>
        <w:t>reduced</w:t>
      </w:r>
    </w:p>
    <w:p w14:paraId="661BB595" w14:textId="11E03790" w:rsidR="007102DB" w:rsidRDefault="00D00368" w:rsidP="007102DB">
      <w:pPr>
        <w:pStyle w:val="CVText"/>
      </w:pPr>
      <w:r>
        <w:rPr>
          <w:noProof/>
        </w:rPr>
        <w:drawing>
          <wp:inline distT="0" distB="0" distL="0" distR="0" wp14:anchorId="37D6444A" wp14:editId="7D250165">
            <wp:extent cx="5800677" cy="2420391"/>
            <wp:effectExtent l="0" t="0" r="0" b="0"/>
            <wp:docPr id="666640227" name="Picture 6" descr="Bar chart displaying cost-effectiveness of GHG emission reductions by rebate influence level, clustered by vehicle and rebate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40227" name="Picture 6" descr="Bar chart displaying cost-effectiveness of GHG emission reductions by rebate influence level, clustered by vehicle and rebate types. "/>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5800677" cy="2420391"/>
                    </a:xfrm>
                    <a:prstGeom prst="rect">
                      <a:avLst/>
                    </a:prstGeom>
                  </pic:spPr>
                </pic:pic>
              </a:graphicData>
            </a:graphic>
          </wp:inline>
        </w:drawing>
      </w:r>
    </w:p>
    <w:p w14:paraId="7EA83824" w14:textId="77777777" w:rsidR="00F740EF" w:rsidRPr="003A15C4" w:rsidRDefault="00F740EF" w:rsidP="007102DB">
      <w:pPr>
        <w:pStyle w:val="SummaryofResults"/>
        <w:rPr>
          <w:lang w:val="en-US"/>
        </w:rPr>
      </w:pPr>
    </w:p>
    <w:p w14:paraId="26E8C167" w14:textId="11E0B63E" w:rsidR="00525025" w:rsidRPr="00B90CFD" w:rsidRDefault="00032B57" w:rsidP="00032B57">
      <w:pPr>
        <w:pStyle w:val="TableFigureNumber0"/>
        <w:rPr>
          <w:b/>
          <w:bCs/>
          <w:color w:val="0579BD"/>
        </w:rPr>
      </w:pPr>
      <w:bookmarkStart w:id="33" w:name="_Ref216034278"/>
      <w:r w:rsidRPr="00B90CFD">
        <w:rPr>
          <w:color w:val="0579BD"/>
        </w:rPr>
        <w:t xml:space="preserve">Table </w:t>
      </w:r>
      <w:r w:rsidR="0023364B" w:rsidRPr="00B90CFD">
        <w:rPr>
          <w:noProof/>
          <w:color w:val="0579BD"/>
        </w:rPr>
        <w:t>5</w:t>
      </w:r>
      <w:bookmarkEnd w:id="33"/>
    </w:p>
    <w:p w14:paraId="4A504B35" w14:textId="7E8319E3" w:rsidR="00525025" w:rsidRPr="003A15C4" w:rsidRDefault="3BE6A58C" w:rsidP="187DA56C">
      <w:pPr>
        <w:pStyle w:val="TableFigureheader"/>
      </w:pPr>
      <w:r>
        <w:t xml:space="preserve">GHG Reduction Cost-Effectiveness Estimates by </w:t>
      </w:r>
      <w:r w:rsidR="73537E0B">
        <w:t>Tec</w:t>
      </w:r>
      <w:r w:rsidR="1DFE8B9F">
        <w:t xml:space="preserve">hnology </w:t>
      </w:r>
      <w:r w:rsidR="00811AA4">
        <w:t>and</w:t>
      </w:r>
      <w:r w:rsidR="1DFE8B9F">
        <w:t xml:space="preserve"> Rebate Type</w:t>
      </w:r>
    </w:p>
    <w:p w14:paraId="7AE7D68C" w14:textId="06ADAF7B" w:rsidR="00525025" w:rsidRDefault="3BE6A58C" w:rsidP="00525025">
      <w:pPr>
        <w:pStyle w:val="TableFigureSubtitle"/>
      </w:pPr>
      <w:r>
        <w:t>All</w:t>
      </w:r>
      <w:r w:rsidR="0512DA2D">
        <w:t xml:space="preserve"> </w:t>
      </w:r>
      <w:r w:rsidR="00826E31">
        <w:t>and</w:t>
      </w:r>
      <w:r w:rsidR="00376B74">
        <w:t xml:space="preserve"> Rebate-Influenced </w:t>
      </w:r>
      <w:r w:rsidR="00237D33">
        <w:t>Reductions</w:t>
      </w:r>
      <w:r w:rsidR="002D6C5D">
        <w:t xml:space="preserve"> </w:t>
      </w:r>
      <w:r w:rsidR="00B24DFE">
        <w:t>(</w:t>
      </w:r>
      <w:r w:rsidR="002D6C5D">
        <w:t xml:space="preserve">New Gasoline </w:t>
      </w:r>
      <w:r w:rsidR="00372DDC">
        <w:t xml:space="preserve">Vehicle </w:t>
      </w:r>
      <w:r w:rsidR="002D6C5D">
        <w:t>Baseline</w:t>
      </w:r>
      <w:r w:rsidR="00B24DFE">
        <w:t>)</w:t>
      </w:r>
    </w:p>
    <w:tbl>
      <w:tblPr>
        <w:tblpPr w:leftFromText="187" w:rightFromText="187" w:topFromText="29" w:bottomFromText="29" w:vertAnchor="text" w:horzAnchor="margin" w:tblpY="59"/>
        <w:tblW w:w="96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1706"/>
        <w:gridCol w:w="1152"/>
        <w:gridCol w:w="2232"/>
        <w:gridCol w:w="2318"/>
        <w:gridCol w:w="2232"/>
      </w:tblGrid>
      <w:tr w:rsidR="005C188D" w:rsidRPr="003A15C4" w14:paraId="477C311A" w14:textId="77777777" w:rsidTr="005C188D">
        <w:trPr>
          <w:trHeight w:val="260"/>
        </w:trPr>
        <w:tc>
          <w:tcPr>
            <w:tcW w:w="1706" w:type="dxa"/>
            <w:shd w:val="clear" w:color="auto" w:fill="3C3A4C"/>
            <w:tcMar>
              <w:top w:w="80" w:type="dxa"/>
              <w:left w:w="80" w:type="dxa"/>
              <w:bottom w:w="80" w:type="dxa"/>
              <w:right w:w="80" w:type="dxa"/>
            </w:tcMar>
            <w:vAlign w:val="center"/>
          </w:tcPr>
          <w:p w14:paraId="7D7A0648" w14:textId="3AF276E7" w:rsidR="005C188D" w:rsidRPr="003A15C4" w:rsidRDefault="005C188D" w:rsidP="005C188D">
            <w:pPr>
              <w:pStyle w:val="Body"/>
              <w:spacing w:after="0" w:line="240" w:lineRule="auto"/>
              <w:rPr>
                <w:sz w:val="20"/>
                <w:szCs w:val="20"/>
              </w:rPr>
            </w:pPr>
            <w:r w:rsidRPr="7ACA0E52">
              <w:rPr>
                <w:b/>
                <w:bCs/>
                <w:color w:val="FFFFFF" w:themeColor="background1"/>
                <w:sz w:val="20"/>
                <w:szCs w:val="20"/>
              </w:rPr>
              <w:t xml:space="preserve">Technology </w:t>
            </w:r>
            <w:r>
              <w:rPr>
                <w:b/>
                <w:bCs/>
                <w:color w:val="FFFFFF" w:themeColor="background1"/>
                <w:sz w:val="20"/>
                <w:szCs w:val="20"/>
              </w:rPr>
              <w:t>and</w:t>
            </w:r>
            <w:r w:rsidRPr="7ACA0E52">
              <w:rPr>
                <w:b/>
                <w:bCs/>
                <w:color w:val="FFFFFF" w:themeColor="background1"/>
                <w:sz w:val="20"/>
                <w:szCs w:val="20"/>
              </w:rPr>
              <w:t xml:space="preserve"> Rebate Type</w:t>
            </w:r>
          </w:p>
        </w:tc>
        <w:tc>
          <w:tcPr>
            <w:tcW w:w="1152" w:type="dxa"/>
            <w:shd w:val="clear" w:color="auto" w:fill="3C3A4C"/>
            <w:tcMar>
              <w:top w:w="80" w:type="dxa"/>
              <w:left w:w="80" w:type="dxa"/>
              <w:bottom w:w="80" w:type="dxa"/>
              <w:right w:w="80" w:type="dxa"/>
            </w:tcMar>
            <w:vAlign w:val="center"/>
          </w:tcPr>
          <w:p w14:paraId="5BAB5858" w14:textId="77777777" w:rsidR="005C188D" w:rsidRDefault="005C188D" w:rsidP="005C188D">
            <w:pPr>
              <w:pStyle w:val="Body"/>
              <w:spacing w:after="0" w:line="240" w:lineRule="auto"/>
              <w:jc w:val="center"/>
              <w:rPr>
                <w:b/>
                <w:bCs/>
                <w:color w:val="FFFFFF"/>
                <w:sz w:val="20"/>
                <w:szCs w:val="20"/>
              </w:rPr>
            </w:pPr>
            <w:r w:rsidRPr="7ACA0E52">
              <w:rPr>
                <w:b/>
                <w:bCs/>
                <w:color w:val="FFFFFF" w:themeColor="background1"/>
                <w:sz w:val="20"/>
                <w:szCs w:val="20"/>
              </w:rPr>
              <w:t>Total</w:t>
            </w:r>
          </w:p>
          <w:p w14:paraId="0DA1CE12" w14:textId="57690F5F" w:rsidR="005C188D" w:rsidRPr="003A15C4" w:rsidRDefault="005C188D" w:rsidP="005C188D">
            <w:pPr>
              <w:pStyle w:val="Body"/>
              <w:spacing w:after="0" w:line="240" w:lineRule="auto"/>
              <w:jc w:val="center"/>
              <w:rPr>
                <w:sz w:val="20"/>
                <w:szCs w:val="20"/>
              </w:rPr>
            </w:pPr>
            <w:r w:rsidRPr="7ACA0E52">
              <w:rPr>
                <w:b/>
                <w:bCs/>
                <w:color w:val="FFFFFF" w:themeColor="background1"/>
                <w:sz w:val="20"/>
                <w:szCs w:val="20"/>
              </w:rPr>
              <w:t>Vehicles</w:t>
            </w:r>
          </w:p>
        </w:tc>
        <w:tc>
          <w:tcPr>
            <w:tcW w:w="2232" w:type="dxa"/>
            <w:shd w:val="clear" w:color="auto" w:fill="3C3A4C"/>
          </w:tcPr>
          <w:p w14:paraId="136B4FB9" w14:textId="77777777" w:rsidR="005C188D" w:rsidRPr="003A15C4" w:rsidRDefault="005C188D" w:rsidP="005C188D">
            <w:pPr>
              <w:pStyle w:val="Body"/>
              <w:spacing w:after="0" w:line="240" w:lineRule="auto"/>
              <w:jc w:val="center"/>
              <w:rPr>
                <w:b/>
                <w:color w:val="FFFFFF"/>
                <w:sz w:val="20"/>
                <w:szCs w:val="20"/>
              </w:rPr>
            </w:pPr>
            <w:r w:rsidRPr="7ACA0E52">
              <w:rPr>
                <w:b/>
                <w:bCs/>
                <w:color w:val="FFFFFF" w:themeColor="background1"/>
                <w:sz w:val="20"/>
                <w:szCs w:val="20"/>
              </w:rPr>
              <w:t xml:space="preserve">Rebate Dollars Per Ton of All GHG Reductions </w:t>
            </w:r>
          </w:p>
          <w:p w14:paraId="16DE351D" w14:textId="2A1EE76E" w:rsidR="005C188D" w:rsidRPr="001C3F44" w:rsidRDefault="005C188D" w:rsidP="005C188D">
            <w:pPr>
              <w:pStyle w:val="Body"/>
              <w:spacing w:after="0" w:line="240" w:lineRule="auto"/>
              <w:jc w:val="center"/>
              <w:rPr>
                <w:b/>
                <w:bCs/>
                <w:color w:val="FFFFFF"/>
                <w:sz w:val="20"/>
                <w:szCs w:val="20"/>
              </w:rPr>
            </w:pPr>
            <w:r w:rsidRPr="7ACA0E52">
              <w:rPr>
                <w:b/>
                <w:bCs/>
                <w:color w:val="FFFFFF" w:themeColor="background1"/>
                <w:sz w:val="20"/>
                <w:szCs w:val="20"/>
              </w:rPr>
              <w:t>(100k mi</w:t>
            </w:r>
            <w:r w:rsidR="004E67B4">
              <w:rPr>
                <w:b/>
                <w:bCs/>
                <w:color w:val="FFFFFF" w:themeColor="background1"/>
                <w:sz w:val="20"/>
                <w:szCs w:val="20"/>
              </w:rPr>
              <w:t>les</w:t>
            </w:r>
            <w:r w:rsidRPr="7ACA0E52">
              <w:rPr>
                <w:b/>
                <w:bCs/>
                <w:color w:val="FFFFFF" w:themeColor="background1"/>
                <w:sz w:val="20"/>
                <w:szCs w:val="20"/>
              </w:rPr>
              <w:t>)</w:t>
            </w:r>
          </w:p>
        </w:tc>
        <w:tc>
          <w:tcPr>
            <w:tcW w:w="2318" w:type="dxa"/>
            <w:shd w:val="clear" w:color="auto" w:fill="3C3A4C"/>
          </w:tcPr>
          <w:p w14:paraId="65A86942" w14:textId="77777777" w:rsidR="005C188D" w:rsidRPr="003A15C4" w:rsidRDefault="005C188D" w:rsidP="005C188D">
            <w:pPr>
              <w:pStyle w:val="Body"/>
              <w:spacing w:after="0" w:line="240" w:lineRule="auto"/>
              <w:jc w:val="center"/>
              <w:rPr>
                <w:b/>
                <w:color w:val="FFFFFF"/>
                <w:sz w:val="20"/>
                <w:szCs w:val="20"/>
              </w:rPr>
            </w:pPr>
            <w:r w:rsidRPr="7ACA0E52">
              <w:rPr>
                <w:b/>
                <w:bCs/>
                <w:color w:val="FFFFFF" w:themeColor="background1"/>
                <w:sz w:val="20"/>
                <w:szCs w:val="20"/>
              </w:rPr>
              <w:t xml:space="preserve">Rebate Dollars Per Ton </w:t>
            </w:r>
          </w:p>
          <w:p w14:paraId="08DAED02" w14:textId="027646EB" w:rsidR="005C188D" w:rsidRPr="003A15C4" w:rsidRDefault="005C188D" w:rsidP="005C188D">
            <w:pPr>
              <w:pStyle w:val="Body"/>
              <w:spacing w:after="0" w:line="240" w:lineRule="auto"/>
              <w:jc w:val="center"/>
              <w:rPr>
                <w:b/>
                <w:color w:val="FFFFFF"/>
                <w:sz w:val="20"/>
                <w:szCs w:val="20"/>
              </w:rPr>
            </w:pPr>
            <w:r w:rsidRPr="7ACA0E52">
              <w:rPr>
                <w:b/>
                <w:bCs/>
                <w:color w:val="FFFFFF" w:themeColor="background1"/>
                <w:sz w:val="20"/>
                <w:szCs w:val="20"/>
              </w:rPr>
              <w:t xml:space="preserve">of </w:t>
            </w:r>
            <w:r w:rsidRPr="7ACA0E52">
              <w:rPr>
                <w:b/>
                <w:bCs/>
                <w:i/>
                <w:iCs/>
                <w:color w:val="FFFFFF" w:themeColor="background1"/>
                <w:sz w:val="20"/>
                <w:szCs w:val="20"/>
              </w:rPr>
              <w:t>Rebate-Important</w:t>
            </w:r>
            <w:r w:rsidRPr="7ACA0E52">
              <w:rPr>
                <w:b/>
                <w:bCs/>
                <w:color w:val="FFFFFF" w:themeColor="background1"/>
                <w:sz w:val="20"/>
                <w:szCs w:val="20"/>
              </w:rPr>
              <w:t xml:space="preserve"> GHG Reductions  (100k mi</w:t>
            </w:r>
            <w:r w:rsidR="004E67B4">
              <w:rPr>
                <w:b/>
                <w:bCs/>
                <w:color w:val="FFFFFF" w:themeColor="background1"/>
                <w:sz w:val="20"/>
                <w:szCs w:val="20"/>
              </w:rPr>
              <w:t>les</w:t>
            </w:r>
            <w:r w:rsidRPr="7ACA0E52">
              <w:rPr>
                <w:b/>
                <w:bCs/>
                <w:color w:val="FFFFFF" w:themeColor="background1"/>
                <w:sz w:val="20"/>
                <w:szCs w:val="20"/>
              </w:rPr>
              <w:t>)</w:t>
            </w:r>
          </w:p>
        </w:tc>
        <w:tc>
          <w:tcPr>
            <w:tcW w:w="2232" w:type="dxa"/>
            <w:shd w:val="clear" w:color="auto" w:fill="3C3A4C"/>
          </w:tcPr>
          <w:p w14:paraId="51C32C02" w14:textId="48BF56AB" w:rsidR="005C188D" w:rsidRPr="003A15C4" w:rsidRDefault="005C188D" w:rsidP="005C188D">
            <w:pPr>
              <w:pStyle w:val="Body"/>
              <w:spacing w:after="0" w:line="240" w:lineRule="auto"/>
              <w:jc w:val="center"/>
              <w:rPr>
                <w:b/>
                <w:color w:val="FFFFFF"/>
                <w:sz w:val="20"/>
                <w:szCs w:val="20"/>
              </w:rPr>
            </w:pPr>
            <w:r w:rsidRPr="7ACA0E52">
              <w:rPr>
                <w:b/>
                <w:bCs/>
                <w:color w:val="FFFFFF" w:themeColor="background1"/>
                <w:sz w:val="20"/>
                <w:szCs w:val="20"/>
              </w:rPr>
              <w:t xml:space="preserve">Rebate Dollars Per Ton of </w:t>
            </w:r>
            <w:r w:rsidRPr="7ACA0E52">
              <w:rPr>
                <w:b/>
                <w:bCs/>
                <w:i/>
                <w:iCs/>
                <w:color w:val="FFFFFF" w:themeColor="background1"/>
                <w:sz w:val="20"/>
                <w:szCs w:val="20"/>
              </w:rPr>
              <w:t>Rebate-Essential</w:t>
            </w:r>
            <w:r w:rsidRPr="7ACA0E52">
              <w:rPr>
                <w:b/>
                <w:bCs/>
                <w:color w:val="FFFFFF" w:themeColor="background1"/>
                <w:sz w:val="20"/>
                <w:szCs w:val="20"/>
              </w:rPr>
              <w:t xml:space="preserve"> GHG Reductions  (100k mi</w:t>
            </w:r>
            <w:r w:rsidR="004E67B4">
              <w:rPr>
                <w:b/>
                <w:bCs/>
                <w:color w:val="FFFFFF" w:themeColor="background1"/>
                <w:sz w:val="20"/>
                <w:szCs w:val="20"/>
              </w:rPr>
              <w:t>les</w:t>
            </w:r>
            <w:r w:rsidRPr="7ACA0E52">
              <w:rPr>
                <w:b/>
                <w:bCs/>
                <w:color w:val="FFFFFF" w:themeColor="background1"/>
                <w:sz w:val="20"/>
                <w:szCs w:val="20"/>
              </w:rPr>
              <w:t>)</w:t>
            </w:r>
          </w:p>
        </w:tc>
      </w:tr>
      <w:tr w:rsidR="00B6084C" w:rsidRPr="001C3F44" w14:paraId="0887D2CF" w14:textId="77777777" w:rsidTr="005C188D">
        <w:trPr>
          <w:trHeight w:val="20"/>
        </w:trPr>
        <w:tc>
          <w:tcPr>
            <w:tcW w:w="1706" w:type="dxa"/>
            <w:tcMar>
              <w:top w:w="80" w:type="dxa"/>
              <w:left w:w="80" w:type="dxa"/>
              <w:bottom w:w="80" w:type="dxa"/>
              <w:right w:w="80" w:type="dxa"/>
            </w:tcMar>
          </w:tcPr>
          <w:p w14:paraId="02748D43" w14:textId="5D4921E8" w:rsidR="00B6084C" w:rsidRPr="00E65889" w:rsidRDefault="00B6084C" w:rsidP="00B6084C">
            <w:pPr>
              <w:pStyle w:val="Body"/>
              <w:spacing w:after="0"/>
              <w:rPr>
                <w:sz w:val="20"/>
                <w:szCs w:val="20"/>
              </w:rPr>
            </w:pPr>
            <w:r w:rsidRPr="7ACA0E52">
              <w:rPr>
                <w:b/>
                <w:bCs/>
                <w:sz w:val="20"/>
                <w:szCs w:val="20"/>
              </w:rPr>
              <w:t>PHEV</w:t>
            </w:r>
            <w:r>
              <w:rPr>
                <w:b/>
                <w:bCs/>
                <w:sz w:val="20"/>
                <w:szCs w:val="20"/>
              </w:rPr>
              <w:t xml:space="preserve">, Standard </w:t>
            </w:r>
          </w:p>
        </w:tc>
        <w:tc>
          <w:tcPr>
            <w:tcW w:w="1152" w:type="dxa"/>
            <w:tcMar>
              <w:top w:w="80" w:type="dxa"/>
              <w:left w:w="80" w:type="dxa"/>
              <w:bottom w:w="80" w:type="dxa"/>
              <w:right w:w="80" w:type="dxa"/>
            </w:tcMar>
            <w:vAlign w:val="center"/>
          </w:tcPr>
          <w:p w14:paraId="4C5BFC82" w14:textId="5627BBCA" w:rsidR="00B6084C" w:rsidRPr="001C3F44" w:rsidRDefault="00B6084C" w:rsidP="00B6084C">
            <w:pPr>
              <w:pStyle w:val="Body"/>
              <w:spacing w:after="0" w:line="240" w:lineRule="auto"/>
              <w:jc w:val="center"/>
              <w:rPr>
                <w:sz w:val="20"/>
                <w:szCs w:val="20"/>
              </w:rPr>
            </w:pPr>
            <w:r w:rsidRPr="7ACA0E52">
              <w:rPr>
                <w:i/>
                <w:iCs/>
                <w:sz w:val="20"/>
                <w:szCs w:val="20"/>
              </w:rPr>
              <w:t>N</w:t>
            </w:r>
            <w:r w:rsidRPr="7ACA0E52">
              <w:rPr>
                <w:sz w:val="20"/>
                <w:szCs w:val="20"/>
              </w:rPr>
              <w:t xml:space="preserve"> = </w:t>
            </w:r>
            <w:r w:rsidR="00B53735" w:rsidRPr="00B53735">
              <w:rPr>
                <w:sz w:val="20"/>
                <w:szCs w:val="20"/>
              </w:rPr>
              <w:t>136,142</w:t>
            </w:r>
          </w:p>
        </w:tc>
        <w:tc>
          <w:tcPr>
            <w:tcW w:w="2232" w:type="dxa"/>
          </w:tcPr>
          <w:p w14:paraId="7FF2F7C5" w14:textId="63226AE8" w:rsidR="00B6084C" w:rsidRDefault="00B6084C" w:rsidP="00B6084C">
            <w:pPr>
              <w:pStyle w:val="Body"/>
              <w:spacing w:after="0" w:line="240" w:lineRule="auto"/>
              <w:jc w:val="center"/>
              <w:rPr>
                <w:sz w:val="20"/>
                <w:szCs w:val="20"/>
              </w:rPr>
            </w:pPr>
            <w:r w:rsidRPr="5C35E5CB">
              <w:rPr>
                <w:sz w:val="20"/>
                <w:szCs w:val="20"/>
              </w:rPr>
              <w:t>$</w:t>
            </w:r>
            <w:r w:rsidR="003D665B">
              <w:rPr>
                <w:sz w:val="20"/>
                <w:szCs w:val="20"/>
              </w:rPr>
              <w:t>70</w:t>
            </w:r>
          </w:p>
        </w:tc>
        <w:tc>
          <w:tcPr>
            <w:tcW w:w="2318" w:type="dxa"/>
          </w:tcPr>
          <w:p w14:paraId="27182AAB" w14:textId="774427A8" w:rsidR="00B6084C" w:rsidRDefault="00B6084C" w:rsidP="00B6084C">
            <w:pPr>
              <w:pStyle w:val="Body"/>
              <w:spacing w:after="0" w:line="240" w:lineRule="auto"/>
              <w:ind w:right="385"/>
              <w:jc w:val="center"/>
              <w:rPr>
                <w:rFonts w:cs="Calibri"/>
                <w:sz w:val="20"/>
                <w:szCs w:val="20"/>
              </w:rPr>
            </w:pPr>
            <w:r w:rsidRPr="7ACA0E52">
              <w:rPr>
                <w:sz w:val="20"/>
                <w:szCs w:val="20"/>
              </w:rPr>
              <w:t>$</w:t>
            </w:r>
            <w:r w:rsidR="004545D7">
              <w:rPr>
                <w:sz w:val="20"/>
                <w:szCs w:val="20"/>
              </w:rPr>
              <w:t>80</w:t>
            </w:r>
          </w:p>
        </w:tc>
        <w:tc>
          <w:tcPr>
            <w:tcW w:w="2232" w:type="dxa"/>
          </w:tcPr>
          <w:p w14:paraId="65299D63" w14:textId="3EC21D63" w:rsidR="00B6084C" w:rsidRPr="001C3F44" w:rsidRDefault="00B6084C" w:rsidP="00B6084C">
            <w:pPr>
              <w:pStyle w:val="Body"/>
              <w:spacing w:after="0" w:line="240" w:lineRule="auto"/>
              <w:ind w:right="385"/>
              <w:jc w:val="center"/>
              <w:rPr>
                <w:sz w:val="20"/>
                <w:szCs w:val="20"/>
              </w:rPr>
            </w:pPr>
            <w:r w:rsidRPr="5C35E5CB">
              <w:rPr>
                <w:sz w:val="20"/>
                <w:szCs w:val="20"/>
              </w:rPr>
              <w:t>$</w:t>
            </w:r>
            <w:r w:rsidR="00327673">
              <w:rPr>
                <w:sz w:val="20"/>
                <w:szCs w:val="20"/>
              </w:rPr>
              <w:t>159</w:t>
            </w:r>
          </w:p>
        </w:tc>
      </w:tr>
      <w:tr w:rsidR="00B6084C" w:rsidRPr="001C3F44" w14:paraId="4767A9C7" w14:textId="77777777" w:rsidTr="005C188D">
        <w:trPr>
          <w:trHeight w:val="20"/>
        </w:trPr>
        <w:tc>
          <w:tcPr>
            <w:tcW w:w="1706" w:type="dxa"/>
            <w:shd w:val="clear" w:color="auto" w:fill="F2F2F2" w:themeFill="background1" w:themeFillShade="F2"/>
            <w:tcMar>
              <w:top w:w="80" w:type="dxa"/>
              <w:left w:w="80" w:type="dxa"/>
              <w:bottom w:w="80" w:type="dxa"/>
              <w:right w:w="80" w:type="dxa"/>
            </w:tcMar>
          </w:tcPr>
          <w:p w14:paraId="5DAEFBA1" w14:textId="46B1CDE6" w:rsidR="00B6084C" w:rsidRPr="00E65889" w:rsidRDefault="00B6084C" w:rsidP="00B6084C">
            <w:pPr>
              <w:pStyle w:val="Body"/>
              <w:spacing w:after="0"/>
              <w:rPr>
                <w:sz w:val="20"/>
                <w:szCs w:val="20"/>
              </w:rPr>
            </w:pPr>
            <w:r w:rsidRPr="7ACA0E52">
              <w:rPr>
                <w:b/>
                <w:bCs/>
                <w:sz w:val="20"/>
                <w:szCs w:val="20"/>
              </w:rPr>
              <w:t>PHEV</w:t>
            </w:r>
            <w:r>
              <w:rPr>
                <w:b/>
                <w:bCs/>
                <w:sz w:val="20"/>
                <w:szCs w:val="20"/>
              </w:rPr>
              <w:t>, Increased</w:t>
            </w:r>
          </w:p>
        </w:tc>
        <w:tc>
          <w:tcPr>
            <w:tcW w:w="1152" w:type="dxa"/>
            <w:shd w:val="clear" w:color="auto" w:fill="F2F2F2" w:themeFill="background1" w:themeFillShade="F2"/>
            <w:tcMar>
              <w:top w:w="80" w:type="dxa"/>
              <w:left w:w="80" w:type="dxa"/>
              <w:bottom w:w="80" w:type="dxa"/>
              <w:right w:w="80" w:type="dxa"/>
            </w:tcMar>
            <w:vAlign w:val="center"/>
          </w:tcPr>
          <w:p w14:paraId="1CF844AE" w14:textId="3873AB51" w:rsidR="00B6084C" w:rsidRPr="001C3F44" w:rsidRDefault="00B6084C" w:rsidP="00B6084C">
            <w:pPr>
              <w:pStyle w:val="Body"/>
              <w:spacing w:after="0" w:line="240" w:lineRule="auto"/>
              <w:jc w:val="center"/>
              <w:rPr>
                <w:sz w:val="20"/>
                <w:szCs w:val="20"/>
              </w:rPr>
            </w:pPr>
            <w:r w:rsidRPr="7ACA0E52">
              <w:rPr>
                <w:i/>
                <w:iCs/>
                <w:sz w:val="20"/>
                <w:szCs w:val="20"/>
              </w:rPr>
              <w:t>N</w:t>
            </w:r>
            <w:r w:rsidRPr="7ACA0E52">
              <w:rPr>
                <w:sz w:val="20"/>
                <w:szCs w:val="20"/>
              </w:rPr>
              <w:t xml:space="preserve"> = </w:t>
            </w:r>
            <w:r>
              <w:rPr>
                <w:sz w:val="20"/>
                <w:szCs w:val="20"/>
              </w:rPr>
              <w:t>12,330</w:t>
            </w:r>
          </w:p>
        </w:tc>
        <w:tc>
          <w:tcPr>
            <w:tcW w:w="2232" w:type="dxa"/>
            <w:shd w:val="clear" w:color="auto" w:fill="F2F2F2" w:themeFill="background1" w:themeFillShade="F2"/>
          </w:tcPr>
          <w:p w14:paraId="7B6F7DFB" w14:textId="34714FFD" w:rsidR="00B6084C" w:rsidDel="00B361EB" w:rsidRDefault="00B6084C" w:rsidP="00B6084C">
            <w:pPr>
              <w:pStyle w:val="Body"/>
              <w:spacing w:after="0" w:line="240" w:lineRule="auto"/>
              <w:jc w:val="center"/>
              <w:rPr>
                <w:sz w:val="20"/>
                <w:szCs w:val="20"/>
              </w:rPr>
            </w:pPr>
            <w:r w:rsidRPr="5C35E5CB">
              <w:rPr>
                <w:sz w:val="20"/>
                <w:szCs w:val="20"/>
              </w:rPr>
              <w:t>$</w:t>
            </w:r>
            <w:r w:rsidR="00250A8A">
              <w:rPr>
                <w:sz w:val="20"/>
                <w:szCs w:val="20"/>
              </w:rPr>
              <w:t>167</w:t>
            </w:r>
          </w:p>
        </w:tc>
        <w:tc>
          <w:tcPr>
            <w:tcW w:w="2318" w:type="dxa"/>
            <w:shd w:val="clear" w:color="auto" w:fill="F2F2F2" w:themeFill="background1" w:themeFillShade="F2"/>
          </w:tcPr>
          <w:p w14:paraId="7F40FDEA" w14:textId="3C4BAD33" w:rsidR="00B6084C" w:rsidDel="00B361EB" w:rsidRDefault="00B6084C" w:rsidP="00B6084C">
            <w:pPr>
              <w:pStyle w:val="Body"/>
              <w:spacing w:after="0" w:line="240" w:lineRule="auto"/>
              <w:ind w:right="385"/>
              <w:jc w:val="center"/>
              <w:rPr>
                <w:rFonts w:cs="Calibri"/>
                <w:sz w:val="20"/>
                <w:szCs w:val="20"/>
              </w:rPr>
            </w:pPr>
            <w:r w:rsidRPr="7ACA0E52">
              <w:rPr>
                <w:sz w:val="20"/>
                <w:szCs w:val="20"/>
              </w:rPr>
              <w:t>$</w:t>
            </w:r>
            <w:r w:rsidR="000E5DA3">
              <w:rPr>
                <w:sz w:val="20"/>
                <w:szCs w:val="20"/>
              </w:rPr>
              <w:t>179</w:t>
            </w:r>
          </w:p>
        </w:tc>
        <w:tc>
          <w:tcPr>
            <w:tcW w:w="2232" w:type="dxa"/>
            <w:shd w:val="clear" w:color="auto" w:fill="F2F2F2" w:themeFill="background1" w:themeFillShade="F2"/>
          </w:tcPr>
          <w:p w14:paraId="7B5A0466" w14:textId="39803A18" w:rsidR="00B6084C" w:rsidRPr="001C3F44" w:rsidRDefault="00B6084C" w:rsidP="00B6084C">
            <w:pPr>
              <w:pStyle w:val="Body"/>
              <w:spacing w:after="0" w:line="240" w:lineRule="auto"/>
              <w:ind w:right="385"/>
              <w:jc w:val="center"/>
              <w:rPr>
                <w:sz w:val="20"/>
                <w:szCs w:val="20"/>
              </w:rPr>
            </w:pPr>
            <w:r w:rsidRPr="5C35E5CB">
              <w:rPr>
                <w:sz w:val="20"/>
                <w:szCs w:val="20"/>
              </w:rPr>
              <w:t>$</w:t>
            </w:r>
            <w:r w:rsidR="00327673">
              <w:rPr>
                <w:sz w:val="20"/>
                <w:szCs w:val="20"/>
              </w:rPr>
              <w:t>267</w:t>
            </w:r>
          </w:p>
        </w:tc>
      </w:tr>
      <w:tr w:rsidR="00B6084C" w:rsidRPr="001C3F44" w14:paraId="1639289C" w14:textId="77777777" w:rsidTr="005C188D">
        <w:trPr>
          <w:trHeight w:val="20"/>
        </w:trPr>
        <w:tc>
          <w:tcPr>
            <w:tcW w:w="1706" w:type="dxa"/>
            <w:tcBorders>
              <w:bottom w:val="single" w:sz="4" w:space="0" w:color="535353" w:themeColor="text2" w:themeShade="80"/>
            </w:tcBorders>
            <w:tcMar>
              <w:top w:w="80" w:type="dxa"/>
              <w:left w:w="80" w:type="dxa"/>
              <w:bottom w:w="80" w:type="dxa"/>
              <w:right w:w="80" w:type="dxa"/>
            </w:tcMar>
          </w:tcPr>
          <w:p w14:paraId="6EE90058" w14:textId="724856B9" w:rsidR="00B6084C" w:rsidRPr="00E65889" w:rsidRDefault="00B6084C" w:rsidP="00B6084C">
            <w:pPr>
              <w:pStyle w:val="Body"/>
              <w:spacing w:after="0"/>
              <w:rPr>
                <w:sz w:val="20"/>
                <w:szCs w:val="20"/>
              </w:rPr>
            </w:pPr>
            <w:r w:rsidRPr="7ACA0E52">
              <w:rPr>
                <w:b/>
                <w:bCs/>
                <w:sz w:val="20"/>
                <w:szCs w:val="20"/>
              </w:rPr>
              <w:t>BEV</w:t>
            </w:r>
            <w:r>
              <w:rPr>
                <w:b/>
                <w:bCs/>
                <w:sz w:val="20"/>
                <w:szCs w:val="20"/>
              </w:rPr>
              <w:t xml:space="preserve">, Standard </w:t>
            </w:r>
          </w:p>
        </w:tc>
        <w:tc>
          <w:tcPr>
            <w:tcW w:w="1152" w:type="dxa"/>
            <w:tcBorders>
              <w:bottom w:val="single" w:sz="4" w:space="0" w:color="535353" w:themeColor="text2" w:themeShade="80"/>
            </w:tcBorders>
            <w:tcMar>
              <w:top w:w="80" w:type="dxa"/>
              <w:left w:w="80" w:type="dxa"/>
              <w:bottom w:w="80" w:type="dxa"/>
              <w:right w:w="80" w:type="dxa"/>
            </w:tcMar>
            <w:vAlign w:val="center"/>
          </w:tcPr>
          <w:p w14:paraId="7BBF33FD" w14:textId="6985192C" w:rsidR="00B6084C" w:rsidRPr="001C3F44" w:rsidRDefault="00B6084C" w:rsidP="00B6084C">
            <w:pPr>
              <w:pStyle w:val="Body"/>
              <w:spacing w:after="0" w:line="240" w:lineRule="auto"/>
              <w:jc w:val="center"/>
              <w:rPr>
                <w:sz w:val="20"/>
                <w:szCs w:val="20"/>
              </w:rPr>
            </w:pPr>
            <w:r w:rsidRPr="7ACA0E52">
              <w:rPr>
                <w:i/>
                <w:iCs/>
                <w:sz w:val="20"/>
                <w:szCs w:val="20"/>
              </w:rPr>
              <w:t>N</w:t>
            </w:r>
            <w:r w:rsidRPr="7ACA0E52">
              <w:rPr>
                <w:sz w:val="20"/>
                <w:szCs w:val="20"/>
              </w:rPr>
              <w:t xml:space="preserve"> = </w:t>
            </w:r>
            <w:r w:rsidR="008D12E2">
              <w:rPr>
                <w:sz w:val="20"/>
                <w:szCs w:val="20"/>
              </w:rPr>
              <w:t>3</w:t>
            </w:r>
            <w:r w:rsidR="00F24207" w:rsidRPr="00F24207">
              <w:rPr>
                <w:sz w:val="20"/>
                <w:szCs w:val="20"/>
              </w:rPr>
              <w:t>53,886</w:t>
            </w:r>
          </w:p>
        </w:tc>
        <w:tc>
          <w:tcPr>
            <w:tcW w:w="2232" w:type="dxa"/>
            <w:tcBorders>
              <w:bottom w:val="single" w:sz="4" w:space="0" w:color="535353" w:themeColor="text2" w:themeShade="80"/>
            </w:tcBorders>
          </w:tcPr>
          <w:p w14:paraId="713A7335" w14:textId="39835379" w:rsidR="00B6084C" w:rsidDel="00B361EB" w:rsidRDefault="00B6084C" w:rsidP="00B6084C">
            <w:pPr>
              <w:pStyle w:val="Body"/>
              <w:spacing w:after="0" w:line="240" w:lineRule="auto"/>
              <w:jc w:val="center"/>
              <w:rPr>
                <w:sz w:val="20"/>
                <w:szCs w:val="20"/>
              </w:rPr>
            </w:pPr>
            <w:r w:rsidRPr="7ACA0E52">
              <w:rPr>
                <w:sz w:val="20"/>
                <w:szCs w:val="20"/>
              </w:rPr>
              <w:t>$</w:t>
            </w:r>
            <w:r w:rsidR="00250A8A">
              <w:rPr>
                <w:sz w:val="20"/>
                <w:szCs w:val="20"/>
              </w:rPr>
              <w:t>77</w:t>
            </w:r>
          </w:p>
        </w:tc>
        <w:tc>
          <w:tcPr>
            <w:tcW w:w="2318" w:type="dxa"/>
            <w:tcBorders>
              <w:bottom w:val="single" w:sz="4" w:space="0" w:color="535353" w:themeColor="text2" w:themeShade="80"/>
            </w:tcBorders>
          </w:tcPr>
          <w:p w14:paraId="6A62B3A9" w14:textId="0BED54CF" w:rsidR="00B6084C" w:rsidDel="00B361EB" w:rsidRDefault="00B6084C" w:rsidP="00B6084C">
            <w:pPr>
              <w:pStyle w:val="Body"/>
              <w:spacing w:after="0" w:line="240" w:lineRule="auto"/>
              <w:ind w:right="385"/>
              <w:jc w:val="center"/>
              <w:rPr>
                <w:sz w:val="20"/>
                <w:szCs w:val="20"/>
              </w:rPr>
            </w:pPr>
            <w:r w:rsidRPr="7ACA0E52">
              <w:rPr>
                <w:sz w:val="20"/>
                <w:szCs w:val="20"/>
              </w:rPr>
              <w:t>$</w:t>
            </w:r>
            <w:r w:rsidR="000E5DA3">
              <w:rPr>
                <w:sz w:val="20"/>
                <w:szCs w:val="20"/>
              </w:rPr>
              <w:t>87</w:t>
            </w:r>
          </w:p>
        </w:tc>
        <w:tc>
          <w:tcPr>
            <w:tcW w:w="2232" w:type="dxa"/>
            <w:tcBorders>
              <w:bottom w:val="single" w:sz="4" w:space="0" w:color="535353" w:themeColor="text2" w:themeShade="80"/>
            </w:tcBorders>
          </w:tcPr>
          <w:p w14:paraId="67933A87" w14:textId="69BDBB6F" w:rsidR="00B6084C" w:rsidRPr="001C3F44" w:rsidRDefault="00B6084C" w:rsidP="00B6084C">
            <w:pPr>
              <w:pStyle w:val="Body"/>
              <w:spacing w:after="0" w:line="240" w:lineRule="auto"/>
              <w:ind w:right="385"/>
              <w:jc w:val="center"/>
              <w:rPr>
                <w:sz w:val="20"/>
                <w:szCs w:val="20"/>
              </w:rPr>
            </w:pPr>
            <w:r w:rsidRPr="7ACA0E52">
              <w:rPr>
                <w:sz w:val="20"/>
                <w:szCs w:val="20"/>
              </w:rPr>
              <w:t>$</w:t>
            </w:r>
            <w:r w:rsidR="00327673">
              <w:rPr>
                <w:sz w:val="20"/>
                <w:szCs w:val="20"/>
              </w:rPr>
              <w:t>162</w:t>
            </w:r>
          </w:p>
        </w:tc>
      </w:tr>
      <w:tr w:rsidR="00B6084C" w:rsidRPr="7ACA0E52" w14:paraId="2146B7DF" w14:textId="77777777" w:rsidTr="005C188D">
        <w:trPr>
          <w:trHeight w:val="20"/>
        </w:trPr>
        <w:tc>
          <w:tcPr>
            <w:tcW w:w="1706" w:type="dxa"/>
            <w:tcBorders>
              <w:bottom w:val="single" w:sz="4" w:space="0" w:color="535353" w:themeColor="text2" w:themeShade="80"/>
            </w:tcBorders>
            <w:shd w:val="clear" w:color="auto" w:fill="F2F2F2" w:themeFill="background1" w:themeFillShade="F2"/>
            <w:tcMar>
              <w:top w:w="80" w:type="dxa"/>
              <w:left w:w="80" w:type="dxa"/>
              <w:bottom w:w="80" w:type="dxa"/>
              <w:right w:w="80" w:type="dxa"/>
            </w:tcMar>
          </w:tcPr>
          <w:p w14:paraId="29D79ACD" w14:textId="3C94EF0A" w:rsidR="00B6084C" w:rsidRPr="7ACA0E52" w:rsidRDefault="00B6084C" w:rsidP="00B6084C">
            <w:pPr>
              <w:pStyle w:val="Body"/>
              <w:spacing w:after="0"/>
              <w:rPr>
                <w:b/>
                <w:bCs/>
                <w:sz w:val="20"/>
                <w:szCs w:val="20"/>
              </w:rPr>
            </w:pPr>
            <w:r>
              <w:rPr>
                <w:b/>
                <w:bCs/>
                <w:sz w:val="20"/>
                <w:szCs w:val="20"/>
              </w:rPr>
              <w:t>B</w:t>
            </w:r>
            <w:r w:rsidRPr="7ACA0E52">
              <w:rPr>
                <w:b/>
                <w:bCs/>
                <w:sz w:val="20"/>
                <w:szCs w:val="20"/>
              </w:rPr>
              <w:t>EV</w:t>
            </w:r>
            <w:r>
              <w:rPr>
                <w:b/>
                <w:bCs/>
                <w:sz w:val="20"/>
                <w:szCs w:val="20"/>
              </w:rPr>
              <w:t>, Increased</w:t>
            </w:r>
          </w:p>
        </w:tc>
        <w:tc>
          <w:tcPr>
            <w:tcW w:w="1152" w:type="dxa"/>
            <w:tcBorders>
              <w:bottom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4F5A71CE" w14:textId="66B19258" w:rsidR="00B6084C" w:rsidRPr="7ACA0E52" w:rsidRDefault="00B6084C" w:rsidP="00B6084C">
            <w:pPr>
              <w:pStyle w:val="Body"/>
              <w:spacing w:after="0" w:line="240" w:lineRule="auto"/>
              <w:jc w:val="center"/>
              <w:rPr>
                <w:i/>
                <w:iCs/>
                <w:sz w:val="20"/>
                <w:szCs w:val="20"/>
              </w:rPr>
            </w:pPr>
            <w:r w:rsidRPr="7ACA0E52">
              <w:rPr>
                <w:i/>
                <w:iCs/>
                <w:sz w:val="20"/>
                <w:szCs w:val="20"/>
              </w:rPr>
              <w:t>N</w:t>
            </w:r>
            <w:r w:rsidRPr="7ACA0E52">
              <w:rPr>
                <w:sz w:val="20"/>
                <w:szCs w:val="20"/>
              </w:rPr>
              <w:t xml:space="preserve"> = </w:t>
            </w:r>
            <w:r>
              <w:rPr>
                <w:sz w:val="20"/>
                <w:szCs w:val="20"/>
              </w:rPr>
              <w:t>54,400</w:t>
            </w:r>
          </w:p>
        </w:tc>
        <w:tc>
          <w:tcPr>
            <w:tcW w:w="2232" w:type="dxa"/>
            <w:tcBorders>
              <w:bottom w:val="single" w:sz="4" w:space="0" w:color="535353" w:themeColor="text2" w:themeShade="80"/>
            </w:tcBorders>
            <w:shd w:val="clear" w:color="auto" w:fill="F2F2F2" w:themeFill="background1" w:themeFillShade="F2"/>
          </w:tcPr>
          <w:p w14:paraId="5BCCC2AD" w14:textId="59AE4762" w:rsidR="00B6084C" w:rsidRPr="7ACA0E52" w:rsidRDefault="00B6084C" w:rsidP="00B6084C">
            <w:pPr>
              <w:pStyle w:val="Body"/>
              <w:spacing w:after="0" w:line="240" w:lineRule="auto"/>
              <w:jc w:val="center"/>
              <w:rPr>
                <w:sz w:val="20"/>
                <w:szCs w:val="20"/>
              </w:rPr>
            </w:pPr>
            <w:r w:rsidRPr="5C35E5CB">
              <w:rPr>
                <w:sz w:val="20"/>
                <w:szCs w:val="20"/>
              </w:rPr>
              <w:t>$</w:t>
            </w:r>
            <w:r w:rsidR="00250A8A">
              <w:rPr>
                <w:sz w:val="20"/>
                <w:szCs w:val="20"/>
              </w:rPr>
              <w:t>195</w:t>
            </w:r>
          </w:p>
        </w:tc>
        <w:tc>
          <w:tcPr>
            <w:tcW w:w="2318" w:type="dxa"/>
            <w:tcBorders>
              <w:bottom w:val="single" w:sz="4" w:space="0" w:color="535353" w:themeColor="text2" w:themeShade="80"/>
            </w:tcBorders>
            <w:shd w:val="clear" w:color="auto" w:fill="F2F2F2" w:themeFill="background1" w:themeFillShade="F2"/>
          </w:tcPr>
          <w:p w14:paraId="595554B1" w14:textId="2D0ABA94" w:rsidR="00B6084C" w:rsidRPr="7ACA0E52" w:rsidRDefault="00B6084C" w:rsidP="00B6084C">
            <w:pPr>
              <w:pStyle w:val="Body"/>
              <w:spacing w:after="0" w:line="240" w:lineRule="auto"/>
              <w:ind w:right="385"/>
              <w:jc w:val="center"/>
              <w:rPr>
                <w:sz w:val="20"/>
                <w:szCs w:val="20"/>
              </w:rPr>
            </w:pPr>
            <w:r w:rsidRPr="7ACA0E52">
              <w:rPr>
                <w:sz w:val="20"/>
                <w:szCs w:val="20"/>
              </w:rPr>
              <w:t>$</w:t>
            </w:r>
            <w:r w:rsidR="000E5DA3">
              <w:rPr>
                <w:sz w:val="20"/>
                <w:szCs w:val="20"/>
              </w:rPr>
              <w:t>205</w:t>
            </w:r>
          </w:p>
        </w:tc>
        <w:tc>
          <w:tcPr>
            <w:tcW w:w="2232" w:type="dxa"/>
            <w:tcBorders>
              <w:bottom w:val="single" w:sz="4" w:space="0" w:color="535353" w:themeColor="text2" w:themeShade="80"/>
            </w:tcBorders>
            <w:shd w:val="clear" w:color="auto" w:fill="F2F2F2" w:themeFill="background1" w:themeFillShade="F2"/>
          </w:tcPr>
          <w:p w14:paraId="399EEF14" w14:textId="3E2171B5" w:rsidR="00B6084C" w:rsidRPr="7ACA0E52" w:rsidRDefault="00B6084C" w:rsidP="00B6084C">
            <w:pPr>
              <w:pStyle w:val="Body"/>
              <w:spacing w:after="0" w:line="240" w:lineRule="auto"/>
              <w:ind w:right="385"/>
              <w:jc w:val="center"/>
              <w:rPr>
                <w:sz w:val="20"/>
                <w:szCs w:val="20"/>
              </w:rPr>
            </w:pPr>
            <w:r w:rsidRPr="5C35E5CB">
              <w:rPr>
                <w:sz w:val="20"/>
                <w:szCs w:val="20"/>
              </w:rPr>
              <w:t>$</w:t>
            </w:r>
            <w:r w:rsidR="00327673">
              <w:rPr>
                <w:sz w:val="20"/>
                <w:szCs w:val="20"/>
              </w:rPr>
              <w:t>297</w:t>
            </w:r>
          </w:p>
        </w:tc>
      </w:tr>
      <w:tr w:rsidR="00B6084C" w:rsidRPr="7ACA0E52" w14:paraId="41509F22" w14:textId="77777777" w:rsidTr="005C188D">
        <w:trPr>
          <w:trHeight w:val="20"/>
        </w:trPr>
        <w:tc>
          <w:tcPr>
            <w:tcW w:w="1706" w:type="dxa"/>
            <w:tcBorders>
              <w:bottom w:val="single" w:sz="4" w:space="0" w:color="535353" w:themeColor="text2" w:themeShade="80"/>
            </w:tcBorders>
            <w:tcMar>
              <w:top w:w="80" w:type="dxa"/>
              <w:left w:w="80" w:type="dxa"/>
              <w:bottom w:w="80" w:type="dxa"/>
              <w:right w:w="80" w:type="dxa"/>
            </w:tcMar>
          </w:tcPr>
          <w:p w14:paraId="3108A52D" w14:textId="7A940DB4" w:rsidR="00B6084C" w:rsidRPr="7ACA0E52" w:rsidRDefault="00B6084C" w:rsidP="00B6084C">
            <w:pPr>
              <w:pStyle w:val="Body"/>
              <w:spacing w:after="0"/>
              <w:rPr>
                <w:b/>
                <w:bCs/>
                <w:sz w:val="20"/>
                <w:szCs w:val="20"/>
              </w:rPr>
            </w:pPr>
            <w:r w:rsidRPr="7ACA0E52">
              <w:rPr>
                <w:b/>
                <w:bCs/>
                <w:sz w:val="20"/>
                <w:szCs w:val="20"/>
              </w:rPr>
              <w:t>FCEV</w:t>
            </w:r>
            <w:r>
              <w:rPr>
                <w:b/>
                <w:bCs/>
                <w:sz w:val="20"/>
                <w:szCs w:val="20"/>
              </w:rPr>
              <w:t xml:space="preserve">, Standard </w:t>
            </w:r>
          </w:p>
        </w:tc>
        <w:tc>
          <w:tcPr>
            <w:tcW w:w="1152" w:type="dxa"/>
            <w:tcBorders>
              <w:bottom w:val="single" w:sz="4" w:space="0" w:color="535353" w:themeColor="text2" w:themeShade="80"/>
            </w:tcBorders>
            <w:tcMar>
              <w:top w:w="80" w:type="dxa"/>
              <w:left w:w="80" w:type="dxa"/>
              <w:bottom w:w="80" w:type="dxa"/>
              <w:right w:w="80" w:type="dxa"/>
            </w:tcMar>
            <w:vAlign w:val="center"/>
          </w:tcPr>
          <w:p w14:paraId="33B58DE9" w14:textId="235A5C34" w:rsidR="00B6084C" w:rsidRPr="7ACA0E52" w:rsidRDefault="00B6084C" w:rsidP="00B6084C">
            <w:pPr>
              <w:pStyle w:val="Body"/>
              <w:spacing w:after="0" w:line="240" w:lineRule="auto"/>
              <w:jc w:val="center"/>
              <w:rPr>
                <w:i/>
                <w:iCs/>
                <w:sz w:val="20"/>
                <w:szCs w:val="20"/>
              </w:rPr>
            </w:pPr>
            <w:r w:rsidRPr="7ACA0E52">
              <w:rPr>
                <w:i/>
                <w:iCs/>
                <w:sz w:val="20"/>
                <w:szCs w:val="20"/>
              </w:rPr>
              <w:t>N</w:t>
            </w:r>
            <w:r w:rsidRPr="7ACA0E52">
              <w:rPr>
                <w:sz w:val="20"/>
                <w:szCs w:val="20"/>
              </w:rPr>
              <w:t xml:space="preserve"> =</w:t>
            </w:r>
            <w:r>
              <w:rPr>
                <w:sz w:val="20"/>
                <w:szCs w:val="20"/>
              </w:rPr>
              <w:t xml:space="preserve"> 1</w:t>
            </w:r>
            <w:r w:rsidR="00C50983">
              <w:rPr>
                <w:sz w:val="20"/>
                <w:szCs w:val="20"/>
              </w:rPr>
              <w:t>1</w:t>
            </w:r>
            <w:r>
              <w:rPr>
                <w:sz w:val="20"/>
                <w:szCs w:val="20"/>
              </w:rPr>
              <w:t>,</w:t>
            </w:r>
            <w:r w:rsidR="00C50983">
              <w:rPr>
                <w:sz w:val="20"/>
                <w:szCs w:val="20"/>
              </w:rPr>
              <w:t>763</w:t>
            </w:r>
            <w:r w:rsidRPr="7ACA0E52">
              <w:rPr>
                <w:sz w:val="20"/>
                <w:szCs w:val="20"/>
              </w:rPr>
              <w:t xml:space="preserve"> </w:t>
            </w:r>
          </w:p>
        </w:tc>
        <w:tc>
          <w:tcPr>
            <w:tcW w:w="2232" w:type="dxa"/>
            <w:tcBorders>
              <w:bottom w:val="single" w:sz="4" w:space="0" w:color="535353" w:themeColor="text2" w:themeShade="80"/>
            </w:tcBorders>
          </w:tcPr>
          <w:p w14:paraId="5711DFF6" w14:textId="4C4105A5" w:rsidR="00B6084C" w:rsidRPr="7ACA0E52" w:rsidRDefault="00B6084C" w:rsidP="00B6084C">
            <w:pPr>
              <w:pStyle w:val="Body"/>
              <w:spacing w:after="0" w:line="240" w:lineRule="auto"/>
              <w:jc w:val="center"/>
              <w:rPr>
                <w:sz w:val="20"/>
                <w:szCs w:val="20"/>
              </w:rPr>
            </w:pPr>
            <w:r w:rsidRPr="7ACA0E52">
              <w:rPr>
                <w:sz w:val="20"/>
                <w:szCs w:val="20"/>
              </w:rPr>
              <w:t>$</w:t>
            </w:r>
            <w:r w:rsidR="00250A8A">
              <w:rPr>
                <w:sz w:val="20"/>
                <w:szCs w:val="20"/>
              </w:rPr>
              <w:t>270</w:t>
            </w:r>
          </w:p>
        </w:tc>
        <w:tc>
          <w:tcPr>
            <w:tcW w:w="2318" w:type="dxa"/>
            <w:tcBorders>
              <w:bottom w:val="single" w:sz="4" w:space="0" w:color="535353" w:themeColor="text2" w:themeShade="80"/>
            </w:tcBorders>
          </w:tcPr>
          <w:p w14:paraId="63C9C2AC" w14:textId="10386C07" w:rsidR="00B6084C" w:rsidRPr="7ACA0E52" w:rsidRDefault="00B6084C" w:rsidP="00B6084C">
            <w:pPr>
              <w:pStyle w:val="Body"/>
              <w:spacing w:after="0" w:line="240" w:lineRule="auto"/>
              <w:ind w:right="385"/>
              <w:jc w:val="center"/>
              <w:rPr>
                <w:sz w:val="20"/>
                <w:szCs w:val="20"/>
              </w:rPr>
            </w:pPr>
            <w:r w:rsidRPr="7ACA0E52">
              <w:rPr>
                <w:sz w:val="20"/>
                <w:szCs w:val="20"/>
              </w:rPr>
              <w:t>$</w:t>
            </w:r>
            <w:r w:rsidR="000E5DA3">
              <w:rPr>
                <w:sz w:val="20"/>
                <w:szCs w:val="20"/>
              </w:rPr>
              <w:t>288</w:t>
            </w:r>
          </w:p>
        </w:tc>
        <w:tc>
          <w:tcPr>
            <w:tcW w:w="2232" w:type="dxa"/>
            <w:tcBorders>
              <w:bottom w:val="single" w:sz="4" w:space="0" w:color="535353" w:themeColor="text2" w:themeShade="80"/>
            </w:tcBorders>
          </w:tcPr>
          <w:p w14:paraId="4E3E2650" w14:textId="1CFB29AB" w:rsidR="00B6084C" w:rsidRPr="7ACA0E52" w:rsidRDefault="00B6084C" w:rsidP="00B6084C">
            <w:pPr>
              <w:pStyle w:val="Body"/>
              <w:spacing w:after="0" w:line="240" w:lineRule="auto"/>
              <w:ind w:right="385"/>
              <w:jc w:val="center"/>
              <w:rPr>
                <w:sz w:val="20"/>
                <w:szCs w:val="20"/>
              </w:rPr>
            </w:pPr>
            <w:r w:rsidRPr="7ACA0E52">
              <w:rPr>
                <w:sz w:val="20"/>
                <w:szCs w:val="20"/>
              </w:rPr>
              <w:t>$</w:t>
            </w:r>
            <w:r w:rsidR="0084447E">
              <w:rPr>
                <w:sz w:val="20"/>
                <w:szCs w:val="20"/>
              </w:rPr>
              <w:t>384</w:t>
            </w:r>
          </w:p>
        </w:tc>
      </w:tr>
      <w:tr w:rsidR="00B6084C" w:rsidRPr="7ACA0E52" w14:paraId="4D7406E9" w14:textId="77777777" w:rsidTr="005C188D">
        <w:trPr>
          <w:trHeight w:val="20"/>
        </w:trPr>
        <w:tc>
          <w:tcPr>
            <w:tcW w:w="1706" w:type="dxa"/>
            <w:tcBorders>
              <w:bottom w:val="single" w:sz="4" w:space="0" w:color="535353" w:themeColor="text2" w:themeShade="80"/>
            </w:tcBorders>
            <w:shd w:val="clear" w:color="auto" w:fill="F2F2F2" w:themeFill="background1" w:themeFillShade="F2"/>
            <w:tcMar>
              <w:top w:w="80" w:type="dxa"/>
              <w:left w:w="80" w:type="dxa"/>
              <w:bottom w:w="80" w:type="dxa"/>
              <w:right w:w="80" w:type="dxa"/>
            </w:tcMar>
          </w:tcPr>
          <w:p w14:paraId="4CF5AD8C" w14:textId="2BCFCEBB" w:rsidR="00B6084C" w:rsidRPr="7ACA0E52" w:rsidRDefault="00B6084C" w:rsidP="00B6084C">
            <w:pPr>
              <w:pStyle w:val="Body"/>
              <w:spacing w:after="0"/>
              <w:rPr>
                <w:b/>
                <w:bCs/>
                <w:sz w:val="20"/>
                <w:szCs w:val="20"/>
              </w:rPr>
            </w:pPr>
            <w:r>
              <w:rPr>
                <w:b/>
                <w:bCs/>
                <w:sz w:val="20"/>
                <w:szCs w:val="20"/>
              </w:rPr>
              <w:t>FC</w:t>
            </w:r>
            <w:r w:rsidRPr="7ACA0E52">
              <w:rPr>
                <w:b/>
                <w:bCs/>
                <w:sz w:val="20"/>
                <w:szCs w:val="20"/>
              </w:rPr>
              <w:t>EV</w:t>
            </w:r>
            <w:r>
              <w:rPr>
                <w:b/>
                <w:bCs/>
                <w:sz w:val="20"/>
                <w:szCs w:val="20"/>
              </w:rPr>
              <w:t>, Increased</w:t>
            </w:r>
          </w:p>
        </w:tc>
        <w:tc>
          <w:tcPr>
            <w:tcW w:w="1152" w:type="dxa"/>
            <w:tcBorders>
              <w:bottom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080FB7AB" w14:textId="095FCC84" w:rsidR="00B6084C" w:rsidRPr="7ACA0E52" w:rsidRDefault="00B6084C" w:rsidP="00B6084C">
            <w:pPr>
              <w:pStyle w:val="Body"/>
              <w:spacing w:after="0" w:line="240" w:lineRule="auto"/>
              <w:jc w:val="center"/>
              <w:rPr>
                <w:i/>
                <w:iCs/>
                <w:sz w:val="20"/>
                <w:szCs w:val="20"/>
              </w:rPr>
            </w:pPr>
            <w:r w:rsidRPr="7ACA0E52">
              <w:rPr>
                <w:i/>
                <w:iCs/>
                <w:sz w:val="20"/>
                <w:szCs w:val="20"/>
              </w:rPr>
              <w:t>N</w:t>
            </w:r>
            <w:r w:rsidRPr="7ACA0E52">
              <w:rPr>
                <w:sz w:val="20"/>
                <w:szCs w:val="20"/>
              </w:rPr>
              <w:t xml:space="preserve"> = </w:t>
            </w:r>
            <w:r>
              <w:rPr>
                <w:sz w:val="20"/>
                <w:szCs w:val="20"/>
              </w:rPr>
              <w:t>2,147</w:t>
            </w:r>
          </w:p>
        </w:tc>
        <w:tc>
          <w:tcPr>
            <w:tcW w:w="2232" w:type="dxa"/>
            <w:tcBorders>
              <w:bottom w:val="single" w:sz="4" w:space="0" w:color="535353" w:themeColor="text2" w:themeShade="80"/>
            </w:tcBorders>
            <w:shd w:val="clear" w:color="auto" w:fill="F2F2F2" w:themeFill="background1" w:themeFillShade="F2"/>
          </w:tcPr>
          <w:p w14:paraId="5E05CC7F" w14:textId="7582592A" w:rsidR="00B6084C" w:rsidRPr="7ACA0E52" w:rsidRDefault="00B6084C" w:rsidP="00B6084C">
            <w:pPr>
              <w:pStyle w:val="Body"/>
              <w:spacing w:after="0" w:line="240" w:lineRule="auto"/>
              <w:jc w:val="center"/>
              <w:rPr>
                <w:sz w:val="20"/>
                <w:szCs w:val="20"/>
              </w:rPr>
            </w:pPr>
            <w:r w:rsidRPr="5C35E5CB">
              <w:rPr>
                <w:sz w:val="20"/>
                <w:szCs w:val="20"/>
              </w:rPr>
              <w:t>$</w:t>
            </w:r>
            <w:r w:rsidR="00250A8A">
              <w:rPr>
                <w:sz w:val="20"/>
                <w:szCs w:val="20"/>
              </w:rPr>
              <w:t>421</w:t>
            </w:r>
          </w:p>
        </w:tc>
        <w:tc>
          <w:tcPr>
            <w:tcW w:w="2318" w:type="dxa"/>
            <w:tcBorders>
              <w:bottom w:val="single" w:sz="4" w:space="0" w:color="535353" w:themeColor="text2" w:themeShade="80"/>
            </w:tcBorders>
            <w:shd w:val="clear" w:color="auto" w:fill="F2F2F2" w:themeFill="background1" w:themeFillShade="F2"/>
          </w:tcPr>
          <w:p w14:paraId="1F8318E1" w14:textId="565452F5" w:rsidR="00B6084C" w:rsidRPr="7ACA0E52" w:rsidRDefault="00B6084C" w:rsidP="00B6084C">
            <w:pPr>
              <w:pStyle w:val="Body"/>
              <w:spacing w:after="0" w:line="240" w:lineRule="auto"/>
              <w:ind w:right="385"/>
              <w:jc w:val="center"/>
              <w:rPr>
                <w:sz w:val="20"/>
                <w:szCs w:val="20"/>
              </w:rPr>
            </w:pPr>
            <w:r w:rsidRPr="7ACA0E52">
              <w:rPr>
                <w:sz w:val="20"/>
                <w:szCs w:val="20"/>
              </w:rPr>
              <w:t>$</w:t>
            </w:r>
            <w:r w:rsidR="000E5DA3">
              <w:rPr>
                <w:sz w:val="20"/>
                <w:szCs w:val="20"/>
              </w:rPr>
              <w:t>439</w:t>
            </w:r>
          </w:p>
        </w:tc>
        <w:tc>
          <w:tcPr>
            <w:tcW w:w="2232" w:type="dxa"/>
            <w:tcBorders>
              <w:bottom w:val="single" w:sz="4" w:space="0" w:color="535353" w:themeColor="text2" w:themeShade="80"/>
            </w:tcBorders>
            <w:shd w:val="clear" w:color="auto" w:fill="F2F2F2" w:themeFill="background1" w:themeFillShade="F2"/>
          </w:tcPr>
          <w:p w14:paraId="035E2311" w14:textId="492B4B93" w:rsidR="00B6084C" w:rsidRPr="7ACA0E52" w:rsidRDefault="00B6084C" w:rsidP="00B6084C">
            <w:pPr>
              <w:pStyle w:val="Body"/>
              <w:spacing w:after="0" w:line="240" w:lineRule="auto"/>
              <w:ind w:right="385"/>
              <w:jc w:val="center"/>
              <w:rPr>
                <w:sz w:val="20"/>
                <w:szCs w:val="20"/>
              </w:rPr>
            </w:pPr>
            <w:r w:rsidRPr="5C35E5CB">
              <w:rPr>
                <w:sz w:val="20"/>
                <w:szCs w:val="20"/>
              </w:rPr>
              <w:t>$</w:t>
            </w:r>
            <w:r w:rsidR="0084447E">
              <w:rPr>
                <w:sz w:val="20"/>
                <w:szCs w:val="20"/>
              </w:rPr>
              <w:t>546</w:t>
            </w:r>
          </w:p>
        </w:tc>
      </w:tr>
      <w:tr w:rsidR="00B6084C" w:rsidRPr="006B453D" w14:paraId="0880508E" w14:textId="77777777" w:rsidTr="002F3F8E">
        <w:trPr>
          <w:trHeight w:val="20"/>
        </w:trPr>
        <w:tc>
          <w:tcPr>
            <w:tcW w:w="1706" w:type="dxa"/>
            <w:tcBorders>
              <w:top w:val="single" w:sz="4" w:space="0" w:color="535353" w:themeColor="text2" w:themeShade="80"/>
            </w:tcBorders>
            <w:shd w:val="clear" w:color="auto" w:fill="FFFFFF" w:themeFill="background1"/>
            <w:tcMar>
              <w:top w:w="80" w:type="dxa"/>
              <w:left w:w="80" w:type="dxa"/>
              <w:bottom w:w="80" w:type="dxa"/>
              <w:right w:w="80" w:type="dxa"/>
            </w:tcMar>
          </w:tcPr>
          <w:p w14:paraId="7739FA46" w14:textId="12B4407D" w:rsidR="00B6084C" w:rsidRPr="003A15C4" w:rsidRDefault="00B6084C" w:rsidP="00B6084C">
            <w:pPr>
              <w:pStyle w:val="Body"/>
              <w:spacing w:after="0"/>
              <w:rPr>
                <w:b/>
                <w:sz w:val="20"/>
                <w:szCs w:val="20"/>
              </w:rPr>
            </w:pPr>
            <w:r w:rsidRPr="7ACA0E52">
              <w:rPr>
                <w:b/>
                <w:bCs/>
                <w:sz w:val="20"/>
                <w:szCs w:val="20"/>
              </w:rPr>
              <w:t>All</w:t>
            </w:r>
          </w:p>
        </w:tc>
        <w:tc>
          <w:tcPr>
            <w:tcW w:w="1152" w:type="dxa"/>
            <w:tcBorders>
              <w:top w:val="single" w:sz="4" w:space="0" w:color="535353" w:themeColor="text2" w:themeShade="80"/>
            </w:tcBorders>
            <w:shd w:val="clear" w:color="auto" w:fill="FFFFFF" w:themeFill="background1"/>
            <w:tcMar>
              <w:top w:w="80" w:type="dxa"/>
              <w:left w:w="80" w:type="dxa"/>
              <w:bottom w:w="80" w:type="dxa"/>
              <w:right w:w="80" w:type="dxa"/>
            </w:tcMar>
            <w:vAlign w:val="center"/>
          </w:tcPr>
          <w:p w14:paraId="06434346" w14:textId="0429D939" w:rsidR="00B6084C" w:rsidRPr="006B453D" w:rsidRDefault="00B6084C" w:rsidP="00B6084C">
            <w:pPr>
              <w:pStyle w:val="Body"/>
              <w:spacing w:after="0" w:line="240" w:lineRule="auto"/>
              <w:jc w:val="center"/>
              <w:rPr>
                <w:rFonts w:cs="Calibri"/>
                <w:b/>
                <w:bCs/>
                <w:i/>
                <w:iCs/>
                <w:sz w:val="20"/>
                <w:szCs w:val="20"/>
              </w:rPr>
            </w:pPr>
            <w:r w:rsidRPr="7ACA0E52">
              <w:rPr>
                <w:rFonts w:cs="Calibri"/>
                <w:b/>
                <w:bCs/>
                <w:i/>
                <w:iCs/>
                <w:sz w:val="20"/>
                <w:szCs w:val="20"/>
              </w:rPr>
              <w:t>N</w:t>
            </w:r>
            <w:r w:rsidRPr="7ACA0E52">
              <w:rPr>
                <w:rFonts w:cs="Calibri"/>
                <w:b/>
                <w:bCs/>
                <w:sz w:val="20"/>
                <w:szCs w:val="20"/>
              </w:rPr>
              <w:t xml:space="preserve"> = </w:t>
            </w:r>
            <w:r>
              <w:rPr>
                <w:rFonts w:cs="Calibri"/>
                <w:b/>
                <w:bCs/>
                <w:sz w:val="20"/>
                <w:szCs w:val="20"/>
              </w:rPr>
              <w:t>5</w:t>
            </w:r>
            <w:r w:rsidR="00C83C20">
              <w:rPr>
                <w:rFonts w:cs="Calibri"/>
                <w:b/>
                <w:bCs/>
                <w:sz w:val="20"/>
                <w:szCs w:val="20"/>
              </w:rPr>
              <w:t>70</w:t>
            </w:r>
            <w:r>
              <w:rPr>
                <w:rFonts w:cs="Calibri"/>
                <w:b/>
                <w:bCs/>
                <w:sz w:val="20"/>
                <w:szCs w:val="20"/>
              </w:rPr>
              <w:t>,</w:t>
            </w:r>
            <w:r w:rsidR="00C83C20">
              <w:rPr>
                <w:rFonts w:cs="Calibri"/>
                <w:b/>
                <w:bCs/>
                <w:sz w:val="20"/>
                <w:szCs w:val="20"/>
              </w:rPr>
              <w:t>668</w:t>
            </w:r>
          </w:p>
        </w:tc>
        <w:tc>
          <w:tcPr>
            <w:tcW w:w="2232" w:type="dxa"/>
            <w:tcBorders>
              <w:top w:val="single" w:sz="4" w:space="0" w:color="535353" w:themeColor="text2" w:themeShade="80"/>
            </w:tcBorders>
            <w:shd w:val="clear" w:color="auto" w:fill="FFFFFF" w:themeFill="background1"/>
          </w:tcPr>
          <w:p w14:paraId="5D788103" w14:textId="2B431574" w:rsidR="00B6084C" w:rsidRPr="006B453D" w:rsidRDefault="00B6084C" w:rsidP="00B6084C">
            <w:pPr>
              <w:pStyle w:val="Body"/>
              <w:spacing w:after="0" w:line="240" w:lineRule="auto"/>
              <w:jc w:val="center"/>
              <w:rPr>
                <w:b/>
                <w:bCs/>
                <w:sz w:val="20"/>
                <w:szCs w:val="20"/>
              </w:rPr>
            </w:pPr>
            <w:r w:rsidRPr="0C18FB96">
              <w:rPr>
                <w:b/>
                <w:bCs/>
                <w:sz w:val="20"/>
                <w:szCs w:val="20"/>
              </w:rPr>
              <w:t>$</w:t>
            </w:r>
            <w:r w:rsidR="00250A8A">
              <w:rPr>
                <w:b/>
                <w:bCs/>
                <w:sz w:val="20"/>
                <w:szCs w:val="20"/>
              </w:rPr>
              <w:t>93</w:t>
            </w:r>
          </w:p>
        </w:tc>
        <w:tc>
          <w:tcPr>
            <w:tcW w:w="2318" w:type="dxa"/>
            <w:tcBorders>
              <w:top w:val="single" w:sz="4" w:space="0" w:color="535353" w:themeColor="text2" w:themeShade="80"/>
            </w:tcBorders>
            <w:shd w:val="clear" w:color="auto" w:fill="FFFFFF" w:themeFill="background1"/>
          </w:tcPr>
          <w:p w14:paraId="72FA2CD9" w14:textId="50998338" w:rsidR="00B6084C" w:rsidRPr="006B453D" w:rsidRDefault="00B6084C" w:rsidP="00B6084C">
            <w:pPr>
              <w:pStyle w:val="Body"/>
              <w:spacing w:after="0" w:line="240" w:lineRule="auto"/>
              <w:ind w:right="385"/>
              <w:jc w:val="center"/>
              <w:rPr>
                <w:b/>
                <w:bCs/>
                <w:sz w:val="20"/>
                <w:szCs w:val="20"/>
              </w:rPr>
            </w:pPr>
            <w:r w:rsidRPr="7ACA0E52">
              <w:rPr>
                <w:b/>
                <w:bCs/>
                <w:sz w:val="20"/>
                <w:szCs w:val="20"/>
              </w:rPr>
              <w:t>$</w:t>
            </w:r>
            <w:r w:rsidR="00327673">
              <w:rPr>
                <w:b/>
                <w:bCs/>
                <w:sz w:val="20"/>
                <w:szCs w:val="20"/>
              </w:rPr>
              <w:t>104</w:t>
            </w:r>
          </w:p>
        </w:tc>
        <w:tc>
          <w:tcPr>
            <w:tcW w:w="2232" w:type="dxa"/>
            <w:tcBorders>
              <w:top w:val="single" w:sz="4" w:space="0" w:color="535353" w:themeColor="text2" w:themeShade="80"/>
            </w:tcBorders>
            <w:shd w:val="clear" w:color="auto" w:fill="FFFFFF" w:themeFill="background1"/>
          </w:tcPr>
          <w:p w14:paraId="02977C18" w14:textId="38BA3687" w:rsidR="00B6084C" w:rsidRPr="006B453D" w:rsidRDefault="00B6084C" w:rsidP="00B6084C">
            <w:pPr>
              <w:pStyle w:val="Body"/>
              <w:spacing w:after="0" w:line="240" w:lineRule="auto"/>
              <w:ind w:right="385"/>
              <w:jc w:val="center"/>
              <w:rPr>
                <w:b/>
                <w:bCs/>
                <w:sz w:val="20"/>
                <w:szCs w:val="20"/>
              </w:rPr>
            </w:pPr>
            <w:r w:rsidRPr="0C18FB96">
              <w:rPr>
                <w:b/>
                <w:bCs/>
                <w:sz w:val="20"/>
                <w:szCs w:val="20"/>
              </w:rPr>
              <w:t>$</w:t>
            </w:r>
            <w:r w:rsidR="0084447E">
              <w:rPr>
                <w:b/>
                <w:bCs/>
                <w:sz w:val="20"/>
                <w:szCs w:val="20"/>
              </w:rPr>
              <w:t>188</w:t>
            </w:r>
          </w:p>
        </w:tc>
      </w:tr>
    </w:tbl>
    <w:p w14:paraId="2644E1F1" w14:textId="5BFCE949" w:rsidR="00AD1040" w:rsidRPr="00F04BA8" w:rsidRDefault="00AD1040" w:rsidP="00D3210C">
      <w:pPr>
        <w:pStyle w:val="TableFigureSubtitle"/>
      </w:pPr>
    </w:p>
    <w:p w14:paraId="34DCFFA5" w14:textId="5B146048" w:rsidR="007A3301" w:rsidRDefault="7BDD560A" w:rsidP="007A3301">
      <w:pPr>
        <w:pStyle w:val="Heading3"/>
      </w:pPr>
      <w:bookmarkStart w:id="34" w:name="_Toc227069790"/>
      <w:r>
        <w:lastRenderedPageBreak/>
        <w:t>Interpreting Rebate Influence</w:t>
      </w:r>
      <w:bookmarkEnd w:id="34"/>
    </w:p>
    <w:p w14:paraId="30211C56" w14:textId="292869D4" w:rsidR="00CC2495" w:rsidRPr="00C37AC2" w:rsidRDefault="00F36ED5" w:rsidP="7ACA0E52">
      <w:r w:rsidRPr="00F36ED5">
        <w:t>As discussed in precursor work,</w:t>
      </w:r>
      <w:r>
        <w:rPr>
          <w:i/>
          <w:iCs/>
        </w:rPr>
        <w:t xml:space="preserve"> </w:t>
      </w:r>
      <w:r w:rsidR="5757DF63" w:rsidRPr="2F1055DC">
        <w:rPr>
          <w:i/>
          <w:iCs/>
        </w:rPr>
        <w:t>Rebate-Essential</w:t>
      </w:r>
      <w:r w:rsidR="5757DF63">
        <w:t xml:space="preserve"> reductions can be interpreted as </w:t>
      </w:r>
      <w:r w:rsidR="00286C29">
        <w:t xml:space="preserve">reductions from </w:t>
      </w:r>
      <w:r w:rsidR="006D44B7">
        <w:t>participants that were highly influenced by</w:t>
      </w:r>
      <w:r w:rsidR="5757DF63">
        <w:t xml:space="preserve"> the program</w:t>
      </w:r>
      <w:r w:rsidR="00840B56">
        <w:t>.</w:t>
      </w:r>
      <w:r w:rsidR="5757DF63">
        <w:t xml:space="preserve"> </w:t>
      </w:r>
      <w:r w:rsidR="00840B56">
        <w:t xml:space="preserve">This </w:t>
      </w:r>
      <w:r w:rsidR="00272F94">
        <w:t xml:space="preserve">metric </w:t>
      </w:r>
      <w:r w:rsidR="0079340D">
        <w:t>roughly account</w:t>
      </w:r>
      <w:r w:rsidR="00272F94">
        <w:t>s</w:t>
      </w:r>
      <w:r w:rsidR="0079340D">
        <w:t xml:space="preserve"> for attribution </w:t>
      </w:r>
      <w:r w:rsidR="5757DF63">
        <w:t xml:space="preserve">based on case- and context-specific responses to a straightforward </w:t>
      </w:r>
      <w:r w:rsidR="007740DC">
        <w:t>dichotomous</w:t>
      </w:r>
      <w:r w:rsidR="00AA597B">
        <w:t xml:space="preserve"> </w:t>
      </w:r>
      <w:r w:rsidR="5757DF63">
        <w:t xml:space="preserve">survey question asking consumers whether they would have purchased/leased their EV without the </w:t>
      </w:r>
      <w:r w:rsidR="00AD74C2">
        <w:t xml:space="preserve">state </w:t>
      </w:r>
      <w:r w:rsidR="5757DF63">
        <w:t>rebate</w:t>
      </w:r>
      <w:r w:rsidR="00AD74C2">
        <w:t xml:space="preserve"> specifically</w:t>
      </w:r>
      <w:r w:rsidR="5757DF63">
        <w:t xml:space="preserve">. </w:t>
      </w:r>
      <w:r w:rsidR="5757DF63" w:rsidRPr="2F1055DC">
        <w:rPr>
          <w:i/>
          <w:iCs/>
        </w:rPr>
        <w:t xml:space="preserve">Rebate Essentiality </w:t>
      </w:r>
      <w:r w:rsidR="5757DF63">
        <w:t xml:space="preserve">data have displayed reasonable patterns and proven useful in a variety of other </w:t>
      </w:r>
      <w:r w:rsidR="001C1191">
        <w:t xml:space="preserve">works </w:t>
      </w:r>
      <w:r w:rsidR="0065556B" w:rsidRPr="0065556B">
        <w:rPr>
          <w:rFonts w:cs="Calibri"/>
        </w:rPr>
        <w:t>(Johnson &amp; Williams, 2017; B. D. H. Williams, 2022; B. Williams &amp; Pallonetti, 2023)</w:t>
      </w:r>
      <w:r w:rsidR="5757DF63">
        <w:t xml:space="preserve">. This metric provides a clearer and potentially more conservative measurement of program impact than other candidate measures, barring any response or selection bias. Indeed, in </w:t>
      </w:r>
      <w:r w:rsidR="00AA0C14">
        <w:t xml:space="preserve">past </w:t>
      </w:r>
      <w:r w:rsidR="5757DF63">
        <w:t>recommendation</w:t>
      </w:r>
      <w:r w:rsidR="00B563B8">
        <w:t>s</w:t>
      </w:r>
      <w:r w:rsidR="5757DF63">
        <w:t xml:space="preserve"> </w:t>
      </w:r>
      <w:r w:rsidR="00AE34D5">
        <w:t xml:space="preserve">for refining </w:t>
      </w:r>
      <w:r w:rsidR="5757DF63">
        <w:t xml:space="preserve">the GHG emission reductions estimates in </w:t>
      </w:r>
      <w:r w:rsidR="00277FF2">
        <w:t>CARB</w:t>
      </w:r>
      <w:r w:rsidR="00237EBB">
        <w:t xml:space="preserve"> </w:t>
      </w:r>
      <w:r w:rsidR="5757DF63">
        <w:t xml:space="preserve">funding plans, the California State Auditor </w:t>
      </w:r>
      <w:r w:rsidR="1BFF88D6" w:rsidRPr="2F1055DC">
        <w:rPr>
          <w:rFonts w:cs="Calibri"/>
        </w:rPr>
        <w:t>(2021)</w:t>
      </w:r>
      <w:r w:rsidR="5757DF63">
        <w:t xml:space="preserve"> </w:t>
      </w:r>
      <w:r w:rsidR="006C4DDE">
        <w:t xml:space="preserve">Report </w:t>
      </w:r>
      <w:r w:rsidR="5757DF63">
        <w:t xml:space="preserve">presents a key finding that GHG emissions reductions </w:t>
      </w:r>
      <w:r w:rsidR="00286846">
        <w:t>may be overstated</w:t>
      </w:r>
      <w:r w:rsidR="5757DF63">
        <w:t xml:space="preserve"> due to unaccounted factors. Those factors include determining whether the incentives are influencing consumers to acquire a cleaner vehicle than they otherwise would have, as well as accounting for potential overlap with other regulatory and incentive programs with the same goals. Measuring</w:t>
      </w:r>
      <w:r w:rsidR="5757DF63" w:rsidRPr="2F1055DC">
        <w:rPr>
          <w:rFonts w:asciiTheme="minorHAnsi" w:hAnsiTheme="minorHAnsi"/>
        </w:rPr>
        <w:t xml:space="preserve"> </w:t>
      </w:r>
      <w:r w:rsidR="5757DF63" w:rsidRPr="2F1055DC">
        <w:rPr>
          <w:i/>
          <w:iCs/>
        </w:rPr>
        <w:t>Rebate-Essential</w:t>
      </w:r>
      <w:r w:rsidR="5757DF63">
        <w:t xml:space="preserve"> reductions can help account for these factors, as they provide an estimate of GHG reductions only from EV sales that </w:t>
      </w:r>
      <w:r w:rsidR="00C11090">
        <w:t xml:space="preserve">participants report </w:t>
      </w:r>
      <w:r w:rsidR="5757DF63">
        <w:t xml:space="preserve">would not have happened without the </w:t>
      </w:r>
      <w:r w:rsidR="003473C7">
        <w:t xml:space="preserve">state </w:t>
      </w:r>
      <w:r w:rsidR="5757DF63">
        <w:t>rebate, regardless of other factors.</w:t>
      </w:r>
    </w:p>
    <w:p w14:paraId="0148EA6F" w14:textId="27C4DCE0" w:rsidR="00CC2495" w:rsidRPr="00C927C5" w:rsidRDefault="7E62088A" w:rsidP="00CC2495">
      <w:r>
        <w:t xml:space="preserve">While </w:t>
      </w:r>
      <w:r w:rsidRPr="2F1055DC">
        <w:rPr>
          <w:i/>
          <w:iCs/>
        </w:rPr>
        <w:t>Rebate-Essential</w:t>
      </w:r>
      <w:r>
        <w:t xml:space="preserve"> program participants are not free riders, it is not necessarily the case that </w:t>
      </w:r>
      <w:r w:rsidRPr="2F1055DC">
        <w:rPr>
          <w:i/>
          <w:iCs/>
        </w:rPr>
        <w:t>all other</w:t>
      </w:r>
      <w:r>
        <w:t xml:space="preserve"> participants </w:t>
      </w:r>
      <w:r w:rsidRPr="2F1055DC">
        <w:rPr>
          <w:i/>
          <w:iCs/>
        </w:rPr>
        <w:t>are</w:t>
      </w:r>
      <w:r>
        <w:t xml:space="preserve"> free riders. Evidence for this can be found in the other metric of rebate influence, “</w:t>
      </w:r>
      <w:r w:rsidRPr="2F1055DC">
        <w:rPr>
          <w:i/>
          <w:iCs/>
        </w:rPr>
        <w:t>Rebate Importance”</w:t>
      </w:r>
      <w:r w:rsidR="00587890" w:rsidRPr="2F1055DC">
        <w:rPr>
          <w:i/>
          <w:iCs/>
        </w:rPr>
        <w:t xml:space="preserve"> </w:t>
      </w:r>
      <w:r w:rsidR="00587890">
        <w:t xml:space="preserve">(see </w:t>
      </w:r>
      <w:r w:rsidR="00D0725A">
        <w:t>M</w:t>
      </w:r>
      <w:r w:rsidR="00587890">
        <w:t>ethods section for</w:t>
      </w:r>
      <w:r w:rsidR="00074F8A">
        <w:t xml:space="preserve"> details).</w:t>
      </w:r>
      <w:r w:rsidRPr="2F1055DC">
        <w:rPr>
          <w:i/>
          <w:iCs/>
        </w:rPr>
        <w:t xml:space="preserve"> </w:t>
      </w:r>
      <w:r>
        <w:t xml:space="preserve">In all, </w:t>
      </w:r>
      <w:r w:rsidR="00B964AA">
        <w:t>appr</w:t>
      </w:r>
      <w:r w:rsidR="000F55E1">
        <w:t xml:space="preserve">oximately </w:t>
      </w:r>
      <w:r w:rsidR="00CF11C6">
        <w:t>90</w:t>
      </w:r>
      <w:r>
        <w:t xml:space="preserve">% of survey respondents were </w:t>
      </w:r>
      <w:r w:rsidRPr="2F1055DC">
        <w:rPr>
          <w:i/>
          <w:iCs/>
        </w:rPr>
        <w:t>Rebate-Important</w:t>
      </w:r>
      <w:r>
        <w:t xml:space="preserve"> consumers and </w:t>
      </w:r>
      <w:r w:rsidR="00C07F6F">
        <w:t xml:space="preserve">their ability to acquire an EV </w:t>
      </w:r>
      <w:r w:rsidR="000C4ABC">
        <w:t xml:space="preserve">was </w:t>
      </w:r>
      <w:r>
        <w:t xml:space="preserve">influenced by the rebate in some less straightforward way. Even </w:t>
      </w:r>
      <w:r w:rsidR="0013337A">
        <w:t>the majority</w:t>
      </w:r>
      <w:r>
        <w:t xml:space="preserve"> of </w:t>
      </w:r>
      <w:r w:rsidRPr="2F1055DC">
        <w:rPr>
          <w:b/>
          <w:bCs/>
        </w:rPr>
        <w:t>non</w:t>
      </w:r>
      <w:r>
        <w:t>-</w:t>
      </w:r>
      <w:r w:rsidRPr="2F1055DC">
        <w:rPr>
          <w:i/>
          <w:iCs/>
        </w:rPr>
        <w:t>Rebate-Essential</w:t>
      </w:r>
      <w:r>
        <w:t xml:space="preserve"> respondents reportedly found the rebate at least moderately important in making it possible for them to acquire their EV. </w:t>
      </w:r>
      <w:r w:rsidR="0020422B">
        <w:t>I</w:t>
      </w:r>
      <w:r>
        <w:t xml:space="preserve">t is not accurate for programs to claim direct credit for all </w:t>
      </w:r>
      <w:r w:rsidRPr="2F1055DC">
        <w:rPr>
          <w:i/>
          <w:iCs/>
        </w:rPr>
        <w:t xml:space="preserve">Rebate-Important </w:t>
      </w:r>
      <w:r>
        <w:t>emissions reductions (e.g., other incentives like the federal tax credit</w:t>
      </w:r>
      <w:r w:rsidR="017FB710">
        <w:t xml:space="preserve"> </w:t>
      </w:r>
      <w:r>
        <w:t xml:space="preserve">for EVs and/or regulatory factors could have played a part). However, the rebate reportedly played an important role for these consumers, likely disqualifying them from being true free riders. </w:t>
      </w:r>
    </w:p>
    <w:p w14:paraId="2A97680C" w14:textId="67420767" w:rsidR="008B4EB8" w:rsidRPr="008B4EB8" w:rsidRDefault="00BA1F96" w:rsidP="00992134">
      <w:r>
        <w:t xml:space="preserve">The </w:t>
      </w:r>
      <w:r w:rsidR="006C7C5C" w:rsidRPr="00C927C5">
        <w:t xml:space="preserve">survey question asking about more specific counterfactual vehicle acquisition behaviors had CVRP not been available </w:t>
      </w:r>
      <w:r w:rsidR="00F1545D">
        <w:t xml:space="preserve">(analyzed next) </w:t>
      </w:r>
      <w:r w:rsidR="006C7C5C" w:rsidRPr="00C927C5">
        <w:t>adds further nuance to the understanding of program impacts</w:t>
      </w:r>
      <w:r w:rsidR="008138AE">
        <w:t xml:space="preserve"> and provides a </w:t>
      </w:r>
      <w:r w:rsidR="006224F2">
        <w:t>refined</w:t>
      </w:r>
      <w:r w:rsidR="00997679">
        <w:t>, but more complex, accounting of attribution</w:t>
      </w:r>
      <w:r w:rsidR="006C7C5C" w:rsidRPr="00C927C5">
        <w:t>.</w:t>
      </w:r>
      <w:r w:rsidR="001F3CD9" w:rsidRPr="00C927C5">
        <w:t xml:space="preserve"> Importantly for interpreting rebate influence, it indicates that a non-negligible proportion of </w:t>
      </w:r>
      <w:r w:rsidR="001F3CD9" w:rsidRPr="00C927C5">
        <w:rPr>
          <w:i/>
          <w:iCs/>
        </w:rPr>
        <w:t>Rebate-Essential</w:t>
      </w:r>
      <w:r w:rsidR="001F3CD9" w:rsidRPr="00C927C5">
        <w:t xml:space="preserve"> respondents also state that they think they would have purchased some other EV (e.g., a different new or used EV) in absence of CVRP. </w:t>
      </w:r>
      <w:r w:rsidR="00632511">
        <w:t>E</w:t>
      </w:r>
      <w:r w:rsidR="001F3CD9" w:rsidRPr="00C927C5">
        <w:t xml:space="preserve">ven though the </w:t>
      </w:r>
      <w:r w:rsidR="001F3CD9" w:rsidRPr="00C927C5">
        <w:rPr>
          <w:i/>
          <w:iCs/>
        </w:rPr>
        <w:t>Rebate Essentiality</w:t>
      </w:r>
      <w:r w:rsidR="001F3CD9" w:rsidRPr="00C927C5">
        <w:t xml:space="preserve"> survey </w:t>
      </w:r>
      <w:r w:rsidR="00D34DF1">
        <w:t xml:space="preserve">question </w:t>
      </w:r>
      <w:r w:rsidR="001F3CD9" w:rsidRPr="00C927C5">
        <w:t xml:space="preserve">is simple and dichotomous, </w:t>
      </w:r>
      <w:r w:rsidR="00B8437F">
        <w:t xml:space="preserve">as formulated for CVRP, </w:t>
      </w:r>
      <w:r w:rsidR="00D34DF1">
        <w:t>it ask</w:t>
      </w:r>
      <w:r w:rsidR="00081B85">
        <w:t>ed</w:t>
      </w:r>
      <w:r w:rsidR="00D34DF1">
        <w:t xml:space="preserve"> about </w:t>
      </w:r>
      <w:r w:rsidR="00262576">
        <w:t>their specific rebated EV</w:t>
      </w:r>
      <w:r w:rsidR="00CA4764">
        <w:t xml:space="preserve"> (i.e., </w:t>
      </w:r>
      <w:r w:rsidR="00B0438A">
        <w:t>asking would you have purchased “your PEV” or “your [</w:t>
      </w:r>
      <w:r w:rsidR="007A52B7">
        <w:t>vehicle</w:t>
      </w:r>
      <w:r w:rsidR="000831AB">
        <w:t xml:space="preserve"> model</w:t>
      </w:r>
      <w:r w:rsidR="003B68DB">
        <w:t xml:space="preserve"> acquired</w:t>
      </w:r>
      <w:r w:rsidR="00B0438A">
        <w:t>]”</w:t>
      </w:r>
      <w:r w:rsidR="00CA4764">
        <w:t>)</w:t>
      </w:r>
      <w:r w:rsidR="00843E16">
        <w:t>,</w:t>
      </w:r>
      <w:r w:rsidR="00262576">
        <w:t xml:space="preserve"> </w:t>
      </w:r>
      <w:r w:rsidR="001F3CD9" w:rsidRPr="00C927C5">
        <w:t>as opposed to whether they would have purchased an EV at all.</w:t>
      </w:r>
      <w:r w:rsidR="00500CD8" w:rsidRPr="00C927C5">
        <w:t xml:space="preserve"> </w:t>
      </w:r>
    </w:p>
    <w:p w14:paraId="34AD6338" w14:textId="51CC09F0" w:rsidR="00CD734D" w:rsidRDefault="000717C8" w:rsidP="008F134B">
      <w:pPr>
        <w:pStyle w:val="Heading2"/>
      </w:pPr>
      <w:bookmarkStart w:id="35" w:name="_Toc227069791"/>
      <w:r w:rsidRPr="2F1055DC">
        <w:lastRenderedPageBreak/>
        <w:t>GHG</w:t>
      </w:r>
      <w:r w:rsidRPr="2F1055DC">
        <w:rPr>
          <w:i/>
          <w:iCs/>
        </w:rPr>
        <w:t xml:space="preserve"> </w:t>
      </w:r>
      <w:r w:rsidRPr="2F1055DC">
        <w:t>Emission Reductions and Cost-Effectiveness:</w:t>
      </w:r>
      <w:r w:rsidRPr="2F1055DC">
        <w:rPr>
          <w:i/>
          <w:iCs/>
        </w:rPr>
        <w:t xml:space="preserve"> </w:t>
      </w:r>
      <w:r w:rsidR="00843E16">
        <w:t xml:space="preserve">Detailed </w:t>
      </w:r>
      <w:r w:rsidR="001157DC">
        <w:t xml:space="preserve">Counterfactual </w:t>
      </w:r>
      <w:r w:rsidR="007C22D3">
        <w:t>Reductions</w:t>
      </w:r>
      <w:bookmarkEnd w:id="35"/>
      <w:r w:rsidR="008C3495">
        <w:t xml:space="preserve"> </w:t>
      </w:r>
    </w:p>
    <w:p w14:paraId="7B3EF986" w14:textId="6FD9E0FA" w:rsidR="001A2F40" w:rsidRDefault="000055F3" w:rsidP="00785B8D">
      <w:r>
        <w:t>C</w:t>
      </w:r>
      <w:r w:rsidR="001A2F40" w:rsidRPr="001442DB">
        <w:t xml:space="preserve">ounterfactual </w:t>
      </w:r>
      <w:r w:rsidR="005A3AFA" w:rsidRPr="001442DB">
        <w:t>reductions</w:t>
      </w:r>
      <w:r w:rsidR="00C30C39" w:rsidRPr="00C30C39">
        <w:t xml:space="preserve"> </w:t>
      </w:r>
      <w:r w:rsidR="00555FA2">
        <w:t xml:space="preserve">quantified </w:t>
      </w:r>
      <w:r w:rsidR="00A10F05">
        <w:t xml:space="preserve">using a </w:t>
      </w:r>
      <w:r w:rsidR="00F82BE2">
        <w:t>detailed list</w:t>
      </w:r>
      <w:r w:rsidR="00A10F05">
        <w:t xml:space="preserve"> of outcomes that</w:t>
      </w:r>
      <w:r w:rsidR="00555FA2">
        <w:t xml:space="preserve"> would have occurred in absence of CVRP represent reductions that are </w:t>
      </w:r>
      <w:r w:rsidR="00F82BE2">
        <w:t xml:space="preserve">most </w:t>
      </w:r>
      <w:r w:rsidR="00555FA2">
        <w:t xml:space="preserve">directly attributable to the program. </w:t>
      </w:r>
      <w:r w:rsidR="006C365B">
        <w:t>O</w:t>
      </w:r>
      <w:r w:rsidR="001A2F40" w:rsidRPr="001442DB">
        <w:t>ver the first year of ownership</w:t>
      </w:r>
      <w:r w:rsidR="006C365B">
        <w:t xml:space="preserve">, </w:t>
      </w:r>
      <w:r w:rsidR="007B026D">
        <w:t>these detailed</w:t>
      </w:r>
      <w:r w:rsidR="00E01043">
        <w:t xml:space="preserve"> </w:t>
      </w:r>
      <w:r w:rsidR="00491CEB">
        <w:t xml:space="preserve">counterfactual reductions </w:t>
      </w:r>
      <w:r w:rsidR="006C365B">
        <w:t>from rebated PHEVs and BEVs</w:t>
      </w:r>
      <w:r w:rsidR="001A2F40" w:rsidRPr="001442DB">
        <w:t xml:space="preserve"> are estimated to be approximately </w:t>
      </w:r>
      <w:r w:rsidR="00C05CAA">
        <w:t>489</w:t>
      </w:r>
      <w:r w:rsidR="003B7FB1">
        <w:t>,000</w:t>
      </w:r>
      <w:r w:rsidR="001A2F40" w:rsidRPr="001442DB">
        <w:t xml:space="preserve"> metric tons of CO</w:t>
      </w:r>
      <w:r w:rsidR="001A2F40" w:rsidRPr="001442DB">
        <w:rPr>
          <w:vertAlign w:val="subscript"/>
        </w:rPr>
        <w:t>2</w:t>
      </w:r>
      <w:r w:rsidR="00E54EDE">
        <w:t xml:space="preserve">e </w:t>
      </w:r>
      <w:r w:rsidR="001A2F40" w:rsidRPr="001442DB">
        <w:t xml:space="preserve">emissions. </w:t>
      </w:r>
      <w:r w:rsidR="007F04B4" w:rsidRPr="001442DB">
        <w:t>The</w:t>
      </w:r>
      <w:r w:rsidR="00900D72">
        <w:t>se</w:t>
      </w:r>
      <w:r w:rsidR="007F04B4" w:rsidRPr="001442DB">
        <w:t xml:space="preserve"> reductions </w:t>
      </w:r>
      <w:r w:rsidR="004D1E41">
        <w:t>accumulate</w:t>
      </w:r>
      <w:r w:rsidR="004D1E41" w:rsidRPr="001442DB">
        <w:t xml:space="preserve"> </w:t>
      </w:r>
      <w:r w:rsidR="007F04B4" w:rsidRPr="001442DB">
        <w:t xml:space="preserve">to approximately </w:t>
      </w:r>
      <w:r w:rsidR="007F04B4">
        <w:t>3</w:t>
      </w:r>
      <w:r w:rsidR="007F04B4" w:rsidRPr="001442DB">
        <w:t>.</w:t>
      </w:r>
      <w:r w:rsidR="00C05CAA">
        <w:t>6</w:t>
      </w:r>
      <w:r w:rsidR="007F04B4" w:rsidRPr="001442DB">
        <w:t>M tons over 100k mi</w:t>
      </w:r>
      <w:r w:rsidR="004E67B4">
        <w:t>les</w:t>
      </w:r>
      <w:r w:rsidR="00F9409E">
        <w:t xml:space="preserve"> of driving</w:t>
      </w:r>
      <w:r w:rsidR="007F04B4" w:rsidRPr="001442DB">
        <w:t xml:space="preserve">. </w:t>
      </w:r>
      <w:r w:rsidR="001A2F40" w:rsidRPr="001442DB">
        <w:t xml:space="preserve">According to the EPA, this is equivalent to the GHGs avoided by </w:t>
      </w:r>
      <w:r w:rsidR="00D117A0">
        <w:t>1,</w:t>
      </w:r>
      <w:r w:rsidR="005C6D6F">
        <w:t>065</w:t>
      </w:r>
      <w:r w:rsidR="001A2F40" w:rsidRPr="001442DB">
        <w:t xml:space="preserve"> wind turbines running for a year </w:t>
      </w:r>
      <w:r w:rsidR="00FD2EAE" w:rsidRPr="00FD2EAE">
        <w:rPr>
          <w:rFonts w:cs="Calibri"/>
        </w:rPr>
        <w:t>(US Environmental Protection Agency, 2025)</w:t>
      </w:r>
      <w:r w:rsidR="001A2F40" w:rsidRPr="001442DB">
        <w:t>.</w:t>
      </w:r>
      <w:r w:rsidR="005A3AFA" w:rsidRPr="001442DB">
        <w:t xml:space="preserve"> </w:t>
      </w:r>
      <w:r w:rsidR="001442DB" w:rsidRPr="001442DB">
        <w:t xml:space="preserve">Counterfactual vehicles are estimated to have </w:t>
      </w:r>
      <w:r w:rsidR="00F91AD6">
        <w:t>e</w:t>
      </w:r>
      <w:r w:rsidR="001442DB" w:rsidRPr="001442DB">
        <w:t xml:space="preserve">mitted </w:t>
      </w:r>
      <w:r w:rsidR="005C6D6F">
        <w:t>9.8</w:t>
      </w:r>
      <w:r w:rsidR="001442DB" w:rsidRPr="001442DB">
        <w:t>M tons of CO</w:t>
      </w:r>
      <w:r w:rsidR="001442DB" w:rsidRPr="001442DB">
        <w:rPr>
          <w:vertAlign w:val="subscript"/>
        </w:rPr>
        <w:t>2</w:t>
      </w:r>
      <w:r w:rsidR="003D3F50">
        <w:t xml:space="preserve">e </w:t>
      </w:r>
      <w:r w:rsidR="001442DB" w:rsidRPr="001442DB">
        <w:t xml:space="preserve">emissions </w:t>
      </w:r>
      <w:r w:rsidR="00DD2FE6">
        <w:t>over 100k mi</w:t>
      </w:r>
      <w:r w:rsidR="004E67B4">
        <w:t>les</w:t>
      </w:r>
      <w:r w:rsidR="001442DB" w:rsidRPr="001442DB">
        <w:t>—</w:t>
      </w:r>
      <w:r w:rsidR="003D0645">
        <w:t xml:space="preserve">a substantial amount more than the </w:t>
      </w:r>
      <w:r w:rsidR="00124A9A">
        <w:t>6.</w:t>
      </w:r>
      <w:r w:rsidR="00156F25">
        <w:t>2</w:t>
      </w:r>
      <w:r w:rsidR="00124A9A">
        <w:t>M</w:t>
      </w:r>
      <w:r w:rsidR="003D0645">
        <w:t xml:space="preserve"> </w:t>
      </w:r>
      <w:r w:rsidR="007562F9">
        <w:t xml:space="preserve">tons estimated to be emitted from rebated </w:t>
      </w:r>
      <w:r w:rsidR="00C14783">
        <w:t>PH</w:t>
      </w:r>
      <w:r w:rsidR="007562F9">
        <w:t>EVs</w:t>
      </w:r>
      <w:r w:rsidR="00C14783">
        <w:t xml:space="preserve"> and BEVs</w:t>
      </w:r>
      <w:r w:rsidR="00677032">
        <w:t xml:space="preserve"> (Figure </w:t>
      </w:r>
      <w:r w:rsidR="00677032">
        <w:rPr>
          <w:noProof/>
        </w:rPr>
        <w:t>7</w:t>
      </w:r>
      <w:r w:rsidR="00677032">
        <w:t>)</w:t>
      </w:r>
      <w:r w:rsidR="007562F9">
        <w:t xml:space="preserve">, but </w:t>
      </w:r>
      <w:r w:rsidR="001442DB" w:rsidRPr="001442DB">
        <w:t>much less than the 2</w:t>
      </w:r>
      <w:r w:rsidR="007F57DC">
        <w:t>2</w:t>
      </w:r>
      <w:r w:rsidR="001442DB" w:rsidRPr="001442DB">
        <w:t>M from the new gasoline vehicle baseline</w:t>
      </w:r>
      <w:r w:rsidR="00A454EA">
        <w:t>, resulting in fewer savings (</w:t>
      </w:r>
      <w:r w:rsidR="00A4079A">
        <w:t xml:space="preserve">Figure </w:t>
      </w:r>
      <w:r w:rsidR="00A4079A">
        <w:rPr>
          <w:noProof/>
        </w:rPr>
        <w:t>8</w:t>
      </w:r>
      <w:r w:rsidR="00A454EA">
        <w:t>)</w:t>
      </w:r>
      <w:r w:rsidR="001442DB" w:rsidRPr="001442DB">
        <w:t>.</w:t>
      </w:r>
      <w:r w:rsidR="0058720B">
        <w:t xml:space="preserve"> </w:t>
      </w:r>
      <w:r w:rsidR="005A3AFA" w:rsidRPr="001442DB">
        <w:t xml:space="preserve">Compared with </w:t>
      </w:r>
      <w:r w:rsidR="00A653E6" w:rsidRPr="001442DB">
        <w:t xml:space="preserve">total rebate expenditures, </w:t>
      </w:r>
      <w:r w:rsidR="005A3AFA" w:rsidRPr="001442DB">
        <w:t>this total indicates each ton of GHG reductions</w:t>
      </w:r>
      <w:r w:rsidR="00B87205">
        <w:t xml:space="preserve"> attributable to CVRP</w:t>
      </w:r>
      <w:r w:rsidR="005A3AFA" w:rsidRPr="001442DB">
        <w:t xml:space="preserve"> is associated with approximately $</w:t>
      </w:r>
      <w:r w:rsidR="00FC4D11">
        <w:t>386</w:t>
      </w:r>
      <w:r w:rsidR="005A3AFA" w:rsidRPr="001442DB">
        <w:t xml:space="preserve"> in CVRP rebates.</w:t>
      </w:r>
      <w:r w:rsidR="00EA1E93">
        <w:t xml:space="preserve"> </w:t>
      </w:r>
    </w:p>
    <w:p w14:paraId="40075998" w14:textId="0F315D80" w:rsidR="00E422C3" w:rsidRPr="00B90CFD" w:rsidRDefault="00E422C3" w:rsidP="00E422C3">
      <w:pPr>
        <w:pStyle w:val="TableFigureNumber0"/>
        <w:keepNext/>
        <w:rPr>
          <w:color w:val="0579BD"/>
        </w:rPr>
      </w:pPr>
      <w:bookmarkStart w:id="36" w:name="_Ref216035155"/>
      <w:r w:rsidRPr="00B90CFD">
        <w:rPr>
          <w:color w:val="0579BD"/>
        </w:rPr>
        <w:t xml:space="preserve">Figure </w:t>
      </w:r>
      <w:r w:rsidR="0023364B" w:rsidRPr="00B90CFD">
        <w:rPr>
          <w:noProof/>
          <w:color w:val="0579BD"/>
        </w:rPr>
        <w:t>7</w:t>
      </w:r>
      <w:bookmarkEnd w:id="36"/>
    </w:p>
    <w:p w14:paraId="3B3AEBAB" w14:textId="41EF9DAE" w:rsidR="00F45D4A" w:rsidRDefault="00F45D4A" w:rsidP="00F45D4A">
      <w:pPr>
        <w:pStyle w:val="TableFigureheader"/>
        <w:keepNext/>
      </w:pPr>
      <w:r>
        <w:t>Cumulative</w:t>
      </w:r>
      <w:r w:rsidR="00F445BE">
        <w:t xml:space="preserve"> GHG</w:t>
      </w:r>
      <w:r>
        <w:t xml:space="preserve"> Emissions Over Time</w:t>
      </w:r>
    </w:p>
    <w:p w14:paraId="35BDA0C0" w14:textId="7AA049DC" w:rsidR="00892492" w:rsidRPr="003A15C4" w:rsidRDefault="00892492" w:rsidP="00AC4991">
      <w:pPr>
        <w:pStyle w:val="TableFigureSubtitle"/>
      </w:pPr>
      <w:r>
        <w:t xml:space="preserve">Rebated </w:t>
      </w:r>
      <w:r w:rsidR="003833D6">
        <w:t>B</w:t>
      </w:r>
      <w:r>
        <w:t xml:space="preserve">EVs </w:t>
      </w:r>
      <w:r w:rsidR="009C7FA4">
        <w:t>and</w:t>
      </w:r>
      <w:r w:rsidR="00696CD5">
        <w:t xml:space="preserve"> PHEVs </w:t>
      </w:r>
      <w:r w:rsidR="009C7FA4">
        <w:t xml:space="preserve">&amp; </w:t>
      </w:r>
      <w:r>
        <w:t>Counterfactual Vehicle</w:t>
      </w:r>
      <w:r w:rsidR="009C7FA4">
        <w:t xml:space="preserve"> Baseline</w:t>
      </w:r>
      <w:r w:rsidR="00B24F59">
        <w:t>, 100k mi</w:t>
      </w:r>
      <w:r w:rsidR="004E67B4">
        <w:t>les</w:t>
      </w:r>
    </w:p>
    <w:p w14:paraId="50EC85F0" w14:textId="39B7CDF4" w:rsidR="00D31DC7" w:rsidRDefault="5F22ED3F" w:rsidP="69885ECB">
      <w:r>
        <w:rPr>
          <w:noProof/>
        </w:rPr>
        <w:drawing>
          <wp:inline distT="0" distB="0" distL="0" distR="0" wp14:anchorId="2A35E5E8" wp14:editId="7692D9E8">
            <wp:extent cx="5943600" cy="3562350"/>
            <wp:effectExtent l="0" t="0" r="0" b="0"/>
            <wp:docPr id="1243949271" name="drawing" descr="Chart visualizing the cumulative emissions over time from rebated BEVs and PHEVs (totaling 6.2M tons) and baseline counterfactual vehicles (totaling 9.8M 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49271" name="drawing" descr="Chart visualizing the cumulative emissions over time from rebated BEVs and PHEVs (totaling 6.2M tons) and baseline counterfactual vehicles (totaling 9.8M tons)."/>
                    <pic:cNvPicPr/>
                  </pic:nvPicPr>
                  <pic:blipFill>
                    <a:blip r:embed="rId21">
                      <a:extLst>
                        <a:ext uri="{28A0092B-C50C-407E-A947-70E740481C1C}">
                          <a14:useLocalDpi xmlns:a14="http://schemas.microsoft.com/office/drawing/2010/main"/>
                        </a:ext>
                      </a:extLst>
                    </a:blip>
                    <a:stretch>
                      <a:fillRect/>
                    </a:stretch>
                  </pic:blipFill>
                  <pic:spPr>
                    <a:xfrm>
                      <a:off x="0" y="0"/>
                      <a:ext cx="5943600" cy="3562350"/>
                    </a:xfrm>
                    <a:prstGeom prst="rect">
                      <a:avLst/>
                    </a:prstGeom>
                  </pic:spPr>
                </pic:pic>
              </a:graphicData>
            </a:graphic>
          </wp:inline>
        </w:drawing>
      </w:r>
    </w:p>
    <w:p w14:paraId="5B294C55" w14:textId="58653518" w:rsidR="00A4079A" w:rsidRPr="00B90CFD" w:rsidRDefault="00A4079A" w:rsidP="007511D8">
      <w:pPr>
        <w:pStyle w:val="TableFigureNumber0"/>
        <w:keepNext/>
        <w:rPr>
          <w:color w:val="0579BD"/>
        </w:rPr>
      </w:pPr>
      <w:bookmarkStart w:id="37" w:name="_Ref216035645"/>
      <w:r w:rsidRPr="00B90CFD">
        <w:rPr>
          <w:color w:val="0579BD"/>
        </w:rPr>
        <w:lastRenderedPageBreak/>
        <w:t xml:space="preserve">Figure </w:t>
      </w:r>
      <w:r w:rsidRPr="00B90CFD">
        <w:rPr>
          <w:noProof/>
          <w:color w:val="0579BD"/>
        </w:rPr>
        <w:t>8</w:t>
      </w:r>
      <w:bookmarkEnd w:id="37"/>
    </w:p>
    <w:p w14:paraId="5A623EA1" w14:textId="0E7EAE4E" w:rsidR="00A4079A" w:rsidRDefault="00A4079A" w:rsidP="007511D8">
      <w:pPr>
        <w:pStyle w:val="TableFigureTitle"/>
        <w:keepNext/>
      </w:pPr>
      <w:r>
        <w:t>Cumulative GHG Reductions by Quantification Level Over Time (100k mi</w:t>
      </w:r>
      <w:r w:rsidR="004E67B4">
        <w:t>les</w:t>
      </w:r>
      <w:r>
        <w:t>)</w:t>
      </w:r>
    </w:p>
    <w:p w14:paraId="060999F5" w14:textId="44AC4343" w:rsidR="00A4079A" w:rsidRDefault="331374BD" w:rsidP="00F55C12">
      <w:pPr>
        <w:spacing w:after="0"/>
      </w:pPr>
      <w:r>
        <w:rPr>
          <w:noProof/>
        </w:rPr>
        <w:drawing>
          <wp:inline distT="0" distB="0" distL="0" distR="0" wp14:anchorId="3BFCE3B2" wp14:editId="742BB0F1">
            <wp:extent cx="5943600" cy="3562350"/>
            <wp:effectExtent l="0" t="0" r="0" b="0"/>
            <wp:docPr id="34178984" name="drawing" descr="Chart visualizing the cumulative GHG reductions over time for four groups: all program, rebate important, and rebate essential, detailed counterf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8984" name="drawing" descr="Chart visualizing the cumulative GHG reductions over time for four groups: all program, rebate important, and rebate essential, detailed counterfactual."/>
                    <pic:cNvPicPr/>
                  </pic:nvPicPr>
                  <pic:blipFill>
                    <a:blip r:embed="rId22">
                      <a:extLst>
                        <a:ext uri="{28A0092B-C50C-407E-A947-70E740481C1C}">
                          <a14:useLocalDpi xmlns:a14="http://schemas.microsoft.com/office/drawing/2010/main"/>
                        </a:ext>
                      </a:extLst>
                    </a:blip>
                    <a:stretch>
                      <a:fillRect/>
                    </a:stretch>
                  </pic:blipFill>
                  <pic:spPr>
                    <a:xfrm>
                      <a:off x="0" y="0"/>
                      <a:ext cx="5943600" cy="3562350"/>
                    </a:xfrm>
                    <a:prstGeom prst="rect">
                      <a:avLst/>
                    </a:prstGeom>
                  </pic:spPr>
                </pic:pic>
              </a:graphicData>
            </a:graphic>
          </wp:inline>
        </w:drawing>
      </w:r>
    </w:p>
    <w:p w14:paraId="38148D70" w14:textId="7D4CF3C0" w:rsidR="003813A0" w:rsidRPr="00BF53AA" w:rsidRDefault="003813A0" w:rsidP="00BF53AA">
      <w:pPr>
        <w:pStyle w:val="NoSpacing"/>
        <w:rPr>
          <w:sz w:val="18"/>
          <w:szCs w:val="18"/>
        </w:rPr>
      </w:pPr>
      <w:r w:rsidRPr="0074458B">
        <w:rPr>
          <w:b/>
          <w:bCs/>
          <w:sz w:val="18"/>
          <w:szCs w:val="18"/>
        </w:rPr>
        <w:t>Note:</w:t>
      </w:r>
      <w:r w:rsidRPr="00BF53AA">
        <w:rPr>
          <w:sz w:val="18"/>
          <w:szCs w:val="18"/>
        </w:rPr>
        <w:t xml:space="preserve"> </w:t>
      </w:r>
      <w:r w:rsidR="003548CC" w:rsidRPr="00BF53AA">
        <w:rPr>
          <w:sz w:val="18"/>
          <w:szCs w:val="18"/>
        </w:rPr>
        <w:t>Detailed</w:t>
      </w:r>
      <w:r w:rsidR="00364130" w:rsidRPr="00BF53AA">
        <w:rPr>
          <w:sz w:val="18"/>
          <w:szCs w:val="18"/>
        </w:rPr>
        <w:t xml:space="preserve"> </w:t>
      </w:r>
      <w:r w:rsidR="0022439E" w:rsidRPr="00BF53AA">
        <w:rPr>
          <w:sz w:val="18"/>
          <w:szCs w:val="18"/>
        </w:rPr>
        <w:t xml:space="preserve">counterfactual reductions exclude FCEV rebates, which </w:t>
      </w:r>
      <w:r w:rsidR="00707254" w:rsidRPr="00BF53AA">
        <w:rPr>
          <w:sz w:val="18"/>
          <w:szCs w:val="18"/>
        </w:rPr>
        <w:t xml:space="preserve">composed </w:t>
      </w:r>
      <w:r w:rsidR="00586B84" w:rsidRPr="00BF53AA">
        <w:rPr>
          <w:sz w:val="18"/>
          <w:szCs w:val="18"/>
        </w:rPr>
        <w:t xml:space="preserve">2% of </w:t>
      </w:r>
      <w:r w:rsidR="00E70A0A" w:rsidRPr="00BF53AA">
        <w:rPr>
          <w:sz w:val="18"/>
          <w:szCs w:val="18"/>
        </w:rPr>
        <w:t>“</w:t>
      </w:r>
      <w:r w:rsidR="00896F8F" w:rsidRPr="00BF53AA">
        <w:rPr>
          <w:sz w:val="18"/>
          <w:szCs w:val="18"/>
        </w:rPr>
        <w:t>All program</w:t>
      </w:r>
      <w:r w:rsidR="00E70A0A" w:rsidRPr="00BF53AA">
        <w:rPr>
          <w:sz w:val="18"/>
          <w:szCs w:val="18"/>
        </w:rPr>
        <w:t>”</w:t>
      </w:r>
      <w:r w:rsidR="00896F8F" w:rsidRPr="00BF53AA">
        <w:rPr>
          <w:sz w:val="18"/>
          <w:szCs w:val="18"/>
        </w:rPr>
        <w:t xml:space="preserve"> reductions.</w:t>
      </w:r>
    </w:p>
    <w:p w14:paraId="4246182C" w14:textId="77777777" w:rsidR="00BF53AA" w:rsidRDefault="00BF53AA" w:rsidP="00F55C12">
      <w:pPr>
        <w:pStyle w:val="Body"/>
        <w:spacing w:after="0"/>
      </w:pPr>
    </w:p>
    <w:p w14:paraId="2FC69949" w14:textId="3F1381EE" w:rsidR="00AC700D" w:rsidRPr="006873CC" w:rsidRDefault="00AC700D" w:rsidP="00AC700D">
      <w:pPr>
        <w:pStyle w:val="Body"/>
      </w:pPr>
      <w:r>
        <w:t xml:space="preserve">In total, estimated first-year </w:t>
      </w:r>
      <w:r w:rsidR="00851A44">
        <w:t xml:space="preserve">counterfactual </w:t>
      </w:r>
      <w:r>
        <w:t xml:space="preserve">reductions average </w:t>
      </w:r>
      <w:r w:rsidR="00CF2FE0">
        <w:t>0.9</w:t>
      </w:r>
      <w:r>
        <w:t xml:space="preserve"> tons</w:t>
      </w:r>
      <w:r w:rsidRPr="00391B55">
        <w:t xml:space="preserve"> </w:t>
      </w:r>
      <w:r>
        <w:t>per vehicle</w:t>
      </w:r>
      <w:r w:rsidR="00D44220">
        <w:t xml:space="preserve">, ranging from </w:t>
      </w:r>
      <w:r w:rsidR="005C6BEA">
        <w:t>0.5 tons for Standard Rebate PHEVs to 1.5 tons for Increased Rebate BEVs</w:t>
      </w:r>
      <w:r w:rsidR="005657B3">
        <w:t xml:space="preserve"> (Table </w:t>
      </w:r>
      <w:r w:rsidR="005657B3">
        <w:rPr>
          <w:noProof/>
        </w:rPr>
        <w:t>6</w:t>
      </w:r>
      <w:r w:rsidR="005657B3">
        <w:t>)</w:t>
      </w:r>
      <w:r w:rsidR="005C6BEA">
        <w:t>.</w:t>
      </w:r>
      <w:r>
        <w:t xml:space="preserve"> </w:t>
      </w:r>
      <w:r w:rsidR="005C6BEA">
        <w:t xml:space="preserve">Estimated </w:t>
      </w:r>
      <w:r>
        <w:t>100k</w:t>
      </w:r>
      <w:r w:rsidR="0008292B">
        <w:t>-</w:t>
      </w:r>
      <w:r>
        <w:t>mi</w:t>
      </w:r>
      <w:r w:rsidR="004E67B4">
        <w:t>le</w:t>
      </w:r>
      <w:r>
        <w:t xml:space="preserve"> </w:t>
      </w:r>
      <w:r w:rsidR="00103490">
        <w:t xml:space="preserve">counterfactual </w:t>
      </w:r>
      <w:r>
        <w:t xml:space="preserve">reductions average </w:t>
      </w:r>
      <w:r w:rsidR="00CF2FE0">
        <w:t>6.4</w:t>
      </w:r>
      <w:r w:rsidRPr="00635D64">
        <w:t xml:space="preserve"> </w:t>
      </w:r>
      <w:r>
        <w:t>tons per vehicle</w:t>
      </w:r>
      <w:r w:rsidRPr="00635D64">
        <w:t>.</w:t>
      </w:r>
      <w:r>
        <w:t xml:space="preserve"> By technology type, 100k</w:t>
      </w:r>
      <w:r w:rsidR="0008292B">
        <w:t>-</w:t>
      </w:r>
      <w:r>
        <w:t>mi</w:t>
      </w:r>
      <w:r w:rsidR="004E67B4">
        <w:t>le</w:t>
      </w:r>
      <w:r>
        <w:t xml:space="preserve"> reductions </w:t>
      </w:r>
      <w:r w:rsidR="00FE3270">
        <w:t>average</w:t>
      </w:r>
      <w:r>
        <w:t xml:space="preserve"> </w:t>
      </w:r>
      <w:r w:rsidR="00CF2FE0">
        <w:t>3.6</w:t>
      </w:r>
      <w:r w:rsidR="00FE3270">
        <w:t xml:space="preserve"> </w:t>
      </w:r>
      <w:r>
        <w:t xml:space="preserve">tons per </w:t>
      </w:r>
      <w:r w:rsidR="00577DFF">
        <w:t>PH</w:t>
      </w:r>
      <w:r>
        <w:t>EV</w:t>
      </w:r>
      <w:r w:rsidRPr="008C702A">
        <w:t xml:space="preserve"> </w:t>
      </w:r>
      <w:r w:rsidR="008D637A">
        <w:t xml:space="preserve">at </w:t>
      </w:r>
      <w:r w:rsidR="00FB6EEE">
        <w:t xml:space="preserve">$458 per ton </w:t>
      </w:r>
      <w:r w:rsidR="006E4B01">
        <w:t>and</w:t>
      </w:r>
      <w:r>
        <w:t xml:space="preserve"> </w:t>
      </w:r>
      <w:r w:rsidR="00CF2FE0">
        <w:t>7.4</w:t>
      </w:r>
      <w:r w:rsidR="00034F7C">
        <w:t xml:space="preserve"> </w:t>
      </w:r>
      <w:r>
        <w:t>tons per BEV</w:t>
      </w:r>
      <w:r w:rsidR="00FB6EEE">
        <w:t xml:space="preserve"> at $373 per ton</w:t>
      </w:r>
      <w:r>
        <w:t>.</w:t>
      </w:r>
      <w:r w:rsidRPr="00B600C1">
        <w:t xml:space="preserve"> </w:t>
      </w:r>
      <w:r w:rsidR="001C489C">
        <w:t>By rebate type, 100k</w:t>
      </w:r>
      <w:r w:rsidR="0008292B">
        <w:t>-</w:t>
      </w:r>
      <w:r w:rsidR="001C489C">
        <w:t>mi</w:t>
      </w:r>
      <w:r w:rsidR="004E67B4">
        <w:t>le</w:t>
      </w:r>
      <w:r w:rsidR="001C489C">
        <w:t xml:space="preserve"> reductions average </w:t>
      </w:r>
      <w:r w:rsidR="00465D7D">
        <w:t>6.0</w:t>
      </w:r>
      <w:r w:rsidR="001C489C">
        <w:t xml:space="preserve"> tons </w:t>
      </w:r>
      <w:r w:rsidR="004905CE">
        <w:t>at $347 per ton</w:t>
      </w:r>
      <w:r w:rsidR="00A11671">
        <w:t xml:space="preserve"> for Standard Rebates</w:t>
      </w:r>
      <w:r w:rsidR="004905CE">
        <w:t xml:space="preserve"> </w:t>
      </w:r>
      <w:r w:rsidR="001C489C">
        <w:t xml:space="preserve">and </w:t>
      </w:r>
      <w:r w:rsidR="00465D7D">
        <w:t>9.6</w:t>
      </w:r>
      <w:r w:rsidR="001C489C">
        <w:t xml:space="preserve"> tons </w:t>
      </w:r>
      <w:r w:rsidR="00A11671">
        <w:t xml:space="preserve">at $561 per ton </w:t>
      </w:r>
      <w:r w:rsidR="005455F5">
        <w:t>for Increased Rebates</w:t>
      </w:r>
      <w:r w:rsidR="001C489C">
        <w:t>.</w:t>
      </w:r>
      <w:r w:rsidR="001C489C" w:rsidRPr="00B600C1">
        <w:t xml:space="preserve"> </w:t>
      </w:r>
      <w:r w:rsidR="00F91428">
        <w:t xml:space="preserve">By cohort, </w:t>
      </w:r>
      <w:r w:rsidR="00F205D1">
        <w:t xml:space="preserve">average reductions range from 3.4 tons for Standard Rebate PHEVs to 10.5 tons for Increased Rebate BEVs. </w:t>
      </w:r>
      <w:r w:rsidR="00AF001F">
        <w:t>C</w:t>
      </w:r>
      <w:r w:rsidR="00F91428">
        <w:t xml:space="preserve">osts per ton of reductions range from </w:t>
      </w:r>
      <w:r w:rsidR="00AF001F">
        <w:t xml:space="preserve">$332 for Standard Rebate BEVs </w:t>
      </w:r>
      <w:r w:rsidR="000F02BF">
        <w:t xml:space="preserve">to $667 for Increased Rebate PHEVs. </w:t>
      </w:r>
      <w:r w:rsidR="005C6084" w:rsidRPr="000344DF">
        <w:t>Taking</w:t>
      </w:r>
      <w:r w:rsidR="005C6084" w:rsidRPr="000344DF" w:rsidDel="005C6084">
        <w:t xml:space="preserve"> </w:t>
      </w:r>
      <w:r w:rsidR="007E129F">
        <w:t xml:space="preserve">detailed </w:t>
      </w:r>
      <w:r w:rsidR="001C798B" w:rsidRPr="000344DF">
        <w:t>counterfactual behavior data into account thus</w:t>
      </w:r>
      <w:r w:rsidR="001B7683">
        <w:t xml:space="preserve"> decreases reductions</w:t>
      </w:r>
      <w:r w:rsidR="004078F7">
        <w:t xml:space="preserve">, </w:t>
      </w:r>
      <w:r w:rsidR="00BC3522">
        <w:t xml:space="preserve">which </w:t>
      </w:r>
      <w:r w:rsidR="001C798B" w:rsidRPr="000344DF">
        <w:t>increas</w:t>
      </w:r>
      <w:r w:rsidR="00BC3522">
        <w:t>es</w:t>
      </w:r>
      <w:r w:rsidR="001C798B" w:rsidRPr="000344DF">
        <w:t xml:space="preserve"> </w:t>
      </w:r>
      <w:r w:rsidR="001C798B">
        <w:t>costs</w:t>
      </w:r>
      <w:r w:rsidR="008038C6">
        <w:t xml:space="preserve"> of reductions</w:t>
      </w:r>
      <w:r w:rsidR="001C798B" w:rsidRPr="000344DF">
        <w:t xml:space="preserve"> significantly beyond simply accounting</w:t>
      </w:r>
      <w:r w:rsidR="001C798B">
        <w:t xml:space="preserve"> for rebate influence (</w:t>
      </w:r>
      <w:r w:rsidR="00DA7988">
        <w:t xml:space="preserve">Table </w:t>
      </w:r>
      <w:r w:rsidR="00DA7988">
        <w:rPr>
          <w:noProof/>
        </w:rPr>
        <w:t>5</w:t>
      </w:r>
      <w:r w:rsidR="001C798B">
        <w:t>)</w:t>
      </w:r>
      <w:r w:rsidR="000F02BF">
        <w:t>.</w:t>
      </w:r>
      <w:r w:rsidR="001C798B">
        <w:t xml:space="preserve"> </w:t>
      </w:r>
      <w:r w:rsidR="000F02BF">
        <w:t xml:space="preserve">This is </w:t>
      </w:r>
      <w:r w:rsidR="001C798B">
        <w:t>largely due to the portion of participants with EV counterfactuals (~65%</w:t>
      </w:r>
      <w:r w:rsidR="00D95975">
        <w:t xml:space="preserve">, </w:t>
      </w:r>
      <w:r w:rsidR="006547D9">
        <w:t xml:space="preserve">plus </w:t>
      </w:r>
      <w:r w:rsidR="00D95975">
        <w:t>those who would have kept driving a previous</w:t>
      </w:r>
      <w:r w:rsidR="00796684">
        <w:t>ly-owned</w:t>
      </w:r>
      <w:r w:rsidR="00D95975">
        <w:t xml:space="preserve"> EV</w:t>
      </w:r>
      <w:r w:rsidR="001C798B">
        <w:t xml:space="preserve">) exceeding the 51% of participants that were not </w:t>
      </w:r>
      <w:r w:rsidR="001C798B" w:rsidRPr="00064F9D">
        <w:rPr>
          <w:i/>
          <w:iCs/>
        </w:rPr>
        <w:t>Rebate Essential</w:t>
      </w:r>
      <w:r w:rsidR="001C798B">
        <w:t>.</w:t>
      </w:r>
    </w:p>
    <w:p w14:paraId="7FDD48E6" w14:textId="60EDBF3E" w:rsidR="00EA2C0E" w:rsidRDefault="00A6291E" w:rsidP="003B5004">
      <w:r>
        <w:t xml:space="preserve">Refining emission estimates with </w:t>
      </w:r>
      <w:r w:rsidR="003858DD">
        <w:t xml:space="preserve">detailed </w:t>
      </w:r>
      <w:r>
        <w:t xml:space="preserve">counterfactual behaviors </w:t>
      </w:r>
      <w:r w:rsidR="00F45E81">
        <w:t xml:space="preserve">produces unique insights. </w:t>
      </w:r>
      <w:r w:rsidR="00676E99">
        <w:t xml:space="preserve">Not only do </w:t>
      </w:r>
      <w:r w:rsidR="007B0757">
        <w:t>costs of reductions</w:t>
      </w:r>
      <w:r w:rsidR="007B0757" w:rsidRPr="000344DF">
        <w:t xml:space="preserve"> </w:t>
      </w:r>
      <w:r w:rsidR="0088380C">
        <w:t xml:space="preserve">increase </w:t>
      </w:r>
      <w:r w:rsidR="00152B1C">
        <w:t xml:space="preserve">under the counterfactual analysis relative to </w:t>
      </w:r>
      <w:r w:rsidR="00584922">
        <w:t xml:space="preserve">the other </w:t>
      </w:r>
      <w:r w:rsidR="00422AE2">
        <w:t xml:space="preserve">quantification </w:t>
      </w:r>
      <w:r w:rsidR="00584922">
        <w:t>levels</w:t>
      </w:r>
      <w:r w:rsidR="00152B1C">
        <w:t xml:space="preserve">, </w:t>
      </w:r>
      <w:r w:rsidR="00572939">
        <w:t xml:space="preserve">important </w:t>
      </w:r>
      <w:r w:rsidR="00DC05A5">
        <w:t xml:space="preserve">variations in results across groups are </w:t>
      </w:r>
      <w:r w:rsidR="005B4F44">
        <w:t xml:space="preserve">revealed </w:t>
      </w:r>
      <w:r w:rsidR="0047145C">
        <w:t>due to differences in counterfactual behaviors between them</w:t>
      </w:r>
      <w:r w:rsidR="00E70459">
        <w:t xml:space="preserve">. </w:t>
      </w:r>
      <w:r w:rsidR="00574C2F">
        <w:t xml:space="preserve">Broadly, </w:t>
      </w:r>
      <w:r w:rsidR="00152B1C">
        <w:t xml:space="preserve">BEV results improve relative to PHEVs and Increased Rebate results </w:t>
      </w:r>
      <w:r w:rsidR="00152B1C">
        <w:lastRenderedPageBreak/>
        <w:t>improve relative to Standard Rebates.</w:t>
      </w:r>
      <w:r w:rsidR="00526DCE" w:rsidRPr="00526DCE">
        <w:t xml:space="preserve"> </w:t>
      </w:r>
      <w:r w:rsidR="00EC4AE9">
        <w:t xml:space="preserve">Contrasting with </w:t>
      </w:r>
      <w:r w:rsidR="00B7450D">
        <w:t xml:space="preserve">estimates </w:t>
      </w:r>
      <w:r w:rsidR="004F7CC9">
        <w:t xml:space="preserve">comparing </w:t>
      </w:r>
      <w:r w:rsidR="00935259">
        <w:t xml:space="preserve">rebated emissions </w:t>
      </w:r>
      <w:r w:rsidR="00B7450D">
        <w:t>to new gasoline vehicles</w:t>
      </w:r>
      <w:r w:rsidR="00EC4AE9">
        <w:t xml:space="preserve">, </w:t>
      </w:r>
      <w:r w:rsidR="00E043F4">
        <w:t xml:space="preserve">detailed </w:t>
      </w:r>
      <w:r w:rsidR="00EC4AE9">
        <w:t xml:space="preserve">counterfactual reductions are more cost effective for BEVs than PHEVs, despite </w:t>
      </w:r>
      <w:r w:rsidR="00D31D9C">
        <w:t xml:space="preserve">BEVs having </w:t>
      </w:r>
      <w:r w:rsidR="00EC4AE9">
        <w:t>higher rebate amounts. This results</w:t>
      </w:r>
      <w:r w:rsidR="00E75AC7">
        <w:t xml:space="preserve"> from </w:t>
      </w:r>
      <w:r w:rsidR="0009196A">
        <w:t xml:space="preserve">BEV reductions increasing relative to PHEVs, </w:t>
      </w:r>
      <w:r w:rsidR="00EC4AE9">
        <w:t>primarily from their counterfactual vehicles less-frequently being other EVs</w:t>
      </w:r>
      <w:r w:rsidR="00936AA9">
        <w:t>, more frequently</w:t>
      </w:r>
      <w:r w:rsidR="00F264C7">
        <w:t xml:space="preserve"> </w:t>
      </w:r>
      <w:r w:rsidR="00936AA9">
        <w:t xml:space="preserve">being their previous vehicles, </w:t>
      </w:r>
      <w:r w:rsidR="00DF5E9F">
        <w:t>and</w:t>
      </w:r>
      <w:r w:rsidR="008A5F09">
        <w:t>,</w:t>
      </w:r>
      <w:r w:rsidR="00DF5E9F">
        <w:t xml:space="preserve"> </w:t>
      </w:r>
      <w:r w:rsidR="0001258A">
        <w:t>since 2021</w:t>
      </w:r>
      <w:r w:rsidR="008A5F09">
        <w:t>,</w:t>
      </w:r>
      <w:r w:rsidR="0001258A">
        <w:t xml:space="preserve"> </w:t>
      </w:r>
      <w:r w:rsidR="00DF5E9F">
        <w:t>more frequently being</w:t>
      </w:r>
      <w:r w:rsidR="00F264C7">
        <w:t xml:space="preserve"> gasoline vehicles</w:t>
      </w:r>
      <w:r w:rsidR="00F53FC9">
        <w:t xml:space="preserve"> (</w:t>
      </w:r>
      <w:r w:rsidR="00A920B8">
        <w:t xml:space="preserve">Figure </w:t>
      </w:r>
      <w:r w:rsidR="00A920B8">
        <w:rPr>
          <w:noProof/>
        </w:rPr>
        <w:t>12</w:t>
      </w:r>
      <w:r w:rsidR="00F53FC9">
        <w:t>)</w:t>
      </w:r>
      <w:r w:rsidR="00EC4AE9">
        <w:t xml:space="preserve">. </w:t>
      </w:r>
      <w:r w:rsidR="00381E2F">
        <w:t>D</w:t>
      </w:r>
      <w:r w:rsidR="003D7862">
        <w:t xml:space="preserve">etailed </w:t>
      </w:r>
      <w:r w:rsidR="00E36473">
        <w:t xml:space="preserve">counterfactual </w:t>
      </w:r>
      <w:r w:rsidR="0053443C">
        <w:t xml:space="preserve">reductions </w:t>
      </w:r>
      <w:r w:rsidR="00E36473">
        <w:t xml:space="preserve">are </w:t>
      </w:r>
      <w:r w:rsidR="00381E2F">
        <w:t xml:space="preserve">also </w:t>
      </w:r>
      <w:r w:rsidR="00C56665">
        <w:t>much higher for Increased Rebate recipients</w:t>
      </w:r>
      <w:r w:rsidR="001B0AC9">
        <w:t xml:space="preserve"> than Standard Rebate recipients</w:t>
      </w:r>
      <w:r w:rsidR="00F848A0">
        <w:t xml:space="preserve"> (whereas they are similar when compared to new gasoline vehicles)</w:t>
      </w:r>
      <w:r w:rsidR="00C56665">
        <w:t>.</w:t>
      </w:r>
      <w:r w:rsidR="00A91949">
        <w:t xml:space="preserve"> </w:t>
      </w:r>
      <w:r w:rsidR="00806002">
        <w:t xml:space="preserve">This too results primarily from their counterfactual vehicles </w:t>
      </w:r>
      <w:r w:rsidR="00643C37">
        <w:t>less frequently</w:t>
      </w:r>
      <w:r w:rsidR="00806002">
        <w:t xml:space="preserve"> being other EVs. </w:t>
      </w:r>
      <w:r w:rsidR="009133C3">
        <w:t xml:space="preserve">As with </w:t>
      </w:r>
      <w:r w:rsidR="00AD0111">
        <w:t xml:space="preserve">the </w:t>
      </w:r>
      <w:r w:rsidR="00A56654">
        <w:t xml:space="preserve">other </w:t>
      </w:r>
      <w:r w:rsidR="00AD0111">
        <w:t xml:space="preserve">quantification </w:t>
      </w:r>
      <w:r w:rsidR="00A56654">
        <w:t>levels</w:t>
      </w:r>
      <w:r w:rsidR="00DC6F32">
        <w:t>,</w:t>
      </w:r>
      <w:r w:rsidR="009133C3">
        <w:t xml:space="preserve"> </w:t>
      </w:r>
      <w:r w:rsidR="00A91949">
        <w:t>Increased Rebate</w:t>
      </w:r>
      <w:r w:rsidR="009133C3">
        <w:t xml:space="preserve">s remain </w:t>
      </w:r>
      <w:r w:rsidR="007B6F8E">
        <w:t>less cost-effective due to their much higher rebate</w:t>
      </w:r>
      <w:r w:rsidR="00A91949">
        <w:t xml:space="preserve"> amounts</w:t>
      </w:r>
      <w:r w:rsidR="0003258B">
        <w:t xml:space="preserve">, but the cost/ton gap </w:t>
      </w:r>
      <w:r w:rsidR="00F75B72">
        <w:t xml:space="preserve">from Standard Rebates </w:t>
      </w:r>
      <w:r w:rsidR="007F0F1F">
        <w:t xml:space="preserve">is </w:t>
      </w:r>
      <w:r w:rsidR="00537C82">
        <w:t xml:space="preserve">relatively </w:t>
      </w:r>
      <w:r w:rsidR="00A13FD5">
        <w:t>narrow</w:t>
      </w:r>
      <w:r w:rsidR="007F0F1F">
        <w:t>er</w:t>
      </w:r>
      <w:r w:rsidR="006B51FE">
        <w:t xml:space="preserve"> </w:t>
      </w:r>
      <w:r w:rsidR="0015727A">
        <w:t xml:space="preserve">(Figure </w:t>
      </w:r>
      <w:r w:rsidR="0015727A">
        <w:rPr>
          <w:noProof/>
        </w:rPr>
        <w:t>9</w:t>
      </w:r>
      <w:r w:rsidR="0015727A">
        <w:t>)</w:t>
      </w:r>
      <w:r w:rsidR="00A13FD5">
        <w:t>.</w:t>
      </w:r>
      <w:bookmarkStart w:id="38" w:name="_Ref218868354"/>
      <w:r w:rsidR="004A6806">
        <w:t xml:space="preserve"> These findings by technology and rebate type are displayed in Table </w:t>
      </w:r>
      <w:r w:rsidR="004A6806">
        <w:rPr>
          <w:noProof/>
        </w:rPr>
        <w:t>6</w:t>
      </w:r>
      <w:r w:rsidR="004A6806">
        <w:t>.</w:t>
      </w:r>
    </w:p>
    <w:p w14:paraId="16D63778" w14:textId="105D3ADB" w:rsidR="0071567E" w:rsidRDefault="00B67AFA" w:rsidP="003B5004">
      <w:r>
        <w:t xml:space="preserve">The substantial variance in results across the three quantification levels (all, rebate influenced, and </w:t>
      </w:r>
      <w:r w:rsidR="0078790E">
        <w:t xml:space="preserve">detailed </w:t>
      </w:r>
      <w:r>
        <w:t>counterfactual) confirms the importance of detailed and context-specific emissions analysis, in this case, by accounting for the influence of subsidies on consumer behavior when evaluating program impacts.</w:t>
      </w:r>
      <w:r w:rsidR="008A2736" w:rsidRPr="008A2736">
        <w:t xml:space="preserve"> </w:t>
      </w:r>
      <w:r w:rsidR="008A2736" w:rsidRPr="00526DCE">
        <w:t xml:space="preserve">Importantly, </w:t>
      </w:r>
      <w:r w:rsidR="008A2736">
        <w:t xml:space="preserve">the change in cost-effectiveness outcomes between BEVs and PHEVs also highlights that </w:t>
      </w:r>
      <w:r w:rsidR="008A2736" w:rsidRPr="00526DCE">
        <w:t xml:space="preserve">failing to </w:t>
      </w:r>
      <w:r w:rsidR="00805338">
        <w:t xml:space="preserve">fully </w:t>
      </w:r>
      <w:r w:rsidR="008A2736" w:rsidRPr="00526DCE">
        <w:t xml:space="preserve">account for </w:t>
      </w:r>
      <w:r w:rsidR="000548A6">
        <w:t>counterfactual</w:t>
      </w:r>
      <w:r w:rsidR="008A2736">
        <w:t xml:space="preserve"> </w:t>
      </w:r>
      <w:r w:rsidR="008A2736" w:rsidRPr="00526DCE">
        <w:t>behavior</w:t>
      </w:r>
      <w:r w:rsidR="000548A6">
        <w:t>s</w:t>
      </w:r>
      <w:r w:rsidR="003A4A26">
        <w:t xml:space="preserve"> </w:t>
      </w:r>
      <w:r w:rsidR="008A2736">
        <w:t xml:space="preserve">when evaluating programs could lead to misleading results and </w:t>
      </w:r>
      <w:r w:rsidR="009D660C">
        <w:t xml:space="preserve">the </w:t>
      </w:r>
      <w:r w:rsidR="008A2736">
        <w:t>potential misallocation of resources.</w:t>
      </w:r>
    </w:p>
    <w:p w14:paraId="34C2569F" w14:textId="3919E673" w:rsidR="00CB54D9" w:rsidRDefault="00CB54D9" w:rsidP="003B5004">
      <w:r>
        <w:t xml:space="preserve">Note that these results are subject to the caveats described in the Limitations section, and important program features and market dynamics described in the Program &amp; Market Context section should be considered. Also, as detailed in Appendix B, the results are sensitive to several of the generally conservative inputs and assumptions used. For example, </w:t>
      </w:r>
      <w:r w:rsidR="00A258A6">
        <w:t xml:space="preserve">total </w:t>
      </w:r>
      <w:r w:rsidR="00310C69" w:rsidRPr="00794939">
        <w:rPr>
          <w:rFonts w:eastAsia="Calibri"/>
          <w:color w:val="000000"/>
          <w:u w:color="000000"/>
          <w14:textOutline w14:w="0" w14:cap="flat" w14:cmpd="sng" w14:algn="ctr">
            <w14:noFill/>
            <w14:prstDash w14:val="solid"/>
            <w14:bevel/>
          </w14:textOutline>
        </w:rPr>
        <w:t xml:space="preserve">costs </w:t>
      </w:r>
      <w:r w:rsidR="00597AE0">
        <w:rPr>
          <w:rFonts w:eastAsia="Calibri"/>
          <w:color w:val="000000"/>
          <w:u w:color="000000"/>
          <w14:textOutline w14:w="0" w14:cap="flat" w14:cmpd="sng" w14:algn="ctr">
            <w14:noFill/>
            <w14:prstDash w14:val="solid"/>
            <w14:bevel/>
          </w14:textOutline>
        </w:rPr>
        <w:t xml:space="preserve">per ton </w:t>
      </w:r>
      <w:r w:rsidR="00310C69" w:rsidRPr="00794939">
        <w:rPr>
          <w:rFonts w:eastAsia="Calibri"/>
          <w:color w:val="000000"/>
          <w:u w:color="000000"/>
          <w14:textOutline w14:w="0" w14:cap="flat" w14:cmpd="sng" w14:algn="ctr">
            <w14:noFill/>
            <w14:prstDash w14:val="solid"/>
            <w14:bevel/>
          </w14:textOutline>
        </w:rPr>
        <w:t xml:space="preserve">decrease </w:t>
      </w:r>
      <w:r w:rsidR="00310C69">
        <w:rPr>
          <w:rFonts w:eastAsia="Calibri"/>
          <w:color w:val="000000"/>
          <w:u w:color="000000"/>
          <w14:textOutline w14:w="0" w14:cap="flat" w14:cmpd="sng" w14:algn="ctr">
            <w14:noFill/>
            <w14:prstDash w14:val="solid"/>
            <w14:bevel/>
          </w14:textOutline>
        </w:rPr>
        <w:t>3</w:t>
      </w:r>
      <w:r w:rsidR="00A258A6">
        <w:rPr>
          <w:rFonts w:eastAsia="Calibri"/>
          <w:color w:val="000000"/>
          <w:u w:color="000000"/>
          <w14:textOutline w14:w="0" w14:cap="flat" w14:cmpd="sng" w14:algn="ctr">
            <w14:noFill/>
            <w14:prstDash w14:val="solid"/>
            <w14:bevel/>
          </w14:textOutline>
        </w:rPr>
        <w:t>4</w:t>
      </w:r>
      <w:r w:rsidR="00310C69" w:rsidRPr="00794939">
        <w:rPr>
          <w:rFonts w:eastAsia="Calibri"/>
          <w:color w:val="000000"/>
          <w:u w:color="000000"/>
          <w14:textOutline w14:w="0" w14:cap="flat" w14:cmpd="sng" w14:algn="ctr">
            <w14:noFill/>
            <w14:prstDash w14:val="solid"/>
            <w14:bevel/>
          </w14:textOutline>
        </w:rPr>
        <w:t>%</w:t>
      </w:r>
      <w:r w:rsidR="00310C69">
        <w:rPr>
          <w:rFonts w:eastAsia="Calibri"/>
          <w:color w:val="000000"/>
          <w:u w:color="000000"/>
          <w14:textOutline w14:w="0" w14:cap="flat" w14:cmpd="sng" w14:algn="ctr">
            <w14:noFill/>
            <w14:prstDash w14:val="solid"/>
            <w14:bevel/>
          </w14:textOutline>
        </w:rPr>
        <w:t xml:space="preserve"> </w:t>
      </w:r>
      <w:r>
        <w:rPr>
          <w:rFonts w:eastAsia="Calibri"/>
          <w:color w:val="000000"/>
          <w:u w:color="000000"/>
          <w14:textOutline w14:w="0" w14:cap="flat" w14:cmpd="sng" w14:algn="ctr">
            <w14:noFill/>
            <w14:prstDash w14:val="solid"/>
            <w14:bevel/>
          </w14:textOutline>
        </w:rPr>
        <w:t>w</w:t>
      </w:r>
      <w:r w:rsidRPr="00794939">
        <w:rPr>
          <w:rFonts w:eastAsia="Calibri"/>
          <w:color w:val="000000"/>
          <w:u w:color="000000"/>
          <w14:textOutline w14:w="0" w14:cap="flat" w14:cmpd="sng" w14:algn="ctr">
            <w14:noFill/>
            <w14:prstDash w14:val="solid"/>
            <w14:bevel/>
          </w14:textOutline>
        </w:rPr>
        <w:t>hen using another common</w:t>
      </w:r>
      <w:r>
        <w:rPr>
          <w:rFonts w:eastAsia="Calibri"/>
          <w:color w:val="000000"/>
          <w:u w:color="000000"/>
          <w14:textOutline w14:w="0" w14:cap="flat" w14:cmpd="sng" w14:algn="ctr">
            <w14:noFill/>
            <w14:prstDash w14:val="solid"/>
            <w14:bevel/>
          </w14:textOutline>
        </w:rPr>
        <w:t>ly-used</w:t>
      </w:r>
      <w:r w:rsidRPr="00794939">
        <w:rPr>
          <w:rFonts w:eastAsia="Calibri"/>
          <w:color w:val="000000"/>
          <w:u w:color="000000"/>
          <w14:textOutline w14:w="0" w14:cap="flat" w14:cmpd="sng" w14:algn="ctr">
            <w14:noFill/>
            <w14:prstDash w14:val="solid"/>
            <w14:bevel/>
          </w14:textOutline>
        </w:rPr>
        <w:t xml:space="preserve"> mileage assumption of 150k miles</w:t>
      </w:r>
      <w:r>
        <w:rPr>
          <w:rFonts w:eastAsia="Calibri"/>
          <w:color w:val="000000"/>
          <w:u w:color="000000"/>
          <w14:textOutline w14:w="0" w14:cap="flat" w14:cmpd="sng" w14:algn="ctr">
            <w14:noFill/>
            <w14:prstDash w14:val="solid"/>
            <w14:bevel/>
          </w14:textOutline>
        </w:rPr>
        <w:t>,</w:t>
      </w:r>
      <w:r w:rsidRPr="00794939">
        <w:rPr>
          <w:rFonts w:eastAsia="Calibri"/>
          <w:color w:val="000000"/>
          <w:u w:color="000000"/>
          <w14:textOutline w14:w="0" w14:cap="flat" w14:cmpd="sng" w14:algn="ctr">
            <w14:noFill/>
            <w14:prstDash w14:val="solid"/>
            <w14:bevel/>
          </w14:textOutline>
        </w:rPr>
        <w:t xml:space="preserve"> </w:t>
      </w:r>
      <w:r w:rsidR="00425B80">
        <w:rPr>
          <w:rFonts w:eastAsia="Calibri"/>
          <w:color w:val="000000"/>
          <w:u w:color="000000"/>
          <w14:textOutline w14:w="0" w14:cap="flat" w14:cmpd="sng" w14:algn="ctr">
            <w14:noFill/>
            <w14:prstDash w14:val="solid"/>
            <w14:bevel/>
          </w14:textOutline>
        </w:rPr>
        <w:t xml:space="preserve">and FCEV </w:t>
      </w:r>
      <w:r w:rsidRPr="00794939">
        <w:rPr>
          <w:rFonts w:eastAsia="Calibri"/>
          <w:color w:val="000000"/>
          <w:u w:color="000000"/>
          <w14:textOutline w14:w="0" w14:cap="flat" w14:cmpd="sng" w14:algn="ctr">
            <w14:noFill/>
            <w14:prstDash w14:val="solid"/>
            <w14:bevel/>
          </w14:textOutline>
        </w:rPr>
        <w:t xml:space="preserve">costs decrease </w:t>
      </w:r>
      <w:r w:rsidR="00B012A0">
        <w:rPr>
          <w:rFonts w:eastAsia="Calibri"/>
          <w:color w:val="000000"/>
          <w:u w:color="000000"/>
          <w14:textOutline w14:w="0" w14:cap="flat" w14:cmpd="sng" w14:algn="ctr">
            <w14:noFill/>
            <w14:prstDash w14:val="solid"/>
            <w14:bevel/>
          </w14:textOutline>
        </w:rPr>
        <w:t>35</w:t>
      </w:r>
      <w:r w:rsidRPr="00794939">
        <w:rPr>
          <w:rFonts w:eastAsia="Calibri"/>
          <w:color w:val="000000"/>
          <w:u w:color="000000"/>
          <w14:textOutline w14:w="0" w14:cap="flat" w14:cmpd="sng" w14:algn="ctr">
            <w14:noFill/>
            <w14:prstDash w14:val="solid"/>
            <w14:bevel/>
          </w14:textOutline>
        </w:rPr>
        <w:t>%</w:t>
      </w:r>
      <w:r w:rsidR="00425B80">
        <w:rPr>
          <w:rFonts w:eastAsia="Calibri"/>
          <w:color w:val="000000"/>
          <w:u w:color="000000"/>
          <w14:textOutline w14:w="0" w14:cap="flat" w14:cmpd="sng" w14:algn="ctr">
            <w14:noFill/>
            <w14:prstDash w14:val="solid"/>
            <w14:bevel/>
          </w14:textOutline>
        </w:rPr>
        <w:t xml:space="preserve"> when using an alternative source for the carbon intensity of hydrogen</w:t>
      </w:r>
      <w:r w:rsidRPr="00794939">
        <w:rPr>
          <w:rFonts w:eastAsia="Calibri"/>
          <w:color w:val="000000"/>
          <w:u w:color="000000"/>
          <w14:textOutline w14:w="0" w14:cap="flat" w14:cmpd="sng" w14:algn="ctr">
            <w14:noFill/>
            <w14:prstDash w14:val="solid"/>
            <w14:bevel/>
          </w14:textOutline>
        </w:rPr>
        <w:t xml:space="preserve">. </w:t>
      </w:r>
    </w:p>
    <w:p w14:paraId="3C249A13" w14:textId="08FA69DC" w:rsidR="00181857" w:rsidRPr="00B90CFD" w:rsidRDefault="00181857" w:rsidP="00181857">
      <w:pPr>
        <w:pStyle w:val="TableFigureNumber0"/>
        <w:keepNext/>
        <w:rPr>
          <w:color w:val="0579BD"/>
        </w:rPr>
      </w:pPr>
      <w:bookmarkStart w:id="39" w:name="_Ref219217533"/>
      <w:r w:rsidRPr="00B90CFD">
        <w:rPr>
          <w:color w:val="0579BD"/>
        </w:rPr>
        <w:lastRenderedPageBreak/>
        <w:t xml:space="preserve">Figure </w:t>
      </w:r>
      <w:r w:rsidR="00592A62" w:rsidRPr="00B90CFD">
        <w:rPr>
          <w:noProof/>
          <w:color w:val="0579BD"/>
        </w:rPr>
        <w:t>9</w:t>
      </w:r>
      <w:bookmarkEnd w:id="38"/>
      <w:bookmarkEnd w:id="39"/>
    </w:p>
    <w:p w14:paraId="6337A5F0" w14:textId="17D4C6BB" w:rsidR="00181857" w:rsidRDefault="00181857" w:rsidP="00181857">
      <w:pPr>
        <w:pStyle w:val="TableFigureTitle"/>
        <w:keepNext/>
      </w:pPr>
      <w:r>
        <w:t>Cost-Effectiveness by Quantification Level (100k mi</w:t>
      </w:r>
      <w:r w:rsidR="004E67B4">
        <w:t>les</w:t>
      </w:r>
      <w:r>
        <w:t>)</w:t>
      </w:r>
    </w:p>
    <w:p w14:paraId="68E5DCA0" w14:textId="77777777" w:rsidR="00181857" w:rsidRDefault="00181857" w:rsidP="00181857">
      <w:pPr>
        <w:pStyle w:val="Body"/>
        <w:keepNext/>
        <w:spacing w:before="80" w:after="80"/>
        <w:rPr>
          <w:i/>
          <w:iCs/>
          <w:sz w:val="18"/>
          <w:szCs w:val="18"/>
        </w:rPr>
      </w:pPr>
      <w:r w:rsidRPr="7ACA0E52">
        <w:rPr>
          <w:i/>
          <w:iCs/>
          <w:sz w:val="18"/>
          <w:szCs w:val="18"/>
        </w:rPr>
        <w:t>Rebate dollars per ton of GHG emissions reduced</w:t>
      </w:r>
    </w:p>
    <w:p w14:paraId="554DCA4E" w14:textId="04504CCA" w:rsidR="00181857" w:rsidRPr="008D000E" w:rsidRDefault="00181857" w:rsidP="00181857">
      <w:pPr>
        <w:pStyle w:val="Body"/>
        <w:keepNext/>
        <w:spacing w:before="80" w:after="80"/>
        <w:rPr>
          <w:i/>
          <w:iCs/>
          <w:sz w:val="18"/>
          <w:szCs w:val="18"/>
        </w:rPr>
      </w:pPr>
      <w:r>
        <w:rPr>
          <w:i/>
          <w:iCs/>
          <w:noProof/>
          <w:sz w:val="18"/>
          <w:szCs w:val="18"/>
        </w:rPr>
        <w:drawing>
          <wp:inline distT="0" distB="0" distL="0" distR="0" wp14:anchorId="52632F68" wp14:editId="1720E102">
            <wp:extent cx="5863780" cy="2514456"/>
            <wp:effectExtent l="0" t="0" r="3810" b="635"/>
            <wp:docPr id="661495713" name="Picture 7" descr="Bar chart displaying cost-effectiveness of GHG emission reductions by vehicle and rebate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95713" name="Picture 7" descr="Bar chart displaying cost-effectiveness of GHG emission reductions by vehicle and rebate types. "/>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5863780" cy="2514456"/>
                    </a:xfrm>
                    <a:prstGeom prst="rect">
                      <a:avLst/>
                    </a:prstGeom>
                  </pic:spPr>
                </pic:pic>
              </a:graphicData>
            </a:graphic>
          </wp:inline>
        </w:drawing>
      </w:r>
    </w:p>
    <w:p w14:paraId="49F40754" w14:textId="2BD7A783" w:rsidR="00A91949" w:rsidRPr="00D95C1E" w:rsidRDefault="00181857" w:rsidP="00D95C1E">
      <w:pPr>
        <w:pStyle w:val="NoSpacing"/>
        <w:rPr>
          <w:sz w:val="18"/>
          <w:szCs w:val="18"/>
        </w:rPr>
      </w:pPr>
      <w:r w:rsidRPr="00D95C1E">
        <w:rPr>
          <w:sz w:val="18"/>
          <w:szCs w:val="18"/>
        </w:rPr>
        <w:t xml:space="preserve">* </w:t>
      </w:r>
      <w:r w:rsidR="00387E52" w:rsidRPr="00D95C1E">
        <w:rPr>
          <w:sz w:val="18"/>
          <w:szCs w:val="18"/>
        </w:rPr>
        <w:t>Detailed C</w:t>
      </w:r>
      <w:r w:rsidRPr="00D95C1E">
        <w:rPr>
          <w:sz w:val="18"/>
          <w:szCs w:val="18"/>
        </w:rPr>
        <w:t xml:space="preserve">ounterfactual Reductions exclude FCEVs (2% of rebates). </w:t>
      </w:r>
    </w:p>
    <w:p w14:paraId="0B763C29" w14:textId="77777777" w:rsidR="00816C81" w:rsidRDefault="00816C81" w:rsidP="00816C81">
      <w:bookmarkStart w:id="40" w:name="_Ref216035213"/>
    </w:p>
    <w:p w14:paraId="2DB7045A" w14:textId="3DFD7496" w:rsidR="00E422C3" w:rsidRPr="00B90CFD" w:rsidRDefault="00E422C3" w:rsidP="00BC3CCA">
      <w:pPr>
        <w:pStyle w:val="TableFigureNumber0"/>
        <w:keepNext/>
        <w:rPr>
          <w:color w:val="0579BD"/>
        </w:rPr>
      </w:pPr>
      <w:r w:rsidRPr="00B90CFD">
        <w:rPr>
          <w:color w:val="0579BD"/>
        </w:rPr>
        <w:t xml:space="preserve">Table </w:t>
      </w:r>
      <w:r w:rsidR="0023364B" w:rsidRPr="00B90CFD">
        <w:rPr>
          <w:noProof/>
          <w:color w:val="0579BD"/>
        </w:rPr>
        <w:t>6</w:t>
      </w:r>
      <w:bookmarkEnd w:id="40"/>
    </w:p>
    <w:p w14:paraId="7018D723" w14:textId="6208BEC0" w:rsidR="00A91806" w:rsidRDefault="00A91806" w:rsidP="00A91806">
      <w:pPr>
        <w:pStyle w:val="TableFigureheader"/>
        <w:keepNext/>
      </w:pPr>
      <w:r>
        <w:t xml:space="preserve">GHG Reduction Cost-Effectiveness Estimates by Technology and Rebate </w:t>
      </w:r>
      <w:r w:rsidR="00A11F66">
        <w:t>Type</w:t>
      </w:r>
    </w:p>
    <w:p w14:paraId="040256A0" w14:textId="56F7D428" w:rsidR="00A91806" w:rsidRDefault="0076536B" w:rsidP="00BC3CCA">
      <w:pPr>
        <w:pStyle w:val="TableFigureSubtitle"/>
        <w:keepNext/>
      </w:pPr>
      <w:r>
        <w:t xml:space="preserve">Detailed </w:t>
      </w:r>
      <w:r w:rsidR="00A91806">
        <w:t xml:space="preserve">Counterfactual </w:t>
      </w:r>
      <w:r w:rsidR="00B62C0D">
        <w:t>Reductions</w:t>
      </w:r>
    </w:p>
    <w:tbl>
      <w:tblPr>
        <w:tblpPr w:leftFromText="187" w:rightFromText="187" w:topFromText="29" w:bottomFromText="29" w:vertAnchor="text" w:horzAnchor="margin" w:tblpY="59"/>
        <w:tblW w:w="92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2155"/>
        <w:gridCol w:w="1350"/>
        <w:gridCol w:w="1800"/>
        <w:gridCol w:w="1800"/>
        <w:gridCol w:w="2160"/>
      </w:tblGrid>
      <w:tr w:rsidR="00A91806" w:rsidRPr="001C3F44" w14:paraId="034F6633" w14:textId="77777777" w:rsidTr="009120D2">
        <w:trPr>
          <w:trHeight w:val="260"/>
        </w:trPr>
        <w:tc>
          <w:tcPr>
            <w:tcW w:w="2155" w:type="dxa"/>
            <w:shd w:val="clear" w:color="auto" w:fill="3C3A4C"/>
            <w:tcMar>
              <w:top w:w="80" w:type="dxa"/>
              <w:left w:w="80" w:type="dxa"/>
              <w:bottom w:w="80" w:type="dxa"/>
              <w:right w:w="80" w:type="dxa"/>
            </w:tcMar>
            <w:vAlign w:val="center"/>
          </w:tcPr>
          <w:p w14:paraId="68C1E3CE" w14:textId="57C0F729" w:rsidR="00A91806" w:rsidRPr="005F044B" w:rsidRDefault="00A11F66" w:rsidP="00AA2CFE">
            <w:pPr>
              <w:pStyle w:val="Body"/>
              <w:spacing w:after="0" w:line="240" w:lineRule="auto"/>
              <w:rPr>
                <w:b/>
                <w:color w:val="FFFFFF" w:themeColor="background1"/>
                <w:sz w:val="20"/>
                <w:szCs w:val="20"/>
              </w:rPr>
            </w:pPr>
            <w:r w:rsidRPr="00A11F66">
              <w:rPr>
                <w:b/>
                <w:bCs/>
                <w:color w:val="FFFFFF" w:themeColor="background1"/>
                <w:sz w:val="20"/>
                <w:szCs w:val="20"/>
              </w:rPr>
              <w:t>Technology</w:t>
            </w:r>
            <w:r w:rsidR="004E1863">
              <w:rPr>
                <w:b/>
                <w:bCs/>
                <w:color w:val="FFFFFF" w:themeColor="background1"/>
                <w:sz w:val="20"/>
                <w:szCs w:val="20"/>
              </w:rPr>
              <w:t>/</w:t>
            </w:r>
            <w:r w:rsidRPr="00A11F66">
              <w:rPr>
                <w:b/>
                <w:bCs/>
                <w:color w:val="FFFFFF" w:themeColor="background1"/>
                <w:sz w:val="20"/>
                <w:szCs w:val="20"/>
              </w:rPr>
              <w:t>Rebate Type</w:t>
            </w:r>
          </w:p>
        </w:tc>
        <w:tc>
          <w:tcPr>
            <w:tcW w:w="1350" w:type="dxa"/>
            <w:shd w:val="clear" w:color="auto" w:fill="3C3A4C"/>
            <w:tcMar>
              <w:top w:w="80" w:type="dxa"/>
              <w:left w:w="80" w:type="dxa"/>
              <w:bottom w:w="80" w:type="dxa"/>
              <w:right w:w="80" w:type="dxa"/>
            </w:tcMar>
            <w:vAlign w:val="center"/>
          </w:tcPr>
          <w:p w14:paraId="714D5210" w14:textId="77777777" w:rsidR="00A91806" w:rsidRPr="003A15C4" w:rsidRDefault="00A91806" w:rsidP="00AA2CFE">
            <w:pPr>
              <w:pStyle w:val="Body"/>
              <w:spacing w:after="0" w:line="240" w:lineRule="auto"/>
              <w:jc w:val="center"/>
              <w:rPr>
                <w:sz w:val="20"/>
                <w:szCs w:val="20"/>
              </w:rPr>
            </w:pPr>
            <w:r w:rsidRPr="7ACA0E52">
              <w:rPr>
                <w:b/>
                <w:bCs/>
                <w:color w:val="FFFFFF" w:themeColor="background1"/>
                <w:sz w:val="20"/>
                <w:szCs w:val="20"/>
              </w:rPr>
              <w:t>Total Vehicles</w:t>
            </w:r>
          </w:p>
        </w:tc>
        <w:tc>
          <w:tcPr>
            <w:tcW w:w="1800" w:type="dxa"/>
            <w:shd w:val="clear" w:color="auto" w:fill="3C3A4C"/>
            <w:vAlign w:val="center"/>
          </w:tcPr>
          <w:p w14:paraId="3E523629" w14:textId="628F5044" w:rsidR="00A91806" w:rsidRPr="7ACA0E52" w:rsidRDefault="009265F3" w:rsidP="00AA2CFE">
            <w:pPr>
              <w:pStyle w:val="Body"/>
              <w:spacing w:after="0" w:line="240" w:lineRule="auto"/>
              <w:jc w:val="center"/>
              <w:rPr>
                <w:b/>
                <w:bCs/>
                <w:color w:val="FFFFFF" w:themeColor="background1"/>
                <w:sz w:val="20"/>
                <w:szCs w:val="20"/>
              </w:rPr>
            </w:pPr>
            <w:r>
              <w:rPr>
                <w:rStyle w:val="normaltextrun"/>
                <w:rFonts w:cs="Calibri"/>
                <w:b/>
                <w:bCs/>
                <w:color w:val="FFFFFF"/>
                <w:sz w:val="20"/>
                <w:szCs w:val="20"/>
              </w:rPr>
              <w:t>Average First-Year Reductions Per Vehicle (tons)</w:t>
            </w:r>
            <w:r>
              <w:rPr>
                <w:rStyle w:val="eop"/>
                <w:rFonts w:cs="Calibri"/>
                <w:color w:val="FFFFFF"/>
                <w:sz w:val="20"/>
                <w:szCs w:val="20"/>
              </w:rPr>
              <w:t> </w:t>
            </w:r>
          </w:p>
        </w:tc>
        <w:tc>
          <w:tcPr>
            <w:tcW w:w="1800" w:type="dxa"/>
            <w:shd w:val="clear" w:color="auto" w:fill="3C3A4C"/>
          </w:tcPr>
          <w:p w14:paraId="72F49098" w14:textId="0A47DC92" w:rsidR="00A91806" w:rsidRPr="7ACA0E52" w:rsidRDefault="00A91806" w:rsidP="00AA2CFE">
            <w:pPr>
              <w:pStyle w:val="Body"/>
              <w:spacing w:after="0" w:line="240" w:lineRule="auto"/>
              <w:jc w:val="center"/>
              <w:rPr>
                <w:b/>
                <w:bCs/>
                <w:color w:val="FFFFFF" w:themeColor="background1"/>
                <w:sz w:val="20"/>
                <w:szCs w:val="20"/>
              </w:rPr>
            </w:pPr>
            <w:r w:rsidRPr="7ACA0E52">
              <w:rPr>
                <w:b/>
                <w:bCs/>
                <w:color w:val="FFFFFF" w:themeColor="background1"/>
                <w:sz w:val="20"/>
                <w:szCs w:val="20"/>
              </w:rPr>
              <w:t>Average 100k-mi</w:t>
            </w:r>
            <w:r w:rsidR="004E67B4">
              <w:rPr>
                <w:b/>
                <w:bCs/>
                <w:color w:val="FFFFFF" w:themeColor="background1"/>
                <w:sz w:val="20"/>
                <w:szCs w:val="20"/>
              </w:rPr>
              <w:t>le</w:t>
            </w:r>
            <w:r>
              <w:rPr>
                <w:b/>
                <w:bCs/>
                <w:color w:val="FFFFFF" w:themeColor="background1"/>
                <w:sz w:val="20"/>
                <w:szCs w:val="20"/>
              </w:rPr>
              <w:t xml:space="preserve"> </w:t>
            </w:r>
            <w:r w:rsidRPr="7ACA0E52">
              <w:rPr>
                <w:b/>
                <w:bCs/>
                <w:color w:val="FFFFFF" w:themeColor="background1"/>
                <w:sz w:val="20"/>
                <w:szCs w:val="20"/>
              </w:rPr>
              <w:t>Reductions Per Vehicle</w:t>
            </w:r>
            <w:r>
              <w:rPr>
                <w:b/>
                <w:bCs/>
                <w:color w:val="FFFFFF" w:themeColor="background1"/>
                <w:sz w:val="20"/>
                <w:szCs w:val="20"/>
              </w:rPr>
              <w:t xml:space="preserve"> </w:t>
            </w:r>
            <w:r w:rsidRPr="7ACA0E52">
              <w:rPr>
                <w:b/>
                <w:bCs/>
                <w:color w:val="FFFFFF" w:themeColor="background1"/>
                <w:sz w:val="20"/>
                <w:szCs w:val="20"/>
              </w:rPr>
              <w:t>(tons)</w:t>
            </w:r>
          </w:p>
        </w:tc>
        <w:tc>
          <w:tcPr>
            <w:tcW w:w="2160" w:type="dxa"/>
            <w:shd w:val="clear" w:color="auto" w:fill="3C3A4C"/>
          </w:tcPr>
          <w:p w14:paraId="2B5BFEEC" w14:textId="0DF7D4BA" w:rsidR="00A91806" w:rsidRPr="001C3F44" w:rsidRDefault="00A91806" w:rsidP="00AA2CFE">
            <w:pPr>
              <w:pStyle w:val="Body"/>
              <w:spacing w:after="0" w:line="240" w:lineRule="auto"/>
              <w:jc w:val="center"/>
              <w:rPr>
                <w:b/>
                <w:bCs/>
                <w:color w:val="FFFFFF"/>
                <w:sz w:val="20"/>
                <w:szCs w:val="20"/>
              </w:rPr>
            </w:pPr>
            <w:r w:rsidRPr="7ACA0E52">
              <w:rPr>
                <w:b/>
                <w:bCs/>
                <w:color w:val="FFFFFF" w:themeColor="background1"/>
                <w:sz w:val="20"/>
                <w:szCs w:val="20"/>
              </w:rPr>
              <w:t xml:space="preserve">Rebate Dollars Per Ton of GHG Reductions </w:t>
            </w:r>
            <w:r>
              <w:rPr>
                <w:b/>
                <w:bCs/>
                <w:color w:val="FFFFFF" w:themeColor="background1"/>
                <w:sz w:val="20"/>
                <w:szCs w:val="20"/>
              </w:rPr>
              <w:t xml:space="preserve"> </w:t>
            </w:r>
            <w:r w:rsidRPr="7ACA0E52">
              <w:rPr>
                <w:b/>
                <w:bCs/>
                <w:color w:val="FFFFFF" w:themeColor="background1"/>
                <w:sz w:val="20"/>
                <w:szCs w:val="20"/>
              </w:rPr>
              <w:t>(100k mi</w:t>
            </w:r>
            <w:r w:rsidR="004E67B4">
              <w:rPr>
                <w:b/>
                <w:bCs/>
                <w:color w:val="FFFFFF" w:themeColor="background1"/>
                <w:sz w:val="20"/>
                <w:szCs w:val="20"/>
              </w:rPr>
              <w:t>les</w:t>
            </w:r>
            <w:r w:rsidRPr="7ACA0E52">
              <w:rPr>
                <w:b/>
                <w:bCs/>
                <w:color w:val="FFFFFF" w:themeColor="background1"/>
                <w:sz w:val="20"/>
                <w:szCs w:val="20"/>
              </w:rPr>
              <w:t>)</w:t>
            </w:r>
          </w:p>
        </w:tc>
      </w:tr>
      <w:tr w:rsidR="00A91806" w14:paraId="6936B9A9" w14:textId="39416E4C" w:rsidTr="009120D2">
        <w:trPr>
          <w:trHeight w:val="20"/>
        </w:trPr>
        <w:tc>
          <w:tcPr>
            <w:tcW w:w="2155" w:type="dxa"/>
            <w:tcBorders>
              <w:bottom w:val="single" w:sz="6" w:space="0" w:color="FFFFFF" w:themeColor="background1"/>
            </w:tcBorders>
            <w:tcMar>
              <w:top w:w="80" w:type="dxa"/>
              <w:left w:w="80" w:type="dxa"/>
              <w:bottom w:w="80" w:type="dxa"/>
              <w:right w:w="80" w:type="dxa"/>
            </w:tcMar>
          </w:tcPr>
          <w:p w14:paraId="18106A6D" w14:textId="35E566F2" w:rsidR="00A91806" w:rsidRDefault="00A91806" w:rsidP="00AA2CFE">
            <w:pPr>
              <w:pStyle w:val="Body"/>
              <w:spacing w:after="0"/>
              <w:rPr>
                <w:b/>
                <w:bCs/>
                <w:sz w:val="20"/>
                <w:szCs w:val="20"/>
              </w:rPr>
            </w:pPr>
            <w:r>
              <w:rPr>
                <w:b/>
                <w:bCs/>
                <w:sz w:val="20"/>
                <w:szCs w:val="20"/>
              </w:rPr>
              <w:t>PHEV</w:t>
            </w:r>
          </w:p>
        </w:tc>
        <w:tc>
          <w:tcPr>
            <w:tcW w:w="1350" w:type="dxa"/>
            <w:tcBorders>
              <w:bottom w:val="single" w:sz="6" w:space="0" w:color="FFFFFF" w:themeColor="background1"/>
            </w:tcBorders>
            <w:tcMar>
              <w:top w:w="80" w:type="dxa"/>
              <w:left w:w="80" w:type="dxa"/>
              <w:bottom w:w="80" w:type="dxa"/>
              <w:right w:w="80" w:type="dxa"/>
            </w:tcMar>
          </w:tcPr>
          <w:p w14:paraId="48CF9E68" w14:textId="772E5929" w:rsidR="00A91806" w:rsidRPr="00850A5E" w:rsidRDefault="00A91806" w:rsidP="00AA2CFE">
            <w:pPr>
              <w:pStyle w:val="Body"/>
              <w:spacing w:after="0" w:line="240" w:lineRule="auto"/>
              <w:jc w:val="center"/>
              <w:rPr>
                <w:i/>
                <w:iCs/>
              </w:rPr>
            </w:pPr>
            <w:r w:rsidRPr="00850A5E">
              <w:rPr>
                <w:i/>
                <w:iCs/>
              </w:rPr>
              <w:t>N</w:t>
            </w:r>
            <w:r w:rsidRPr="00B80BE5">
              <w:t xml:space="preserve"> = 1</w:t>
            </w:r>
            <w:r w:rsidR="00CA53D8">
              <w:t>48</w:t>
            </w:r>
            <w:r w:rsidRPr="00B80BE5">
              <w:t>,</w:t>
            </w:r>
            <w:r w:rsidR="00CA53D8">
              <w:t>47</w:t>
            </w:r>
            <w:r>
              <w:t>2</w:t>
            </w:r>
          </w:p>
        </w:tc>
        <w:tc>
          <w:tcPr>
            <w:tcW w:w="1800" w:type="dxa"/>
            <w:tcBorders>
              <w:bottom w:val="single" w:sz="6" w:space="0" w:color="FFFFFF" w:themeColor="background1"/>
            </w:tcBorders>
          </w:tcPr>
          <w:p w14:paraId="5FFCDF36" w14:textId="0BA506A5" w:rsidR="00A91806" w:rsidRPr="7ACA0E52" w:rsidRDefault="00DB302F" w:rsidP="00AA2CFE">
            <w:pPr>
              <w:pStyle w:val="Body"/>
              <w:spacing w:after="0" w:line="240" w:lineRule="auto"/>
              <w:jc w:val="center"/>
              <w:rPr>
                <w:sz w:val="20"/>
                <w:szCs w:val="20"/>
              </w:rPr>
            </w:pPr>
            <w:r>
              <w:rPr>
                <w:sz w:val="20"/>
                <w:szCs w:val="20"/>
              </w:rPr>
              <w:t>0.5</w:t>
            </w:r>
          </w:p>
        </w:tc>
        <w:tc>
          <w:tcPr>
            <w:tcW w:w="1800" w:type="dxa"/>
            <w:tcBorders>
              <w:bottom w:val="single" w:sz="6" w:space="0" w:color="FFFFFF" w:themeColor="background1"/>
            </w:tcBorders>
          </w:tcPr>
          <w:p w14:paraId="030BF5E2" w14:textId="192A3EAC" w:rsidR="00A91806" w:rsidRPr="00B43CEE" w:rsidRDefault="007100CF" w:rsidP="00AA2CFE">
            <w:pPr>
              <w:pStyle w:val="Body"/>
              <w:spacing w:after="0" w:line="240" w:lineRule="auto"/>
              <w:jc w:val="center"/>
              <w:rPr>
                <w:sz w:val="20"/>
                <w:szCs w:val="20"/>
              </w:rPr>
            </w:pPr>
            <w:r>
              <w:rPr>
                <w:sz w:val="20"/>
                <w:szCs w:val="20"/>
              </w:rPr>
              <w:t>3.6</w:t>
            </w:r>
          </w:p>
        </w:tc>
        <w:tc>
          <w:tcPr>
            <w:tcW w:w="2160" w:type="dxa"/>
            <w:tcBorders>
              <w:bottom w:val="single" w:sz="6" w:space="0" w:color="FFFFFF" w:themeColor="background1"/>
            </w:tcBorders>
          </w:tcPr>
          <w:p w14:paraId="7CE49BB7" w14:textId="6E04A6AA" w:rsidR="00A91806" w:rsidRPr="000344DF" w:rsidRDefault="00A91806" w:rsidP="00AA2CFE">
            <w:pPr>
              <w:pStyle w:val="Body"/>
              <w:spacing w:after="0" w:line="240" w:lineRule="auto"/>
              <w:jc w:val="center"/>
              <w:rPr>
                <w:sz w:val="20"/>
                <w:szCs w:val="20"/>
              </w:rPr>
            </w:pPr>
            <w:r>
              <w:rPr>
                <w:sz w:val="20"/>
                <w:szCs w:val="20"/>
              </w:rPr>
              <w:t>$</w:t>
            </w:r>
            <w:r w:rsidR="0039224B">
              <w:rPr>
                <w:sz w:val="20"/>
                <w:szCs w:val="20"/>
              </w:rPr>
              <w:t>458</w:t>
            </w:r>
          </w:p>
        </w:tc>
      </w:tr>
      <w:tr w:rsidR="00A14926" w14:paraId="5EF31CA4" w14:textId="77777777" w:rsidTr="009120D2">
        <w:trPr>
          <w:trHeight w:val="20"/>
        </w:trPr>
        <w:tc>
          <w:tcPr>
            <w:tcW w:w="2155" w:type="dxa"/>
            <w:tcBorders>
              <w:top w:val="single" w:sz="6" w:space="0" w:color="FFFFFF" w:themeColor="background1"/>
              <w:bottom w:val="single" w:sz="4" w:space="0" w:color="auto"/>
            </w:tcBorders>
            <w:shd w:val="clear" w:color="auto" w:fill="F2F2F2" w:themeFill="background1" w:themeFillShade="F2"/>
            <w:tcMar>
              <w:top w:w="80" w:type="dxa"/>
              <w:left w:w="80" w:type="dxa"/>
              <w:bottom w:w="80" w:type="dxa"/>
              <w:right w:w="80" w:type="dxa"/>
            </w:tcMar>
          </w:tcPr>
          <w:p w14:paraId="054F6FD1" w14:textId="50777CD3" w:rsidR="00A14926" w:rsidRDefault="00A14926" w:rsidP="00A14926">
            <w:pPr>
              <w:pStyle w:val="Body"/>
              <w:spacing w:after="0"/>
              <w:rPr>
                <w:b/>
                <w:bCs/>
                <w:sz w:val="20"/>
                <w:szCs w:val="20"/>
              </w:rPr>
            </w:pPr>
            <w:r>
              <w:rPr>
                <w:b/>
                <w:bCs/>
                <w:sz w:val="20"/>
                <w:szCs w:val="20"/>
              </w:rPr>
              <w:t>BEV</w:t>
            </w:r>
          </w:p>
        </w:tc>
        <w:tc>
          <w:tcPr>
            <w:tcW w:w="1350" w:type="dxa"/>
            <w:tcBorders>
              <w:top w:val="single" w:sz="6" w:space="0" w:color="FFFFFF" w:themeColor="background1"/>
              <w:bottom w:val="single" w:sz="4" w:space="0" w:color="auto"/>
            </w:tcBorders>
            <w:shd w:val="clear" w:color="auto" w:fill="F2F2F2" w:themeFill="background1" w:themeFillShade="F2"/>
            <w:tcMar>
              <w:top w:w="80" w:type="dxa"/>
              <w:left w:w="80" w:type="dxa"/>
              <w:bottom w:w="80" w:type="dxa"/>
              <w:right w:w="80" w:type="dxa"/>
            </w:tcMar>
          </w:tcPr>
          <w:p w14:paraId="53815A33" w14:textId="6B6C47C1" w:rsidR="00A14926" w:rsidRPr="00850A5E" w:rsidRDefault="00A14926" w:rsidP="00A14926">
            <w:pPr>
              <w:pStyle w:val="Body"/>
              <w:spacing w:after="0" w:line="240" w:lineRule="auto"/>
              <w:jc w:val="center"/>
              <w:rPr>
                <w:i/>
                <w:iCs/>
              </w:rPr>
            </w:pPr>
            <w:r w:rsidRPr="00850A5E">
              <w:rPr>
                <w:i/>
                <w:iCs/>
              </w:rPr>
              <w:t>N</w:t>
            </w:r>
            <w:r w:rsidRPr="00B80BE5">
              <w:t xml:space="preserve"> = </w:t>
            </w:r>
            <w:r>
              <w:t>408</w:t>
            </w:r>
            <w:r w:rsidRPr="00B80BE5">
              <w:t>,</w:t>
            </w:r>
            <w:r>
              <w:t>286</w:t>
            </w:r>
          </w:p>
        </w:tc>
        <w:tc>
          <w:tcPr>
            <w:tcW w:w="1800" w:type="dxa"/>
            <w:tcBorders>
              <w:top w:val="single" w:sz="6" w:space="0" w:color="FFFFFF" w:themeColor="background1"/>
              <w:bottom w:val="single" w:sz="4" w:space="0" w:color="auto"/>
            </w:tcBorders>
            <w:shd w:val="clear" w:color="auto" w:fill="F2F2F2" w:themeFill="background1" w:themeFillShade="F2"/>
          </w:tcPr>
          <w:p w14:paraId="246E35FD" w14:textId="71065545" w:rsidR="00A14926" w:rsidRPr="7ACA0E52" w:rsidRDefault="00DB302F" w:rsidP="00A14926">
            <w:pPr>
              <w:pStyle w:val="Body"/>
              <w:spacing w:after="0" w:line="240" w:lineRule="auto"/>
              <w:jc w:val="center"/>
              <w:rPr>
                <w:sz w:val="20"/>
                <w:szCs w:val="20"/>
              </w:rPr>
            </w:pPr>
            <w:r>
              <w:rPr>
                <w:sz w:val="20"/>
                <w:szCs w:val="20"/>
              </w:rPr>
              <w:t>1.0</w:t>
            </w:r>
          </w:p>
        </w:tc>
        <w:tc>
          <w:tcPr>
            <w:tcW w:w="1800" w:type="dxa"/>
            <w:tcBorders>
              <w:top w:val="single" w:sz="6" w:space="0" w:color="FFFFFF" w:themeColor="background1"/>
              <w:bottom w:val="single" w:sz="4" w:space="0" w:color="auto"/>
            </w:tcBorders>
            <w:shd w:val="clear" w:color="auto" w:fill="F2F2F2"/>
          </w:tcPr>
          <w:p w14:paraId="3319EE1F" w14:textId="594E700E" w:rsidR="00A14926" w:rsidRPr="00B43CEE" w:rsidRDefault="007100CF" w:rsidP="00A14926">
            <w:pPr>
              <w:pStyle w:val="Body"/>
              <w:shd w:val="clear" w:color="auto" w:fill="F2F2F2"/>
              <w:spacing w:after="0" w:line="240" w:lineRule="auto"/>
              <w:jc w:val="center"/>
              <w:rPr>
                <w:sz w:val="20"/>
                <w:szCs w:val="20"/>
              </w:rPr>
            </w:pPr>
            <w:r>
              <w:rPr>
                <w:rFonts w:cs="Calibri"/>
                <w:sz w:val="20"/>
                <w:szCs w:val="20"/>
              </w:rPr>
              <w:t>7.4</w:t>
            </w:r>
          </w:p>
        </w:tc>
        <w:tc>
          <w:tcPr>
            <w:tcW w:w="2160" w:type="dxa"/>
            <w:tcBorders>
              <w:top w:val="single" w:sz="6" w:space="0" w:color="FFFFFF" w:themeColor="background1"/>
              <w:bottom w:val="single" w:sz="4" w:space="0" w:color="auto"/>
            </w:tcBorders>
            <w:shd w:val="clear" w:color="auto" w:fill="F2F2F2"/>
          </w:tcPr>
          <w:p w14:paraId="04D0F27B" w14:textId="4E57215E" w:rsidR="00A14926" w:rsidRPr="000344DF" w:rsidRDefault="00A14926" w:rsidP="00A14926">
            <w:pPr>
              <w:pStyle w:val="Body"/>
              <w:spacing w:after="0" w:line="240" w:lineRule="auto"/>
              <w:jc w:val="center"/>
              <w:rPr>
                <w:sz w:val="20"/>
                <w:szCs w:val="20"/>
              </w:rPr>
            </w:pPr>
            <w:r>
              <w:rPr>
                <w:rFonts w:cs="Calibri"/>
                <w:sz w:val="20"/>
                <w:szCs w:val="20"/>
              </w:rPr>
              <w:t>$</w:t>
            </w:r>
            <w:r w:rsidR="005C640F">
              <w:rPr>
                <w:rFonts w:cs="Calibri"/>
                <w:sz w:val="20"/>
                <w:szCs w:val="20"/>
              </w:rPr>
              <w:t>373</w:t>
            </w:r>
          </w:p>
        </w:tc>
      </w:tr>
      <w:tr w:rsidR="004847A1" w14:paraId="2E92AA3B" w14:textId="77777777" w:rsidTr="009120D2">
        <w:trPr>
          <w:trHeight w:val="20"/>
        </w:trPr>
        <w:tc>
          <w:tcPr>
            <w:tcW w:w="2155" w:type="dxa"/>
            <w:tcBorders>
              <w:top w:val="single" w:sz="4" w:space="0" w:color="auto"/>
              <w:bottom w:val="single" w:sz="6" w:space="0" w:color="FFFFFF" w:themeColor="background1"/>
            </w:tcBorders>
            <w:tcMar>
              <w:top w:w="80" w:type="dxa"/>
              <w:left w:w="80" w:type="dxa"/>
              <w:bottom w:w="80" w:type="dxa"/>
              <w:right w:w="80" w:type="dxa"/>
            </w:tcMar>
          </w:tcPr>
          <w:p w14:paraId="2F9EB61E" w14:textId="09B02030" w:rsidR="004847A1" w:rsidRDefault="004847A1" w:rsidP="004847A1">
            <w:pPr>
              <w:pStyle w:val="Body"/>
              <w:spacing w:after="0"/>
              <w:rPr>
                <w:b/>
                <w:bCs/>
                <w:sz w:val="20"/>
                <w:szCs w:val="20"/>
              </w:rPr>
            </w:pPr>
            <w:r>
              <w:rPr>
                <w:b/>
                <w:bCs/>
                <w:sz w:val="20"/>
                <w:szCs w:val="20"/>
              </w:rPr>
              <w:t>Standard Rebate</w:t>
            </w:r>
          </w:p>
        </w:tc>
        <w:tc>
          <w:tcPr>
            <w:tcW w:w="1350" w:type="dxa"/>
            <w:tcBorders>
              <w:top w:val="single" w:sz="4" w:space="0" w:color="auto"/>
              <w:bottom w:val="single" w:sz="6" w:space="0" w:color="FFFFFF" w:themeColor="background1"/>
            </w:tcBorders>
            <w:tcMar>
              <w:top w:w="80" w:type="dxa"/>
              <w:left w:w="80" w:type="dxa"/>
              <w:bottom w:w="80" w:type="dxa"/>
              <w:right w:w="80" w:type="dxa"/>
            </w:tcMar>
          </w:tcPr>
          <w:p w14:paraId="76BD5E02" w14:textId="2D673EEF" w:rsidR="004847A1" w:rsidRPr="00850A5E" w:rsidRDefault="004847A1" w:rsidP="004847A1">
            <w:pPr>
              <w:pStyle w:val="Body"/>
              <w:spacing w:after="0" w:line="240" w:lineRule="auto"/>
              <w:jc w:val="center"/>
              <w:rPr>
                <w:i/>
                <w:iCs/>
              </w:rPr>
            </w:pPr>
            <w:r w:rsidRPr="00850A5E">
              <w:rPr>
                <w:i/>
                <w:iCs/>
              </w:rPr>
              <w:t>N</w:t>
            </w:r>
            <w:r w:rsidRPr="00B80BE5">
              <w:t xml:space="preserve"> = </w:t>
            </w:r>
            <w:r w:rsidR="00487052">
              <w:t>490</w:t>
            </w:r>
            <w:r w:rsidRPr="00B80BE5">
              <w:t>,</w:t>
            </w:r>
            <w:r w:rsidR="00487052">
              <w:t>028</w:t>
            </w:r>
          </w:p>
        </w:tc>
        <w:tc>
          <w:tcPr>
            <w:tcW w:w="1800" w:type="dxa"/>
            <w:tcBorders>
              <w:top w:val="single" w:sz="4" w:space="0" w:color="auto"/>
              <w:bottom w:val="single" w:sz="6" w:space="0" w:color="FFFFFF" w:themeColor="background1"/>
            </w:tcBorders>
          </w:tcPr>
          <w:p w14:paraId="59CC6D02" w14:textId="06712783" w:rsidR="004847A1" w:rsidRPr="7ACA0E52" w:rsidRDefault="004847A1" w:rsidP="004847A1">
            <w:pPr>
              <w:pStyle w:val="Body"/>
              <w:spacing w:after="0" w:line="240" w:lineRule="auto"/>
              <w:jc w:val="center"/>
              <w:rPr>
                <w:sz w:val="20"/>
                <w:szCs w:val="20"/>
              </w:rPr>
            </w:pPr>
            <w:r>
              <w:rPr>
                <w:sz w:val="20"/>
                <w:szCs w:val="20"/>
              </w:rPr>
              <w:t>0.8</w:t>
            </w:r>
          </w:p>
        </w:tc>
        <w:tc>
          <w:tcPr>
            <w:tcW w:w="1800" w:type="dxa"/>
            <w:tcBorders>
              <w:top w:val="single" w:sz="4" w:space="0" w:color="auto"/>
              <w:bottom w:val="single" w:sz="6" w:space="0" w:color="FFFFFF" w:themeColor="background1"/>
            </w:tcBorders>
          </w:tcPr>
          <w:p w14:paraId="127ED05A" w14:textId="7DCA9A85" w:rsidR="004847A1" w:rsidRPr="00B43CEE" w:rsidRDefault="007100CF" w:rsidP="002C31AC">
            <w:pPr>
              <w:pStyle w:val="Body"/>
              <w:spacing w:after="0" w:line="240" w:lineRule="auto"/>
              <w:jc w:val="center"/>
              <w:rPr>
                <w:sz w:val="20"/>
                <w:szCs w:val="20"/>
              </w:rPr>
            </w:pPr>
            <w:r>
              <w:rPr>
                <w:sz w:val="20"/>
                <w:szCs w:val="20"/>
              </w:rPr>
              <w:t>6.0</w:t>
            </w:r>
          </w:p>
        </w:tc>
        <w:tc>
          <w:tcPr>
            <w:tcW w:w="2160" w:type="dxa"/>
            <w:tcBorders>
              <w:top w:val="single" w:sz="4" w:space="0" w:color="auto"/>
              <w:bottom w:val="single" w:sz="6" w:space="0" w:color="FFFFFF" w:themeColor="background1"/>
            </w:tcBorders>
          </w:tcPr>
          <w:p w14:paraId="260BD261" w14:textId="02FD0C97" w:rsidR="004847A1" w:rsidRPr="000344DF" w:rsidRDefault="00D10A4D" w:rsidP="004847A1">
            <w:pPr>
              <w:pStyle w:val="Body"/>
              <w:spacing w:after="0" w:line="240" w:lineRule="auto"/>
              <w:jc w:val="center"/>
              <w:rPr>
                <w:sz w:val="20"/>
                <w:szCs w:val="20"/>
              </w:rPr>
            </w:pPr>
            <w:r>
              <w:rPr>
                <w:sz w:val="20"/>
                <w:szCs w:val="20"/>
              </w:rPr>
              <w:t>$</w:t>
            </w:r>
            <w:r w:rsidR="005C640F">
              <w:rPr>
                <w:sz w:val="20"/>
                <w:szCs w:val="20"/>
              </w:rPr>
              <w:t>347</w:t>
            </w:r>
          </w:p>
        </w:tc>
      </w:tr>
      <w:tr w:rsidR="004847A1" w14:paraId="070567C2" w14:textId="77777777" w:rsidTr="009120D2">
        <w:trPr>
          <w:trHeight w:val="20"/>
        </w:trPr>
        <w:tc>
          <w:tcPr>
            <w:tcW w:w="2155" w:type="dxa"/>
            <w:tcBorders>
              <w:top w:val="single" w:sz="6" w:space="0" w:color="FFFFFF" w:themeColor="background1"/>
              <w:bottom w:val="single" w:sz="4" w:space="0" w:color="auto"/>
            </w:tcBorders>
            <w:shd w:val="clear" w:color="auto" w:fill="F2F2F2" w:themeFill="background1" w:themeFillShade="F2"/>
            <w:tcMar>
              <w:top w:w="80" w:type="dxa"/>
              <w:left w:w="80" w:type="dxa"/>
              <w:bottom w:w="80" w:type="dxa"/>
              <w:right w:w="80" w:type="dxa"/>
            </w:tcMar>
          </w:tcPr>
          <w:p w14:paraId="737D74D0" w14:textId="7E28E676" w:rsidR="004847A1" w:rsidRPr="00E65889" w:rsidRDefault="004847A1" w:rsidP="004847A1">
            <w:pPr>
              <w:pStyle w:val="Body"/>
              <w:spacing w:after="0"/>
              <w:rPr>
                <w:sz w:val="20"/>
                <w:szCs w:val="20"/>
              </w:rPr>
            </w:pPr>
            <w:r>
              <w:rPr>
                <w:b/>
                <w:bCs/>
                <w:sz w:val="20"/>
                <w:szCs w:val="20"/>
              </w:rPr>
              <w:t xml:space="preserve">Increased Rebate </w:t>
            </w:r>
          </w:p>
        </w:tc>
        <w:tc>
          <w:tcPr>
            <w:tcW w:w="1350" w:type="dxa"/>
            <w:tcBorders>
              <w:top w:val="single" w:sz="6" w:space="0" w:color="FFFFFF" w:themeColor="background1"/>
              <w:bottom w:val="single" w:sz="4" w:space="0" w:color="auto"/>
            </w:tcBorders>
            <w:shd w:val="clear" w:color="auto" w:fill="F2F2F2" w:themeFill="background1" w:themeFillShade="F2"/>
            <w:tcMar>
              <w:top w:w="80" w:type="dxa"/>
              <w:left w:w="80" w:type="dxa"/>
              <w:bottom w:w="80" w:type="dxa"/>
              <w:right w:w="80" w:type="dxa"/>
            </w:tcMar>
          </w:tcPr>
          <w:p w14:paraId="2EF74966" w14:textId="55328832" w:rsidR="004847A1" w:rsidRPr="001C3F44" w:rsidRDefault="004847A1" w:rsidP="004847A1">
            <w:pPr>
              <w:pStyle w:val="Body"/>
              <w:spacing w:after="0" w:line="240" w:lineRule="auto"/>
              <w:jc w:val="center"/>
              <w:rPr>
                <w:sz w:val="20"/>
                <w:szCs w:val="20"/>
              </w:rPr>
            </w:pPr>
            <w:r w:rsidRPr="00850A5E">
              <w:rPr>
                <w:i/>
                <w:iCs/>
              </w:rPr>
              <w:t>N</w:t>
            </w:r>
            <w:r w:rsidRPr="00B80BE5">
              <w:t xml:space="preserve"> = </w:t>
            </w:r>
            <w:r w:rsidR="00487052">
              <w:t>66</w:t>
            </w:r>
            <w:r w:rsidRPr="00B80BE5">
              <w:t>,</w:t>
            </w:r>
            <w:r w:rsidR="00487052">
              <w:t>730</w:t>
            </w:r>
          </w:p>
        </w:tc>
        <w:tc>
          <w:tcPr>
            <w:tcW w:w="1800" w:type="dxa"/>
            <w:tcBorders>
              <w:top w:val="single" w:sz="6" w:space="0" w:color="FFFFFF" w:themeColor="background1"/>
              <w:bottom w:val="single" w:sz="4" w:space="0" w:color="auto"/>
            </w:tcBorders>
            <w:shd w:val="clear" w:color="auto" w:fill="F2F2F2" w:themeFill="background1" w:themeFillShade="F2"/>
          </w:tcPr>
          <w:p w14:paraId="5FC78F04" w14:textId="5EE78514" w:rsidR="004847A1" w:rsidRPr="7ACA0E52" w:rsidRDefault="007100CF" w:rsidP="004847A1">
            <w:pPr>
              <w:pStyle w:val="Body"/>
              <w:spacing w:after="0" w:line="240" w:lineRule="auto"/>
              <w:jc w:val="center"/>
              <w:rPr>
                <w:sz w:val="20"/>
                <w:szCs w:val="20"/>
              </w:rPr>
            </w:pPr>
            <w:r>
              <w:rPr>
                <w:sz w:val="20"/>
                <w:szCs w:val="20"/>
              </w:rPr>
              <w:t>1.4</w:t>
            </w:r>
          </w:p>
        </w:tc>
        <w:tc>
          <w:tcPr>
            <w:tcW w:w="1800" w:type="dxa"/>
            <w:tcBorders>
              <w:top w:val="single" w:sz="6" w:space="0" w:color="FFFFFF" w:themeColor="background1"/>
              <w:bottom w:val="single" w:sz="4" w:space="0" w:color="auto"/>
            </w:tcBorders>
            <w:shd w:val="clear" w:color="auto" w:fill="F2F2F2"/>
          </w:tcPr>
          <w:p w14:paraId="05C678CE" w14:textId="610B561C" w:rsidR="004847A1" w:rsidRPr="00B43CEE" w:rsidRDefault="007100CF" w:rsidP="004847A1">
            <w:pPr>
              <w:pStyle w:val="Body"/>
              <w:shd w:val="clear" w:color="auto" w:fill="F2F2F2"/>
              <w:spacing w:after="0" w:line="240" w:lineRule="auto"/>
              <w:jc w:val="center"/>
              <w:rPr>
                <w:sz w:val="20"/>
                <w:szCs w:val="20"/>
              </w:rPr>
            </w:pPr>
            <w:r>
              <w:rPr>
                <w:sz w:val="20"/>
                <w:szCs w:val="20"/>
              </w:rPr>
              <w:t>9.6</w:t>
            </w:r>
          </w:p>
        </w:tc>
        <w:tc>
          <w:tcPr>
            <w:tcW w:w="2160" w:type="dxa"/>
            <w:tcBorders>
              <w:top w:val="single" w:sz="6" w:space="0" w:color="FFFFFF" w:themeColor="background1"/>
              <w:bottom w:val="single" w:sz="4" w:space="0" w:color="auto"/>
            </w:tcBorders>
            <w:shd w:val="clear" w:color="auto" w:fill="F2F2F2"/>
          </w:tcPr>
          <w:p w14:paraId="2A151CFA" w14:textId="661ABAA9" w:rsidR="004847A1" w:rsidRPr="000344DF" w:rsidRDefault="00D10A4D" w:rsidP="004847A1">
            <w:pPr>
              <w:pStyle w:val="Body"/>
              <w:spacing w:after="0" w:line="240" w:lineRule="auto"/>
              <w:jc w:val="center"/>
              <w:rPr>
                <w:sz w:val="20"/>
                <w:szCs w:val="20"/>
              </w:rPr>
            </w:pPr>
            <w:r>
              <w:rPr>
                <w:sz w:val="20"/>
                <w:szCs w:val="20"/>
              </w:rPr>
              <w:t>$</w:t>
            </w:r>
            <w:r w:rsidR="005C640F">
              <w:rPr>
                <w:sz w:val="20"/>
                <w:szCs w:val="20"/>
              </w:rPr>
              <w:t>561</w:t>
            </w:r>
          </w:p>
        </w:tc>
      </w:tr>
      <w:tr w:rsidR="00A11F66" w14:paraId="5DFCADAE" w14:textId="77777777" w:rsidTr="009120D2">
        <w:trPr>
          <w:trHeight w:val="20"/>
        </w:trPr>
        <w:tc>
          <w:tcPr>
            <w:tcW w:w="2155" w:type="dxa"/>
            <w:tcBorders>
              <w:top w:val="single" w:sz="4" w:space="0" w:color="auto"/>
              <w:bottom w:val="single" w:sz="6" w:space="0" w:color="FFFFFF" w:themeColor="background1"/>
            </w:tcBorders>
            <w:tcMar>
              <w:top w:w="80" w:type="dxa"/>
              <w:left w:w="80" w:type="dxa"/>
              <w:bottom w:w="80" w:type="dxa"/>
              <w:right w:w="80" w:type="dxa"/>
            </w:tcMar>
          </w:tcPr>
          <w:p w14:paraId="23CA84BE" w14:textId="6BE28406" w:rsidR="00A11F66" w:rsidRDefault="00A11F66" w:rsidP="00A11F66">
            <w:pPr>
              <w:pStyle w:val="Body"/>
              <w:spacing w:after="0"/>
              <w:rPr>
                <w:b/>
                <w:bCs/>
                <w:sz w:val="20"/>
                <w:szCs w:val="20"/>
              </w:rPr>
            </w:pPr>
            <w:r>
              <w:rPr>
                <w:b/>
                <w:bCs/>
                <w:sz w:val="20"/>
                <w:szCs w:val="20"/>
              </w:rPr>
              <w:t xml:space="preserve">Standard Rebate </w:t>
            </w:r>
            <w:r w:rsidRPr="7ACA0E52">
              <w:rPr>
                <w:b/>
                <w:bCs/>
                <w:sz w:val="20"/>
                <w:szCs w:val="20"/>
              </w:rPr>
              <w:t>PHEV</w:t>
            </w:r>
          </w:p>
        </w:tc>
        <w:tc>
          <w:tcPr>
            <w:tcW w:w="1350" w:type="dxa"/>
            <w:tcBorders>
              <w:top w:val="single" w:sz="4" w:space="0" w:color="auto"/>
              <w:bottom w:val="single" w:sz="6" w:space="0" w:color="FFFFFF" w:themeColor="background1"/>
            </w:tcBorders>
            <w:tcMar>
              <w:top w:w="80" w:type="dxa"/>
              <w:left w:w="80" w:type="dxa"/>
              <w:bottom w:w="80" w:type="dxa"/>
              <w:right w:w="80" w:type="dxa"/>
            </w:tcMar>
          </w:tcPr>
          <w:p w14:paraId="2B533688" w14:textId="6BEFD429" w:rsidR="00A11F66" w:rsidRPr="008C6571" w:rsidRDefault="00A11F66" w:rsidP="00A11F66">
            <w:pPr>
              <w:pStyle w:val="Body"/>
              <w:spacing w:after="0" w:line="240" w:lineRule="auto"/>
              <w:jc w:val="center"/>
              <w:rPr>
                <w:i/>
                <w:iCs/>
              </w:rPr>
            </w:pPr>
            <w:r w:rsidRPr="008C6571">
              <w:rPr>
                <w:i/>
                <w:iCs/>
              </w:rPr>
              <w:t>N</w:t>
            </w:r>
            <w:r w:rsidRPr="008C6571">
              <w:t xml:space="preserve"> = 136,142</w:t>
            </w:r>
          </w:p>
        </w:tc>
        <w:tc>
          <w:tcPr>
            <w:tcW w:w="1800" w:type="dxa"/>
            <w:tcBorders>
              <w:top w:val="single" w:sz="4" w:space="0" w:color="auto"/>
              <w:bottom w:val="single" w:sz="6" w:space="0" w:color="FFFFFF" w:themeColor="background1"/>
            </w:tcBorders>
          </w:tcPr>
          <w:p w14:paraId="325FBA27" w14:textId="4DEB8028" w:rsidR="00A11F66" w:rsidRPr="008C6571" w:rsidRDefault="00D27D86" w:rsidP="00A11F66">
            <w:pPr>
              <w:pStyle w:val="Body"/>
              <w:spacing w:after="0" w:line="240" w:lineRule="auto"/>
              <w:jc w:val="center"/>
              <w:rPr>
                <w:sz w:val="20"/>
                <w:szCs w:val="20"/>
              </w:rPr>
            </w:pPr>
            <w:r>
              <w:rPr>
                <w:sz w:val="20"/>
                <w:szCs w:val="20"/>
              </w:rPr>
              <w:t>0.5</w:t>
            </w:r>
          </w:p>
        </w:tc>
        <w:tc>
          <w:tcPr>
            <w:tcW w:w="1800" w:type="dxa"/>
            <w:tcBorders>
              <w:top w:val="single" w:sz="4" w:space="0" w:color="auto"/>
              <w:bottom w:val="single" w:sz="6" w:space="0" w:color="FFFFFF" w:themeColor="background1"/>
            </w:tcBorders>
          </w:tcPr>
          <w:p w14:paraId="1D752D3B" w14:textId="681DEF65" w:rsidR="00A11F66" w:rsidRPr="00B43CEE" w:rsidRDefault="00E3768E" w:rsidP="002C31AC">
            <w:pPr>
              <w:pStyle w:val="Body"/>
              <w:spacing w:after="0" w:line="240" w:lineRule="auto"/>
              <w:jc w:val="center"/>
              <w:rPr>
                <w:sz w:val="20"/>
                <w:szCs w:val="20"/>
              </w:rPr>
            </w:pPr>
            <w:r>
              <w:rPr>
                <w:sz w:val="20"/>
                <w:szCs w:val="20"/>
              </w:rPr>
              <w:t>3.4</w:t>
            </w:r>
          </w:p>
        </w:tc>
        <w:tc>
          <w:tcPr>
            <w:tcW w:w="2160" w:type="dxa"/>
            <w:tcBorders>
              <w:top w:val="single" w:sz="4" w:space="0" w:color="auto"/>
              <w:bottom w:val="single" w:sz="6" w:space="0" w:color="FFFFFF" w:themeColor="background1"/>
            </w:tcBorders>
          </w:tcPr>
          <w:p w14:paraId="3354F9B7" w14:textId="0E192D4F" w:rsidR="00A11F66" w:rsidRPr="008C6571" w:rsidRDefault="00A11F66" w:rsidP="00A11F66">
            <w:pPr>
              <w:pStyle w:val="Body"/>
              <w:spacing w:after="0" w:line="240" w:lineRule="auto"/>
              <w:jc w:val="center"/>
              <w:rPr>
                <w:sz w:val="20"/>
                <w:szCs w:val="20"/>
              </w:rPr>
            </w:pPr>
            <w:r w:rsidRPr="008C6571">
              <w:rPr>
                <w:sz w:val="20"/>
                <w:szCs w:val="20"/>
              </w:rPr>
              <w:t>$</w:t>
            </w:r>
            <w:r w:rsidR="005C640F">
              <w:rPr>
                <w:sz w:val="20"/>
                <w:szCs w:val="20"/>
              </w:rPr>
              <w:t>428</w:t>
            </w:r>
          </w:p>
        </w:tc>
      </w:tr>
      <w:tr w:rsidR="00A91806" w:rsidDel="00B361EB" w14:paraId="236DBA10" w14:textId="77777777" w:rsidTr="009120D2">
        <w:trPr>
          <w:trHeight w:val="20"/>
        </w:trPr>
        <w:tc>
          <w:tcPr>
            <w:tcW w:w="2155" w:type="dxa"/>
            <w:tcBorders>
              <w:top w:val="single" w:sz="6" w:space="0" w:color="FFFFFF" w:themeColor="background1"/>
              <w:bottom w:val="nil"/>
            </w:tcBorders>
            <w:shd w:val="clear" w:color="auto" w:fill="F2F2F2" w:themeFill="background1" w:themeFillShade="F2"/>
            <w:tcMar>
              <w:top w:w="80" w:type="dxa"/>
              <w:left w:w="80" w:type="dxa"/>
              <w:bottom w:w="80" w:type="dxa"/>
              <w:right w:w="80" w:type="dxa"/>
            </w:tcMar>
          </w:tcPr>
          <w:p w14:paraId="756A3525" w14:textId="77777777" w:rsidR="00A91806" w:rsidRPr="00E65889" w:rsidRDefault="00A91806" w:rsidP="00AA2CFE">
            <w:pPr>
              <w:pStyle w:val="Body"/>
              <w:spacing w:after="0"/>
              <w:rPr>
                <w:sz w:val="20"/>
                <w:szCs w:val="20"/>
              </w:rPr>
            </w:pPr>
            <w:r>
              <w:rPr>
                <w:b/>
                <w:bCs/>
                <w:sz w:val="20"/>
                <w:szCs w:val="20"/>
              </w:rPr>
              <w:t>Increased Rebate PH</w:t>
            </w:r>
            <w:r w:rsidRPr="7ACA0E52">
              <w:rPr>
                <w:b/>
                <w:bCs/>
                <w:sz w:val="20"/>
                <w:szCs w:val="20"/>
              </w:rPr>
              <w:t>EV</w:t>
            </w:r>
          </w:p>
        </w:tc>
        <w:tc>
          <w:tcPr>
            <w:tcW w:w="1350" w:type="dxa"/>
            <w:tcBorders>
              <w:top w:val="single" w:sz="6" w:space="0" w:color="FFFFFF" w:themeColor="background1"/>
              <w:bottom w:val="nil"/>
            </w:tcBorders>
            <w:shd w:val="clear" w:color="auto" w:fill="F2F2F2" w:themeFill="background1" w:themeFillShade="F2"/>
            <w:tcMar>
              <w:top w:w="80" w:type="dxa"/>
              <w:left w:w="80" w:type="dxa"/>
              <w:bottom w:w="80" w:type="dxa"/>
              <w:right w:w="80" w:type="dxa"/>
            </w:tcMar>
          </w:tcPr>
          <w:p w14:paraId="0685CB13" w14:textId="77777777" w:rsidR="00A91806" w:rsidRPr="001C3F44" w:rsidRDefault="00A91806" w:rsidP="00AA2CFE">
            <w:pPr>
              <w:pStyle w:val="Body"/>
              <w:spacing w:after="0" w:line="240" w:lineRule="auto"/>
              <w:jc w:val="center"/>
              <w:rPr>
                <w:sz w:val="20"/>
                <w:szCs w:val="20"/>
              </w:rPr>
            </w:pPr>
            <w:r w:rsidRPr="00850A5E">
              <w:rPr>
                <w:i/>
                <w:iCs/>
              </w:rPr>
              <w:t>N</w:t>
            </w:r>
            <w:r w:rsidRPr="00B80BE5">
              <w:t xml:space="preserve"> = 12,330</w:t>
            </w:r>
          </w:p>
        </w:tc>
        <w:tc>
          <w:tcPr>
            <w:tcW w:w="1800" w:type="dxa"/>
            <w:tcBorders>
              <w:top w:val="single" w:sz="6" w:space="0" w:color="FFFFFF" w:themeColor="background1"/>
              <w:bottom w:val="nil"/>
            </w:tcBorders>
            <w:shd w:val="clear" w:color="auto" w:fill="F2F2F2" w:themeFill="background1" w:themeFillShade="F2"/>
          </w:tcPr>
          <w:p w14:paraId="55CC4A7A" w14:textId="0C141658" w:rsidR="00A91806" w:rsidRPr="7ACA0E52" w:rsidRDefault="00D27D86" w:rsidP="00AA2CFE">
            <w:pPr>
              <w:pStyle w:val="Body"/>
              <w:spacing w:after="0" w:line="240" w:lineRule="auto"/>
              <w:jc w:val="center"/>
              <w:rPr>
                <w:sz w:val="20"/>
                <w:szCs w:val="20"/>
              </w:rPr>
            </w:pPr>
            <w:r>
              <w:rPr>
                <w:sz w:val="20"/>
                <w:szCs w:val="20"/>
              </w:rPr>
              <w:t>0.8</w:t>
            </w:r>
          </w:p>
        </w:tc>
        <w:tc>
          <w:tcPr>
            <w:tcW w:w="1800" w:type="dxa"/>
            <w:tcBorders>
              <w:top w:val="single" w:sz="6" w:space="0" w:color="FFFFFF" w:themeColor="background1"/>
              <w:bottom w:val="nil"/>
            </w:tcBorders>
            <w:shd w:val="clear" w:color="auto" w:fill="F2F2F2" w:themeFill="background1" w:themeFillShade="F2"/>
          </w:tcPr>
          <w:p w14:paraId="19521B77" w14:textId="56C34E49" w:rsidR="00A91806" w:rsidRPr="00B43CEE" w:rsidRDefault="00E3768E" w:rsidP="00AA2CFE">
            <w:pPr>
              <w:pStyle w:val="Body"/>
              <w:spacing w:after="0" w:line="240" w:lineRule="auto"/>
              <w:jc w:val="center"/>
              <w:rPr>
                <w:sz w:val="20"/>
                <w:szCs w:val="20"/>
              </w:rPr>
            </w:pPr>
            <w:r>
              <w:rPr>
                <w:sz w:val="20"/>
                <w:szCs w:val="20"/>
              </w:rPr>
              <w:t>5.5</w:t>
            </w:r>
          </w:p>
        </w:tc>
        <w:tc>
          <w:tcPr>
            <w:tcW w:w="2160" w:type="dxa"/>
            <w:tcBorders>
              <w:top w:val="single" w:sz="6" w:space="0" w:color="FFFFFF" w:themeColor="background1"/>
              <w:bottom w:val="nil"/>
            </w:tcBorders>
            <w:shd w:val="clear" w:color="auto" w:fill="F2F2F2" w:themeFill="background1" w:themeFillShade="F2"/>
          </w:tcPr>
          <w:p w14:paraId="7DF46258" w14:textId="00954C47" w:rsidR="00A91806" w:rsidRPr="000344DF" w:rsidDel="00B361EB" w:rsidRDefault="00A91806" w:rsidP="00AA2CFE">
            <w:pPr>
              <w:pStyle w:val="Body"/>
              <w:spacing w:after="0" w:line="240" w:lineRule="auto"/>
              <w:jc w:val="center"/>
              <w:rPr>
                <w:sz w:val="20"/>
                <w:szCs w:val="20"/>
              </w:rPr>
            </w:pPr>
            <w:r w:rsidRPr="000344DF">
              <w:rPr>
                <w:sz w:val="20"/>
                <w:szCs w:val="20"/>
              </w:rPr>
              <w:t>$</w:t>
            </w:r>
            <w:r w:rsidR="005C640F">
              <w:rPr>
                <w:sz w:val="20"/>
                <w:szCs w:val="20"/>
              </w:rPr>
              <w:t>667</w:t>
            </w:r>
          </w:p>
        </w:tc>
      </w:tr>
      <w:tr w:rsidR="00A91806" w:rsidDel="00B361EB" w14:paraId="42404C3B" w14:textId="77777777" w:rsidTr="009120D2">
        <w:trPr>
          <w:trHeight w:val="20"/>
        </w:trPr>
        <w:tc>
          <w:tcPr>
            <w:tcW w:w="2155" w:type="dxa"/>
            <w:tcBorders>
              <w:top w:val="nil"/>
              <w:bottom w:val="nil"/>
            </w:tcBorders>
            <w:tcMar>
              <w:top w:w="80" w:type="dxa"/>
              <w:left w:w="80" w:type="dxa"/>
              <w:bottom w:w="80" w:type="dxa"/>
              <w:right w:w="80" w:type="dxa"/>
            </w:tcMar>
          </w:tcPr>
          <w:p w14:paraId="3B2B1C8C" w14:textId="77777777" w:rsidR="00A91806" w:rsidRPr="003A15C4" w:rsidRDefault="00A91806" w:rsidP="00AA2CFE">
            <w:pPr>
              <w:pStyle w:val="Body"/>
              <w:spacing w:after="0"/>
              <w:rPr>
                <w:sz w:val="20"/>
                <w:szCs w:val="20"/>
              </w:rPr>
            </w:pPr>
            <w:r w:rsidRPr="7ACA0E52">
              <w:rPr>
                <w:b/>
                <w:bCs/>
                <w:sz w:val="20"/>
                <w:szCs w:val="20"/>
              </w:rPr>
              <w:t>Standard Rebate</w:t>
            </w:r>
            <w:r>
              <w:rPr>
                <w:b/>
                <w:bCs/>
                <w:sz w:val="20"/>
                <w:szCs w:val="20"/>
              </w:rPr>
              <w:t xml:space="preserve"> BEV</w:t>
            </w:r>
          </w:p>
        </w:tc>
        <w:tc>
          <w:tcPr>
            <w:tcW w:w="1350" w:type="dxa"/>
            <w:tcBorders>
              <w:top w:val="nil"/>
              <w:bottom w:val="nil"/>
            </w:tcBorders>
            <w:tcMar>
              <w:top w:w="80" w:type="dxa"/>
              <w:left w:w="80" w:type="dxa"/>
              <w:bottom w:w="80" w:type="dxa"/>
              <w:right w:w="80" w:type="dxa"/>
            </w:tcMar>
          </w:tcPr>
          <w:p w14:paraId="7FF30B8F" w14:textId="44D0B174" w:rsidR="00A91806" w:rsidRPr="006B453D" w:rsidRDefault="00A91806" w:rsidP="00AA2CFE">
            <w:pPr>
              <w:pStyle w:val="Body"/>
              <w:spacing w:after="0" w:line="240" w:lineRule="auto"/>
              <w:jc w:val="center"/>
              <w:rPr>
                <w:b/>
                <w:bCs/>
                <w:sz w:val="20"/>
                <w:szCs w:val="20"/>
              </w:rPr>
            </w:pPr>
            <w:r w:rsidRPr="00850A5E">
              <w:rPr>
                <w:i/>
                <w:iCs/>
              </w:rPr>
              <w:t>N</w:t>
            </w:r>
            <w:r w:rsidRPr="00052241">
              <w:t xml:space="preserve"> = 3</w:t>
            </w:r>
            <w:r w:rsidR="006224A6">
              <w:t>53</w:t>
            </w:r>
            <w:r w:rsidRPr="00052241">
              <w:t>,</w:t>
            </w:r>
            <w:r w:rsidR="00700B74">
              <w:t>886</w:t>
            </w:r>
          </w:p>
        </w:tc>
        <w:tc>
          <w:tcPr>
            <w:tcW w:w="1800" w:type="dxa"/>
            <w:tcBorders>
              <w:top w:val="nil"/>
              <w:bottom w:val="single" w:sz="6" w:space="0" w:color="FFFFFF" w:themeColor="background1"/>
            </w:tcBorders>
          </w:tcPr>
          <w:p w14:paraId="2A0F71F3" w14:textId="40B00202" w:rsidR="00A91806" w:rsidRPr="7ACA0E52" w:rsidRDefault="003E38B9" w:rsidP="00AA2CFE">
            <w:pPr>
              <w:pStyle w:val="Body"/>
              <w:spacing w:after="0" w:line="240" w:lineRule="auto"/>
              <w:jc w:val="center"/>
              <w:rPr>
                <w:rFonts w:cs="Calibri"/>
                <w:sz w:val="20"/>
                <w:szCs w:val="20"/>
              </w:rPr>
            </w:pPr>
            <w:r>
              <w:rPr>
                <w:rFonts w:cs="Calibri"/>
                <w:sz w:val="20"/>
                <w:szCs w:val="20"/>
              </w:rPr>
              <w:t>0.9</w:t>
            </w:r>
          </w:p>
        </w:tc>
        <w:tc>
          <w:tcPr>
            <w:tcW w:w="1800" w:type="dxa"/>
            <w:tcBorders>
              <w:top w:val="nil"/>
              <w:bottom w:val="single" w:sz="6" w:space="0" w:color="FFFFFF" w:themeColor="background1"/>
            </w:tcBorders>
          </w:tcPr>
          <w:p w14:paraId="2D933AA4" w14:textId="4A5327D1" w:rsidR="00A91806" w:rsidRPr="00B43CEE" w:rsidRDefault="00E3768E" w:rsidP="00AA2CFE">
            <w:pPr>
              <w:pStyle w:val="Body"/>
              <w:spacing w:after="0" w:line="240" w:lineRule="auto"/>
              <w:jc w:val="center"/>
              <w:rPr>
                <w:rFonts w:cs="Calibri"/>
                <w:sz w:val="20"/>
                <w:szCs w:val="20"/>
              </w:rPr>
            </w:pPr>
            <w:r>
              <w:rPr>
                <w:rFonts w:cs="Calibri"/>
                <w:sz w:val="20"/>
                <w:szCs w:val="20"/>
              </w:rPr>
              <w:t>7.0</w:t>
            </w:r>
          </w:p>
        </w:tc>
        <w:tc>
          <w:tcPr>
            <w:tcW w:w="2160" w:type="dxa"/>
            <w:tcBorders>
              <w:top w:val="nil"/>
              <w:bottom w:val="single" w:sz="6" w:space="0" w:color="FFFFFF" w:themeColor="background1"/>
            </w:tcBorders>
          </w:tcPr>
          <w:p w14:paraId="043D645F" w14:textId="0F66B359" w:rsidR="00A91806" w:rsidRPr="000344DF" w:rsidDel="00B361EB" w:rsidRDefault="00A91806" w:rsidP="00AA2CFE">
            <w:pPr>
              <w:pStyle w:val="Body"/>
              <w:spacing w:after="0" w:line="240" w:lineRule="auto"/>
              <w:jc w:val="center"/>
              <w:rPr>
                <w:b/>
                <w:bCs/>
                <w:sz w:val="20"/>
                <w:szCs w:val="20"/>
              </w:rPr>
            </w:pPr>
            <w:r w:rsidRPr="000344DF">
              <w:rPr>
                <w:rFonts w:cs="Calibri"/>
                <w:sz w:val="20"/>
                <w:szCs w:val="20"/>
              </w:rPr>
              <w:t>$</w:t>
            </w:r>
            <w:r w:rsidR="005C640F">
              <w:rPr>
                <w:rFonts w:cs="Calibri"/>
                <w:sz w:val="20"/>
                <w:szCs w:val="20"/>
              </w:rPr>
              <w:t>332</w:t>
            </w:r>
          </w:p>
        </w:tc>
      </w:tr>
      <w:tr w:rsidR="00A91806" w:rsidRPr="006B453D" w14:paraId="2CB2CCF2" w14:textId="77777777" w:rsidTr="009120D2">
        <w:trPr>
          <w:trHeight w:val="20"/>
        </w:trPr>
        <w:tc>
          <w:tcPr>
            <w:tcW w:w="2155" w:type="dxa"/>
            <w:tcBorders>
              <w:bottom w:val="single" w:sz="4" w:space="0" w:color="535353" w:themeColor="text2" w:themeShade="80"/>
            </w:tcBorders>
            <w:shd w:val="clear" w:color="auto" w:fill="F2F2F2" w:themeFill="background1" w:themeFillShade="F2"/>
            <w:tcMar>
              <w:top w:w="80" w:type="dxa"/>
              <w:left w:w="80" w:type="dxa"/>
              <w:bottom w:w="80" w:type="dxa"/>
              <w:right w:w="80" w:type="dxa"/>
            </w:tcMar>
          </w:tcPr>
          <w:p w14:paraId="37B9445B" w14:textId="77777777" w:rsidR="00A91806" w:rsidRPr="003A15C4" w:rsidRDefault="00A91806" w:rsidP="00AA2CFE">
            <w:pPr>
              <w:pStyle w:val="Body"/>
              <w:spacing w:after="0"/>
              <w:rPr>
                <w:b/>
                <w:sz w:val="20"/>
                <w:szCs w:val="20"/>
              </w:rPr>
            </w:pPr>
            <w:r w:rsidRPr="7ACA0E52">
              <w:rPr>
                <w:b/>
                <w:bCs/>
                <w:sz w:val="20"/>
                <w:szCs w:val="20"/>
              </w:rPr>
              <w:t>Increased Rebate</w:t>
            </w:r>
            <w:r>
              <w:rPr>
                <w:b/>
                <w:bCs/>
                <w:sz w:val="20"/>
                <w:szCs w:val="20"/>
              </w:rPr>
              <w:t xml:space="preserve"> BEV</w:t>
            </w:r>
          </w:p>
        </w:tc>
        <w:tc>
          <w:tcPr>
            <w:tcW w:w="1350" w:type="dxa"/>
            <w:tcBorders>
              <w:bottom w:val="single" w:sz="4" w:space="0" w:color="535353" w:themeColor="text2" w:themeShade="80"/>
            </w:tcBorders>
            <w:shd w:val="clear" w:color="auto" w:fill="F2F2F2" w:themeFill="background1" w:themeFillShade="F2"/>
            <w:tcMar>
              <w:top w:w="80" w:type="dxa"/>
              <w:left w:w="80" w:type="dxa"/>
              <w:bottom w:w="80" w:type="dxa"/>
              <w:right w:w="80" w:type="dxa"/>
            </w:tcMar>
          </w:tcPr>
          <w:p w14:paraId="5980377D" w14:textId="77777777" w:rsidR="00A91806" w:rsidRPr="006B453D" w:rsidRDefault="00A91806" w:rsidP="00AA2CFE">
            <w:pPr>
              <w:pStyle w:val="Body"/>
              <w:spacing w:after="0" w:line="240" w:lineRule="auto"/>
              <w:jc w:val="center"/>
              <w:rPr>
                <w:rFonts w:cs="Calibri"/>
                <w:b/>
                <w:bCs/>
                <w:i/>
                <w:iCs/>
                <w:sz w:val="20"/>
                <w:szCs w:val="20"/>
              </w:rPr>
            </w:pPr>
            <w:r w:rsidRPr="00850A5E">
              <w:rPr>
                <w:i/>
                <w:iCs/>
              </w:rPr>
              <w:t>N</w:t>
            </w:r>
            <w:r w:rsidRPr="00052241">
              <w:t xml:space="preserve"> = 54,400</w:t>
            </w:r>
          </w:p>
        </w:tc>
        <w:tc>
          <w:tcPr>
            <w:tcW w:w="1800" w:type="dxa"/>
            <w:tcBorders>
              <w:top w:val="single" w:sz="6" w:space="0" w:color="FFFFFF" w:themeColor="background1"/>
              <w:bottom w:val="single" w:sz="4" w:space="0" w:color="auto"/>
            </w:tcBorders>
            <w:shd w:val="clear" w:color="auto" w:fill="F2F2F2" w:themeFill="background1" w:themeFillShade="F2"/>
          </w:tcPr>
          <w:p w14:paraId="26DDADD9" w14:textId="72DCBCE3" w:rsidR="00A91806" w:rsidRPr="7ACA0E52" w:rsidRDefault="007100CF" w:rsidP="00AA2CFE">
            <w:pPr>
              <w:pStyle w:val="Body"/>
              <w:spacing w:after="0" w:line="240" w:lineRule="auto"/>
              <w:jc w:val="center"/>
              <w:rPr>
                <w:rFonts w:cs="Calibri"/>
                <w:sz w:val="20"/>
                <w:szCs w:val="20"/>
              </w:rPr>
            </w:pPr>
            <w:r>
              <w:rPr>
                <w:rFonts w:cs="Calibri"/>
                <w:sz w:val="20"/>
                <w:szCs w:val="20"/>
              </w:rPr>
              <w:t>1.5</w:t>
            </w:r>
          </w:p>
        </w:tc>
        <w:tc>
          <w:tcPr>
            <w:tcW w:w="1800" w:type="dxa"/>
            <w:tcBorders>
              <w:top w:val="single" w:sz="6" w:space="0" w:color="FFFFFF" w:themeColor="background1"/>
              <w:bottom w:val="single" w:sz="4" w:space="0" w:color="auto"/>
            </w:tcBorders>
            <w:shd w:val="clear" w:color="auto" w:fill="F2F2F2" w:themeFill="background1" w:themeFillShade="F2"/>
            <w:vAlign w:val="center"/>
          </w:tcPr>
          <w:p w14:paraId="216325D7" w14:textId="3C289039" w:rsidR="00A91806" w:rsidRPr="00B43CEE" w:rsidRDefault="00E3768E" w:rsidP="00AA2CFE">
            <w:pPr>
              <w:pStyle w:val="Body"/>
              <w:spacing w:after="0" w:line="240" w:lineRule="auto"/>
              <w:jc w:val="center"/>
              <w:rPr>
                <w:rFonts w:cs="Calibri"/>
                <w:sz w:val="20"/>
                <w:szCs w:val="20"/>
              </w:rPr>
            </w:pPr>
            <w:r>
              <w:rPr>
                <w:rFonts w:cs="Calibri"/>
                <w:sz w:val="20"/>
                <w:szCs w:val="20"/>
              </w:rPr>
              <w:t>10.5</w:t>
            </w:r>
          </w:p>
        </w:tc>
        <w:tc>
          <w:tcPr>
            <w:tcW w:w="2160" w:type="dxa"/>
            <w:tcBorders>
              <w:top w:val="single" w:sz="6" w:space="0" w:color="FFFFFF" w:themeColor="background1"/>
              <w:bottom w:val="single" w:sz="4" w:space="0" w:color="auto"/>
            </w:tcBorders>
            <w:shd w:val="clear" w:color="auto" w:fill="F2F2F2" w:themeFill="background1" w:themeFillShade="F2"/>
            <w:vAlign w:val="center"/>
          </w:tcPr>
          <w:p w14:paraId="73AF71EF" w14:textId="758F37D5" w:rsidR="00A91806" w:rsidRPr="000344DF" w:rsidRDefault="00A91806" w:rsidP="00AA2CFE">
            <w:pPr>
              <w:pStyle w:val="Body"/>
              <w:spacing w:after="0" w:line="240" w:lineRule="auto"/>
              <w:jc w:val="center"/>
              <w:rPr>
                <w:b/>
                <w:bCs/>
                <w:sz w:val="20"/>
                <w:szCs w:val="20"/>
              </w:rPr>
            </w:pPr>
            <w:r w:rsidRPr="000344DF">
              <w:rPr>
                <w:rFonts w:cs="Calibri"/>
                <w:sz w:val="20"/>
                <w:szCs w:val="20"/>
              </w:rPr>
              <w:t>$</w:t>
            </w:r>
            <w:r w:rsidR="005C640F">
              <w:rPr>
                <w:rFonts w:cs="Calibri"/>
                <w:sz w:val="20"/>
                <w:szCs w:val="20"/>
              </w:rPr>
              <w:t>548</w:t>
            </w:r>
          </w:p>
        </w:tc>
      </w:tr>
      <w:tr w:rsidR="00A91806" w:rsidRPr="006B453D" w14:paraId="753E869E" w14:textId="77777777" w:rsidTr="009120D2">
        <w:trPr>
          <w:trHeight w:val="20"/>
        </w:trPr>
        <w:tc>
          <w:tcPr>
            <w:tcW w:w="2155" w:type="dxa"/>
            <w:tcBorders>
              <w:top w:val="single" w:sz="4" w:space="0" w:color="535353" w:themeColor="text2" w:themeShade="80"/>
            </w:tcBorders>
            <w:tcMar>
              <w:top w:w="80" w:type="dxa"/>
              <w:left w:w="80" w:type="dxa"/>
              <w:bottom w:w="80" w:type="dxa"/>
              <w:right w:w="80" w:type="dxa"/>
            </w:tcMar>
          </w:tcPr>
          <w:p w14:paraId="626D21C6" w14:textId="77777777" w:rsidR="00A91806" w:rsidRPr="003A15C4" w:rsidRDefault="00A91806" w:rsidP="00AA2CFE">
            <w:pPr>
              <w:pStyle w:val="Body"/>
              <w:spacing w:after="0"/>
              <w:rPr>
                <w:b/>
                <w:sz w:val="20"/>
                <w:szCs w:val="20"/>
              </w:rPr>
            </w:pPr>
            <w:r w:rsidRPr="7ACA0E52">
              <w:rPr>
                <w:b/>
                <w:bCs/>
                <w:sz w:val="20"/>
                <w:szCs w:val="20"/>
              </w:rPr>
              <w:t>All</w:t>
            </w:r>
            <w:r>
              <w:rPr>
                <w:b/>
                <w:bCs/>
                <w:sz w:val="20"/>
                <w:szCs w:val="20"/>
              </w:rPr>
              <w:t xml:space="preserve"> </w:t>
            </w:r>
          </w:p>
        </w:tc>
        <w:tc>
          <w:tcPr>
            <w:tcW w:w="1350" w:type="dxa"/>
            <w:tcBorders>
              <w:top w:val="single" w:sz="4" w:space="0" w:color="535353" w:themeColor="text2" w:themeShade="80"/>
            </w:tcBorders>
            <w:tcMar>
              <w:top w:w="80" w:type="dxa"/>
              <w:left w:w="80" w:type="dxa"/>
              <w:bottom w:w="80" w:type="dxa"/>
              <w:right w:w="80" w:type="dxa"/>
            </w:tcMar>
            <w:vAlign w:val="center"/>
          </w:tcPr>
          <w:p w14:paraId="0FB59C2C" w14:textId="6433807F" w:rsidR="00A91806" w:rsidRPr="006B453D" w:rsidRDefault="00A91806" w:rsidP="00AA2CFE">
            <w:pPr>
              <w:pStyle w:val="Body"/>
              <w:spacing w:after="0" w:line="240" w:lineRule="auto"/>
              <w:jc w:val="center"/>
              <w:rPr>
                <w:rFonts w:cs="Calibri"/>
                <w:b/>
                <w:bCs/>
                <w:i/>
                <w:iCs/>
                <w:sz w:val="20"/>
                <w:szCs w:val="20"/>
              </w:rPr>
            </w:pPr>
            <w:r w:rsidRPr="7ACA0E52">
              <w:rPr>
                <w:rFonts w:cs="Calibri"/>
                <w:b/>
                <w:bCs/>
                <w:i/>
                <w:iCs/>
                <w:sz w:val="20"/>
                <w:szCs w:val="20"/>
              </w:rPr>
              <w:t>N</w:t>
            </w:r>
            <w:r w:rsidRPr="7ACA0E52">
              <w:rPr>
                <w:rFonts w:cs="Calibri"/>
                <w:b/>
                <w:bCs/>
                <w:sz w:val="20"/>
                <w:szCs w:val="20"/>
              </w:rPr>
              <w:t xml:space="preserve"> = </w:t>
            </w:r>
            <w:r>
              <w:rPr>
                <w:rFonts w:cs="Calibri"/>
                <w:b/>
                <w:bCs/>
                <w:sz w:val="20"/>
                <w:szCs w:val="20"/>
              </w:rPr>
              <w:t>5</w:t>
            </w:r>
            <w:r w:rsidR="00E96825">
              <w:rPr>
                <w:rFonts w:cs="Calibri"/>
                <w:b/>
                <w:bCs/>
                <w:sz w:val="20"/>
                <w:szCs w:val="20"/>
              </w:rPr>
              <w:t>56</w:t>
            </w:r>
            <w:r>
              <w:rPr>
                <w:rFonts w:cs="Calibri"/>
                <w:b/>
                <w:bCs/>
                <w:sz w:val="20"/>
                <w:szCs w:val="20"/>
              </w:rPr>
              <w:t>,</w:t>
            </w:r>
            <w:r w:rsidR="00E96825">
              <w:rPr>
                <w:rFonts w:cs="Calibri"/>
                <w:b/>
                <w:bCs/>
                <w:sz w:val="20"/>
                <w:szCs w:val="20"/>
              </w:rPr>
              <w:t>758</w:t>
            </w:r>
          </w:p>
        </w:tc>
        <w:tc>
          <w:tcPr>
            <w:tcW w:w="1800" w:type="dxa"/>
            <w:tcBorders>
              <w:top w:val="single" w:sz="4" w:space="0" w:color="auto"/>
            </w:tcBorders>
          </w:tcPr>
          <w:p w14:paraId="45350566" w14:textId="0DCADC7A" w:rsidR="00A91806" w:rsidRPr="7ACA0E52" w:rsidRDefault="007100CF" w:rsidP="00AA2CFE">
            <w:pPr>
              <w:pStyle w:val="Body"/>
              <w:spacing w:after="0" w:line="240" w:lineRule="auto"/>
              <w:jc w:val="center"/>
              <w:rPr>
                <w:b/>
                <w:bCs/>
                <w:sz w:val="20"/>
                <w:szCs w:val="20"/>
              </w:rPr>
            </w:pPr>
            <w:r>
              <w:rPr>
                <w:b/>
                <w:bCs/>
                <w:sz w:val="20"/>
                <w:szCs w:val="20"/>
              </w:rPr>
              <w:t>0.9</w:t>
            </w:r>
          </w:p>
        </w:tc>
        <w:tc>
          <w:tcPr>
            <w:tcW w:w="1800" w:type="dxa"/>
            <w:tcBorders>
              <w:top w:val="single" w:sz="4" w:space="0" w:color="auto"/>
            </w:tcBorders>
          </w:tcPr>
          <w:p w14:paraId="1E1CE37D" w14:textId="4377EA10" w:rsidR="00A91806" w:rsidRPr="000344DF" w:rsidRDefault="007100CF" w:rsidP="00AA2CFE">
            <w:pPr>
              <w:pStyle w:val="Body"/>
              <w:spacing w:after="0" w:line="240" w:lineRule="auto"/>
              <w:jc w:val="center"/>
              <w:rPr>
                <w:b/>
                <w:bCs/>
                <w:sz w:val="20"/>
                <w:szCs w:val="20"/>
              </w:rPr>
            </w:pPr>
            <w:r>
              <w:rPr>
                <w:b/>
                <w:bCs/>
                <w:sz w:val="20"/>
                <w:szCs w:val="20"/>
              </w:rPr>
              <w:t>6.4</w:t>
            </w:r>
          </w:p>
        </w:tc>
        <w:tc>
          <w:tcPr>
            <w:tcW w:w="2160" w:type="dxa"/>
            <w:tcBorders>
              <w:top w:val="single" w:sz="4" w:space="0" w:color="auto"/>
            </w:tcBorders>
          </w:tcPr>
          <w:p w14:paraId="554FE62F" w14:textId="10F83388" w:rsidR="00A91806" w:rsidRPr="000344DF" w:rsidRDefault="00A91806" w:rsidP="00AA2CFE">
            <w:pPr>
              <w:pStyle w:val="Body"/>
              <w:spacing w:after="0" w:line="240" w:lineRule="auto"/>
              <w:jc w:val="center"/>
              <w:rPr>
                <w:b/>
                <w:bCs/>
                <w:sz w:val="20"/>
                <w:szCs w:val="20"/>
              </w:rPr>
            </w:pPr>
            <w:r w:rsidRPr="000344DF">
              <w:rPr>
                <w:b/>
                <w:bCs/>
                <w:sz w:val="20"/>
                <w:szCs w:val="20"/>
              </w:rPr>
              <w:t>$</w:t>
            </w:r>
            <w:r w:rsidR="005C640F">
              <w:rPr>
                <w:b/>
                <w:bCs/>
                <w:sz w:val="20"/>
                <w:szCs w:val="20"/>
              </w:rPr>
              <w:t>386</w:t>
            </w:r>
          </w:p>
        </w:tc>
      </w:tr>
    </w:tbl>
    <w:p w14:paraId="071D8DB2" w14:textId="6F3636A7" w:rsidR="00823816" w:rsidRDefault="00A91806" w:rsidP="00EA4204">
      <w:r>
        <w:lastRenderedPageBreak/>
        <w:t>Over time,</w:t>
      </w:r>
      <w:r w:rsidR="00A069D5">
        <w:t xml:space="preserve"> </w:t>
      </w:r>
      <w:r w:rsidR="000645CA">
        <w:t xml:space="preserve">costs per ton of </w:t>
      </w:r>
      <w:r w:rsidR="00047B31">
        <w:t xml:space="preserve">detailed </w:t>
      </w:r>
      <w:r w:rsidR="000A758F">
        <w:t xml:space="preserve">counterfactual </w:t>
      </w:r>
      <w:r w:rsidR="000645CA">
        <w:t>reductions decreased over time from 2010–2015, reaching a low of $312 before gradually increasing back up to nearly $520/ton in 2022</w:t>
      </w:r>
      <w:r w:rsidR="006A0200">
        <w:t xml:space="preserve"> and then finally dropping in </w:t>
      </w:r>
      <w:r w:rsidR="00C221AC">
        <w:t>the last year of the program</w:t>
      </w:r>
      <w:r w:rsidR="000645CA">
        <w:t xml:space="preserve"> </w:t>
      </w:r>
      <w:r w:rsidR="003C1382">
        <w:t xml:space="preserve">(Figure </w:t>
      </w:r>
      <w:r w:rsidR="003C1382">
        <w:rPr>
          <w:noProof/>
        </w:rPr>
        <w:t>10</w:t>
      </w:r>
      <w:r w:rsidR="003C1382">
        <w:t>).</w:t>
      </w:r>
      <w:r w:rsidR="008066A3">
        <w:t xml:space="preserve"> Counterfactual behavior inputs are constant through 2015 due to lack of data, so cost-effectiveness improvements from 2010–2015 </w:t>
      </w:r>
      <w:r w:rsidR="006118AF">
        <w:t>were due to dynamics previously described</w:t>
      </w:r>
      <w:r w:rsidR="004C57DD">
        <w:t>—</w:t>
      </w:r>
      <w:r w:rsidR="008066A3">
        <w:t xml:space="preserve">primarily </w:t>
      </w:r>
      <w:r w:rsidR="006C57F3">
        <w:t xml:space="preserve">1) </w:t>
      </w:r>
      <w:r w:rsidR="00C53B7F">
        <w:t xml:space="preserve">decreases </w:t>
      </w:r>
      <w:r w:rsidR="008066A3">
        <w:t>in rebate amounts in 2011 (</w:t>
      </w:r>
      <w:r w:rsidR="0082379B">
        <w:t xml:space="preserve">Table </w:t>
      </w:r>
      <w:r w:rsidR="0082379B">
        <w:rPr>
          <w:noProof/>
        </w:rPr>
        <w:t>8</w:t>
      </w:r>
      <w:r w:rsidR="008066A3">
        <w:t xml:space="preserve">) and </w:t>
      </w:r>
      <w:r w:rsidR="006C57F3">
        <w:t xml:space="preserve">2) </w:t>
      </w:r>
      <w:r w:rsidR="00E90B51">
        <w:t>in later years</w:t>
      </w:r>
      <w:r w:rsidR="006C57F3">
        <w:t xml:space="preserve"> the</w:t>
      </w:r>
      <w:r w:rsidR="008066A3">
        <w:t xml:space="preserve"> increasing share of rebates going to BEVs, which were </w:t>
      </w:r>
      <w:r w:rsidR="00C22283">
        <w:t xml:space="preserve">much </w:t>
      </w:r>
      <w:r w:rsidR="008066A3">
        <w:t xml:space="preserve">more cost-effective </w:t>
      </w:r>
      <w:r w:rsidR="00C22283">
        <w:t xml:space="preserve">throughout </w:t>
      </w:r>
      <w:r w:rsidR="008066A3">
        <w:t xml:space="preserve">this period due to their larger average reductions </w:t>
      </w:r>
      <w:r w:rsidR="000E1E38">
        <w:t xml:space="preserve">(Figure </w:t>
      </w:r>
      <w:r w:rsidR="000E1E38">
        <w:rPr>
          <w:noProof/>
        </w:rPr>
        <w:t>11</w:t>
      </w:r>
      <w:r w:rsidR="000E1E38">
        <w:t>)</w:t>
      </w:r>
      <w:r w:rsidR="008066A3">
        <w:t xml:space="preserve">. </w:t>
      </w:r>
      <w:r w:rsidR="006E2512">
        <w:t>T</w:t>
      </w:r>
      <w:r>
        <w:t xml:space="preserve">otal cost per ton of reductions </w:t>
      </w:r>
      <w:r w:rsidR="001F03C2">
        <w:t xml:space="preserve">increasing </w:t>
      </w:r>
      <w:r w:rsidR="005C69CE">
        <w:t xml:space="preserve">after </w:t>
      </w:r>
      <w:r w:rsidR="00E5010F">
        <w:t xml:space="preserve">2015 </w:t>
      </w:r>
      <w:r w:rsidR="0076375B">
        <w:t>is likely due in large part</w:t>
      </w:r>
      <w:r>
        <w:t xml:space="preserve"> to EV counterfactuals </w:t>
      </w:r>
      <w:r w:rsidR="00106C7A">
        <w:t xml:space="preserve">gradually </w:t>
      </w:r>
      <w:r w:rsidR="009E7490">
        <w:t xml:space="preserve">becoming more common </w:t>
      </w:r>
      <w:r>
        <w:t>(</w:t>
      </w:r>
      <w:r w:rsidR="00F97EC6">
        <w:t xml:space="preserve">Figure </w:t>
      </w:r>
      <w:r w:rsidR="00F97EC6">
        <w:rPr>
          <w:noProof/>
        </w:rPr>
        <w:t>13</w:t>
      </w:r>
      <w:r>
        <w:t>)</w:t>
      </w:r>
      <w:r w:rsidR="00056DB7">
        <w:t xml:space="preserve">, </w:t>
      </w:r>
      <w:r w:rsidR="0062319D">
        <w:t xml:space="preserve">resulting in average </w:t>
      </w:r>
      <w:r w:rsidR="007A1FD6">
        <w:t>savings decreasing,</w:t>
      </w:r>
      <w:r w:rsidR="00430769">
        <w:t xml:space="preserve"> and average rebate amounts increasing</w:t>
      </w:r>
      <w:r w:rsidR="00D75DF9">
        <w:t xml:space="preserve"> </w:t>
      </w:r>
      <w:r w:rsidR="00607832">
        <w:t>(</w:t>
      </w:r>
      <w:r w:rsidR="00D21473">
        <w:t xml:space="preserve">Figure </w:t>
      </w:r>
      <w:r w:rsidR="00D21473">
        <w:rPr>
          <w:noProof/>
        </w:rPr>
        <w:t>16</w:t>
      </w:r>
      <w:r w:rsidR="00430769">
        <w:t>)</w:t>
      </w:r>
      <w:r>
        <w:t xml:space="preserve">. </w:t>
      </w:r>
      <w:r w:rsidR="00046E70">
        <w:t>Program average c</w:t>
      </w:r>
      <w:r w:rsidR="0012353E">
        <w:t>osts</w:t>
      </w:r>
      <w:r w:rsidR="00046E70">
        <w:t>/ton</w:t>
      </w:r>
      <w:r w:rsidR="0012353E">
        <w:t xml:space="preserve"> then </w:t>
      </w:r>
      <w:r w:rsidR="00272466">
        <w:t xml:space="preserve">drop </w:t>
      </w:r>
      <w:r w:rsidR="00AB10F3">
        <w:t>in 2023</w:t>
      </w:r>
      <w:r w:rsidR="002A06B6">
        <w:t>,</w:t>
      </w:r>
      <w:r w:rsidR="00AB10F3">
        <w:t xml:space="preserve"> </w:t>
      </w:r>
      <w:r w:rsidR="002A06B6">
        <w:t xml:space="preserve">despite a substantial </w:t>
      </w:r>
      <w:r w:rsidR="00272466">
        <w:t xml:space="preserve">increase </w:t>
      </w:r>
      <w:r w:rsidR="002A06B6">
        <w:t xml:space="preserve">in average rebate amounts, </w:t>
      </w:r>
      <w:r w:rsidR="00B01105">
        <w:t xml:space="preserve">as </w:t>
      </w:r>
      <w:r w:rsidR="00AB10F3">
        <w:t>EV counterfactuals</w:t>
      </w:r>
      <w:r w:rsidR="00046E70">
        <w:t xml:space="preserve"> </w:t>
      </w:r>
      <w:r w:rsidR="00B01105">
        <w:t xml:space="preserve">decreased substantially </w:t>
      </w:r>
      <w:r w:rsidR="00046E70">
        <w:t>for BEVs</w:t>
      </w:r>
      <w:r w:rsidR="002C448A">
        <w:t xml:space="preserve">. </w:t>
      </w:r>
      <w:r w:rsidR="001A6464">
        <w:t xml:space="preserve">PHEV results diverged from BEVs in 2023, with costs per ton of reductions increasing substantially as elevated rebate amounts were not </w:t>
      </w:r>
      <w:r w:rsidR="00854C49">
        <w:t xml:space="preserve">offset </w:t>
      </w:r>
      <w:r w:rsidR="00137E10">
        <w:t xml:space="preserve">by </w:t>
      </w:r>
      <w:r w:rsidR="001A6464">
        <w:t>higher GHG reductions</w:t>
      </w:r>
      <w:r w:rsidR="006E71B7">
        <w:t>.</w:t>
      </w:r>
      <w:r w:rsidR="001A6464">
        <w:t xml:space="preserve"> PHEVs composed only a small share of 2023 rebates</w:t>
      </w:r>
      <w:r w:rsidR="006E71B7">
        <w:t>, however,</w:t>
      </w:r>
      <w:r w:rsidR="001A6464">
        <w:t xml:space="preserve"> and had little effect on the program totals.</w:t>
      </w:r>
    </w:p>
    <w:p w14:paraId="33F498B4" w14:textId="7820BB80" w:rsidR="00DB238D" w:rsidRPr="00B90CFD" w:rsidRDefault="00DB238D" w:rsidP="00D44504">
      <w:pPr>
        <w:pStyle w:val="TableFigureNumber0"/>
        <w:keepNext/>
        <w:rPr>
          <w:color w:val="0579BD"/>
        </w:rPr>
      </w:pPr>
      <w:bookmarkStart w:id="41" w:name="_Ref216035372"/>
      <w:r w:rsidRPr="00B90CFD">
        <w:rPr>
          <w:color w:val="0579BD"/>
        </w:rPr>
        <w:t xml:space="preserve">Figure </w:t>
      </w:r>
      <w:r w:rsidR="00190DD1" w:rsidRPr="00B90CFD">
        <w:rPr>
          <w:noProof/>
          <w:color w:val="0579BD"/>
        </w:rPr>
        <w:t>10</w:t>
      </w:r>
      <w:bookmarkEnd w:id="41"/>
    </w:p>
    <w:p w14:paraId="4E0E6340" w14:textId="2A4C06DC" w:rsidR="00646249" w:rsidRDefault="00800BE9" w:rsidP="00646249">
      <w:pPr>
        <w:pStyle w:val="TableFigureheader"/>
        <w:keepNext/>
      </w:pPr>
      <w:r w:rsidRPr="001B00F1">
        <w:t xml:space="preserve">Cost-Effectiveness </w:t>
      </w:r>
      <w:r w:rsidR="006C4D89">
        <w:t>by Purchase Year</w:t>
      </w:r>
    </w:p>
    <w:p w14:paraId="228DCF43" w14:textId="465DAB2A" w:rsidR="00D12458" w:rsidRDefault="00916061" w:rsidP="00BC3CCA">
      <w:pPr>
        <w:pStyle w:val="TableFigureSubtitle"/>
        <w:keepNext/>
      </w:pPr>
      <w:r>
        <w:t xml:space="preserve">Detailed </w:t>
      </w:r>
      <w:r w:rsidR="00D12458" w:rsidRPr="001B00F1">
        <w:t>Counterfactual Reductions</w:t>
      </w:r>
      <w:r w:rsidR="007709F9">
        <w:t>, 100k mi</w:t>
      </w:r>
      <w:r w:rsidR="004E67B4">
        <w:t>les</w:t>
      </w:r>
    </w:p>
    <w:p w14:paraId="0E4B9676" w14:textId="05771EEA" w:rsidR="00087B7B" w:rsidRDefault="008B26DF" w:rsidP="00A91806">
      <w:pPr>
        <w:rPr>
          <w:noProof/>
        </w:rPr>
      </w:pPr>
      <w:r w:rsidRPr="008B26DF">
        <w:rPr>
          <w:noProof/>
        </w:rPr>
        <w:t xml:space="preserve"> </w:t>
      </w:r>
      <w:r w:rsidR="00FA5E61">
        <w:rPr>
          <w:noProof/>
        </w:rPr>
        <w:drawing>
          <wp:inline distT="0" distB="0" distL="0" distR="0" wp14:anchorId="30A54B9F" wp14:editId="28F50D1B">
            <wp:extent cx="5394960" cy="3100467"/>
            <wp:effectExtent l="0" t="0" r="0" b="5080"/>
            <wp:docPr id="731817972" name="Picture 12" descr="Line chart displaying the cost per ton of GHG reductions by purchase year overall and for BEVs and PHE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17972" name="Picture 12" descr="Line chart displaying the cost per ton of GHG reductions by purchase year overall and for BEVs and PHEV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3100467"/>
                    </a:xfrm>
                    <a:prstGeom prst="rect">
                      <a:avLst/>
                    </a:prstGeom>
                    <a:noFill/>
                  </pic:spPr>
                </pic:pic>
              </a:graphicData>
            </a:graphic>
          </wp:inline>
        </w:drawing>
      </w:r>
    </w:p>
    <w:p w14:paraId="4F1BCFD9" w14:textId="48BBCCD0" w:rsidR="007A1FD6" w:rsidRPr="00B90CFD" w:rsidRDefault="007A1FD6" w:rsidP="007A1FD6">
      <w:pPr>
        <w:pStyle w:val="TableFigureNumber0"/>
        <w:keepNext/>
        <w:rPr>
          <w:color w:val="0579BD"/>
        </w:rPr>
      </w:pPr>
      <w:bookmarkStart w:id="42" w:name="_Ref219283498"/>
      <w:r w:rsidRPr="00B90CFD">
        <w:rPr>
          <w:color w:val="0579BD"/>
        </w:rPr>
        <w:lastRenderedPageBreak/>
        <w:t xml:space="preserve">Figure </w:t>
      </w:r>
      <w:r w:rsidR="0031408C" w:rsidRPr="00B90CFD">
        <w:rPr>
          <w:noProof/>
          <w:color w:val="0579BD"/>
        </w:rPr>
        <w:t>11</w:t>
      </w:r>
      <w:bookmarkEnd w:id="42"/>
    </w:p>
    <w:p w14:paraId="69022AB0" w14:textId="178AD0C5" w:rsidR="00087B7B" w:rsidRPr="003A15C4" w:rsidRDefault="00087B7B" w:rsidP="00087B7B">
      <w:pPr>
        <w:pStyle w:val="TableFigureheader"/>
        <w:keepNext/>
      </w:pPr>
      <w:r>
        <w:t>Average GHG Reductions</w:t>
      </w:r>
      <w:r w:rsidR="00FC69E3">
        <w:t xml:space="preserve"> Per Vehicle</w:t>
      </w:r>
      <w:r>
        <w:t xml:space="preserve"> by Purchase Year</w:t>
      </w:r>
    </w:p>
    <w:p w14:paraId="132C9495" w14:textId="0FBAF69F" w:rsidR="00087B7B" w:rsidRPr="000D6C69" w:rsidRDefault="00916061" w:rsidP="00087B7B">
      <w:pPr>
        <w:pStyle w:val="TableFigureSubtitle"/>
        <w:keepNext/>
        <w:rPr>
          <w:rFonts w:eastAsia="Arial Unicode MS"/>
          <w:bCs/>
        </w:rPr>
      </w:pPr>
      <w:r>
        <w:t xml:space="preserve">Detailed </w:t>
      </w:r>
      <w:r w:rsidR="00087B7B">
        <w:t>Counterfactual Reductions, 100k mi</w:t>
      </w:r>
      <w:r w:rsidR="004E67B4">
        <w:t>les</w:t>
      </w:r>
    </w:p>
    <w:p w14:paraId="21ABE524" w14:textId="4D1A5AD4" w:rsidR="009C6F20" w:rsidRDefault="7ACC448C" w:rsidP="02951020">
      <w:r>
        <w:rPr>
          <w:noProof/>
        </w:rPr>
        <w:drawing>
          <wp:inline distT="0" distB="0" distL="0" distR="0" wp14:anchorId="30FC8325" wp14:editId="22A06571">
            <wp:extent cx="5394960" cy="3233520"/>
            <wp:effectExtent l="0" t="0" r="0" b="5080"/>
            <wp:docPr id="562685791" name="drawing" descr="Line chart displaying the average GHG reductions per vehicle by purchase year overall and for BEVs and PHE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85791" name="drawing" descr="Line chart displaying the average GHG reductions per vehicle by purchase year overall and for BEVs and PHEVs."/>
                    <pic:cNvPicPr/>
                  </pic:nvPicPr>
                  <pic:blipFill>
                    <a:blip r:embed="rId24">
                      <a:extLst>
                        <a:ext uri="{28A0092B-C50C-407E-A947-70E740481C1C}">
                          <a14:useLocalDpi xmlns:a14="http://schemas.microsoft.com/office/drawing/2010/main"/>
                        </a:ext>
                      </a:extLst>
                    </a:blip>
                    <a:stretch>
                      <a:fillRect/>
                    </a:stretch>
                  </pic:blipFill>
                  <pic:spPr>
                    <a:xfrm>
                      <a:off x="0" y="0"/>
                      <a:ext cx="5394960" cy="3233520"/>
                    </a:xfrm>
                    <a:prstGeom prst="rect">
                      <a:avLst/>
                    </a:prstGeom>
                  </pic:spPr>
                </pic:pic>
              </a:graphicData>
            </a:graphic>
          </wp:inline>
        </w:drawing>
      </w:r>
    </w:p>
    <w:p w14:paraId="7A8175AB" w14:textId="4352719C" w:rsidR="00A91806" w:rsidRDefault="00646249" w:rsidP="00A91806">
      <w:r>
        <w:t>The wide range of</w:t>
      </w:r>
      <w:r w:rsidR="00804F66">
        <w:t xml:space="preserve"> </w:t>
      </w:r>
      <w:r w:rsidR="00077B54">
        <w:t xml:space="preserve">counterfactual </w:t>
      </w:r>
      <w:r w:rsidR="00DB7179">
        <w:t xml:space="preserve">reductions </w:t>
      </w:r>
      <w:r w:rsidR="000F4BEB">
        <w:t>across EV and rebate types</w:t>
      </w:r>
      <w:r>
        <w:t xml:space="preserve">, but relatively expensive overall costs per ton of </w:t>
      </w:r>
      <w:r w:rsidR="00DB7179">
        <w:t xml:space="preserve">counterfactual </w:t>
      </w:r>
      <w:r>
        <w:t>reductions</w:t>
      </w:r>
      <w:r w:rsidR="009B356F">
        <w:t>,</w:t>
      </w:r>
      <w:r>
        <w:t xml:space="preserve"> presents an opportunity to improve cost-effectiveness by identifying and targeting </w:t>
      </w:r>
      <w:r w:rsidR="008015AE">
        <w:t xml:space="preserve">high-impact </w:t>
      </w:r>
      <w:r>
        <w:t>consumers.</w:t>
      </w:r>
      <w:r w:rsidR="00E664D9" w:rsidRPr="001E5E83">
        <w:rPr>
          <w:rStyle w:val="FootnoteReference"/>
        </w:rPr>
        <w:footnoteReference w:id="15"/>
      </w:r>
      <w:r>
        <w:t xml:space="preserve"> </w:t>
      </w:r>
      <w:r w:rsidR="008867E4">
        <w:t>Accordingly</w:t>
      </w:r>
      <w:r w:rsidR="00CE7438">
        <w:t xml:space="preserve">, reductions and cost-effectiveness across counterfactual behaviors </w:t>
      </w:r>
      <w:r w:rsidR="00100FC4">
        <w:t xml:space="preserve">as well as </w:t>
      </w:r>
      <w:r w:rsidR="000662CD">
        <w:t xml:space="preserve">behaviors </w:t>
      </w:r>
      <w:r w:rsidR="00863031">
        <w:t xml:space="preserve">across </w:t>
      </w:r>
      <w:r w:rsidR="00CE7438">
        <w:t xml:space="preserve">program participant cohorts are </w:t>
      </w:r>
      <w:r w:rsidR="009D2A96">
        <w:t xml:space="preserve">detailed </w:t>
      </w:r>
      <w:r w:rsidR="00755A0E">
        <w:t xml:space="preserve">further </w:t>
      </w:r>
      <w:r w:rsidR="009D2A96">
        <w:t>next</w:t>
      </w:r>
      <w:r w:rsidR="003E18F6">
        <w:t>.</w:t>
      </w:r>
    </w:p>
    <w:p w14:paraId="0CDA70CF" w14:textId="07E51158" w:rsidR="00072EA6" w:rsidRDefault="008C3495" w:rsidP="00785B8D">
      <w:r>
        <w:t xml:space="preserve">Counterfactual </w:t>
      </w:r>
      <w:r w:rsidR="0032434D">
        <w:t xml:space="preserve">reductions </w:t>
      </w:r>
      <w:r w:rsidR="00D86149">
        <w:t xml:space="preserve">are based on </w:t>
      </w:r>
      <w:r w:rsidR="00A84EFC">
        <w:t>four</w:t>
      </w:r>
      <w:r w:rsidR="007E41FE">
        <w:t xml:space="preserve"> </w:t>
      </w:r>
      <w:r w:rsidR="00D86149">
        <w:t xml:space="preserve">different </w:t>
      </w:r>
      <w:r w:rsidR="00695643">
        <w:t>comparison vehicle types</w:t>
      </w:r>
      <w:r w:rsidR="00D86149">
        <w:t>:</w:t>
      </w:r>
      <w:r w:rsidR="004B6407">
        <w:t xml:space="preserve"> </w:t>
      </w:r>
      <w:r w:rsidR="00454CA4">
        <w:t>EV</w:t>
      </w:r>
      <w:r w:rsidR="00985736">
        <w:t>s</w:t>
      </w:r>
      <w:r w:rsidR="00454CA4">
        <w:t>,</w:t>
      </w:r>
      <w:r w:rsidR="00B843EB">
        <w:t xml:space="preserve"> g</w:t>
      </w:r>
      <w:r w:rsidR="005834C3">
        <w:t>asoline</w:t>
      </w:r>
      <w:r w:rsidR="00B843EB">
        <w:t xml:space="preserve"> vehicle</w:t>
      </w:r>
      <w:r w:rsidR="00985736">
        <w:t>s</w:t>
      </w:r>
      <w:r w:rsidR="005834C3">
        <w:t xml:space="preserve">, </w:t>
      </w:r>
      <w:r w:rsidR="00B843EB">
        <w:t>h</w:t>
      </w:r>
      <w:r w:rsidR="005834C3">
        <w:t>ybrid</w:t>
      </w:r>
      <w:r w:rsidR="00B843EB">
        <w:t xml:space="preserve"> vehicle</w:t>
      </w:r>
      <w:r w:rsidR="00985736">
        <w:t>s</w:t>
      </w:r>
      <w:r w:rsidR="005834C3">
        <w:t xml:space="preserve">, </w:t>
      </w:r>
      <w:r w:rsidR="00985736">
        <w:t xml:space="preserve">or </w:t>
      </w:r>
      <w:r w:rsidR="00594DD3">
        <w:t>previously owned</w:t>
      </w:r>
      <w:r w:rsidR="00985736">
        <w:t xml:space="preserve"> vehicles</w:t>
      </w:r>
      <w:r w:rsidR="005834C3">
        <w:t xml:space="preserve">. </w:t>
      </w:r>
      <w:r w:rsidR="00C35B90">
        <w:t xml:space="preserve">Inputs and assumptions for each are detailed in </w:t>
      </w:r>
      <w:r w:rsidR="00D76FAD">
        <w:t>Appendix A</w:t>
      </w:r>
      <w:r w:rsidR="00C35B90">
        <w:t xml:space="preserve">. </w:t>
      </w:r>
      <w:r w:rsidR="00F6303E">
        <w:t xml:space="preserve">Among </w:t>
      </w:r>
      <w:r w:rsidR="00DA57D3">
        <w:t>these comparison vehicle types,</w:t>
      </w:r>
      <w:r w:rsidR="00D06937">
        <w:t xml:space="preserve"> avoided emission</w:t>
      </w:r>
      <w:r w:rsidR="0079233F">
        <w:t xml:space="preserve"> estimates</w:t>
      </w:r>
      <w:r w:rsidR="00CA2436">
        <w:t xml:space="preserve"> </w:t>
      </w:r>
      <w:r w:rsidR="00E67753">
        <w:t>over 100k mi</w:t>
      </w:r>
      <w:r w:rsidR="004E67B4">
        <w:t>les</w:t>
      </w:r>
      <w:r w:rsidR="00E67753">
        <w:t xml:space="preserve"> </w:t>
      </w:r>
      <w:r w:rsidR="00930507">
        <w:t xml:space="preserve">are highest for gasoline comparisons, averaging </w:t>
      </w:r>
      <w:r w:rsidR="00045B43">
        <w:t xml:space="preserve">32 </w:t>
      </w:r>
      <w:r w:rsidR="00852DCE">
        <w:t>tons</w:t>
      </w:r>
      <w:r w:rsidR="00A673CB">
        <w:t xml:space="preserve"> </w:t>
      </w:r>
      <w:r w:rsidR="002C4E97">
        <w:t xml:space="preserve">at </w:t>
      </w:r>
      <w:r w:rsidR="00A673CB">
        <w:t>$</w:t>
      </w:r>
      <w:r w:rsidR="00045B43">
        <w:t>110</w:t>
      </w:r>
      <w:r w:rsidR="00A673CB">
        <w:t>/ton</w:t>
      </w:r>
      <w:r w:rsidR="00852DCE">
        <w:t xml:space="preserve"> </w:t>
      </w:r>
      <w:r w:rsidR="007A015F">
        <w:t>(</w:t>
      </w:r>
      <w:r w:rsidR="0023364B">
        <w:t xml:space="preserve">Table </w:t>
      </w:r>
      <w:r w:rsidR="0023364B">
        <w:rPr>
          <w:noProof/>
        </w:rPr>
        <w:t>7</w:t>
      </w:r>
      <w:r w:rsidR="007A015F">
        <w:t>)</w:t>
      </w:r>
      <w:r w:rsidR="73008F7E">
        <w:t xml:space="preserve">. </w:t>
      </w:r>
      <w:r w:rsidR="008E51A3">
        <w:t xml:space="preserve">Reductions </w:t>
      </w:r>
      <w:r w:rsidR="00930507">
        <w:t>average 18 tons at $196/ton for conventional hybrid comparisons</w:t>
      </w:r>
      <w:r w:rsidR="008E51A3">
        <w:t xml:space="preserve">. </w:t>
      </w:r>
      <w:r w:rsidR="00074D47">
        <w:t xml:space="preserve">Reductions </w:t>
      </w:r>
      <w:r w:rsidR="00061B9C">
        <w:t xml:space="preserve">averaged 18 tons at $124/ton for </w:t>
      </w:r>
      <w:r w:rsidR="00D36742">
        <w:t xml:space="preserve">gasoline-fueled replacements through 2020, before conventional hybrid was a separate </w:t>
      </w:r>
      <w:r w:rsidR="00F37BC0">
        <w:t>response option.</w:t>
      </w:r>
      <w:r w:rsidR="00074D47">
        <w:t xml:space="preserve"> </w:t>
      </w:r>
      <w:r w:rsidR="000531F0">
        <w:t xml:space="preserve">Reductions </w:t>
      </w:r>
      <w:r w:rsidR="000147B5">
        <w:lastRenderedPageBreak/>
        <w:t>calculated relative</w:t>
      </w:r>
      <w:r w:rsidR="00485A1C">
        <w:t xml:space="preserve"> to </w:t>
      </w:r>
      <w:r w:rsidR="00BB1618">
        <w:t>previously owned</w:t>
      </w:r>
      <w:r w:rsidR="009D0D8C">
        <w:t>, often older gasoline,</w:t>
      </w:r>
      <w:r w:rsidR="001401C9" w:rsidRPr="001E5E83">
        <w:rPr>
          <w:rStyle w:val="FootnoteReference"/>
        </w:rPr>
        <w:footnoteReference w:id="16"/>
      </w:r>
      <w:r w:rsidR="009D0D8C">
        <w:t xml:space="preserve"> </w:t>
      </w:r>
      <w:r w:rsidR="00AA6660">
        <w:t>vehicle</w:t>
      </w:r>
      <w:r w:rsidR="00485A1C">
        <w:t>s</w:t>
      </w:r>
      <w:r w:rsidR="00AA6660">
        <w:t xml:space="preserve"> </w:t>
      </w:r>
      <w:r w:rsidR="007E6377">
        <w:t xml:space="preserve">(for those who responded, “Not made any purchase/lease at all”) </w:t>
      </w:r>
      <w:r w:rsidR="00CE34D2">
        <w:t xml:space="preserve">average </w:t>
      </w:r>
      <w:r w:rsidR="006E2CD6">
        <w:t>13</w:t>
      </w:r>
      <w:r w:rsidR="00CE34D2">
        <w:t xml:space="preserve"> tons of GHGs avoided over 100k mi</w:t>
      </w:r>
      <w:r w:rsidR="004E67B4">
        <w:t>les</w:t>
      </w:r>
      <w:r w:rsidR="00CE34D2">
        <w:t xml:space="preserve"> at </w:t>
      </w:r>
      <w:r w:rsidR="002109B0">
        <w:t>$</w:t>
      </w:r>
      <w:r w:rsidR="00FF42DB">
        <w:t>205</w:t>
      </w:r>
      <w:r w:rsidR="002109B0">
        <w:t xml:space="preserve">/ton. </w:t>
      </w:r>
      <w:r w:rsidR="00C13D2C">
        <w:t xml:space="preserve">Among the </w:t>
      </w:r>
      <w:proofErr w:type="gramStart"/>
      <w:r w:rsidR="00C13D2C">
        <w:t>subset</w:t>
      </w:r>
      <w:proofErr w:type="gramEnd"/>
      <w:r w:rsidR="00C13D2C">
        <w:t xml:space="preserve"> of this group that did not previously own an </w:t>
      </w:r>
      <w:r w:rsidR="005441B4">
        <w:t>EV,</w:t>
      </w:r>
      <w:r w:rsidR="002C0AB5" w:rsidRPr="001E5E83">
        <w:rPr>
          <w:rStyle w:val="FootnoteReference"/>
        </w:rPr>
        <w:footnoteReference w:id="17"/>
      </w:r>
      <w:r w:rsidR="008D1F6F">
        <w:t xml:space="preserve"> reductions average </w:t>
      </w:r>
      <w:r w:rsidR="00FF42DB">
        <w:t xml:space="preserve">16 </w:t>
      </w:r>
      <w:r w:rsidR="008D1F6F">
        <w:t>tons at $</w:t>
      </w:r>
      <w:r w:rsidR="00FF42DB">
        <w:t xml:space="preserve">173 </w:t>
      </w:r>
      <w:r w:rsidR="008D1F6F">
        <w:t>per ton</w:t>
      </w:r>
      <w:r w:rsidR="00E93721">
        <w:t>.</w:t>
      </w:r>
      <w:r w:rsidR="00C677E0">
        <w:t xml:space="preserve"> </w:t>
      </w:r>
      <w:r w:rsidR="00DD648B">
        <w:t>GHG reductions are assumed to average 0 tons avoided for electric comparison vehicles</w:t>
      </w:r>
      <w:r w:rsidR="009B2523">
        <w:t>,</w:t>
      </w:r>
      <w:r w:rsidR="005024C0">
        <w:t xml:space="preserve"> </w:t>
      </w:r>
      <w:r w:rsidR="000526F9">
        <w:t xml:space="preserve">including for those who would </w:t>
      </w:r>
      <w:r w:rsidR="00C923B9">
        <w:t xml:space="preserve">have continued driving </w:t>
      </w:r>
      <w:r w:rsidR="00391127">
        <w:t>a previously owned EV</w:t>
      </w:r>
      <w:r w:rsidR="00DD648B">
        <w:t>.</w:t>
      </w:r>
    </w:p>
    <w:p w14:paraId="176556F0" w14:textId="1BF4213E" w:rsidR="00072EA6" w:rsidRPr="00B90CFD" w:rsidRDefault="00035F53" w:rsidP="00AE17F1">
      <w:pPr>
        <w:pStyle w:val="TableFigureNumber0"/>
        <w:keepNext/>
        <w:rPr>
          <w:b/>
          <w:bCs/>
          <w:color w:val="0579BD"/>
        </w:rPr>
      </w:pPr>
      <w:bookmarkStart w:id="43" w:name="_Ref216035702"/>
      <w:r w:rsidRPr="00B90CFD">
        <w:rPr>
          <w:color w:val="0579BD"/>
        </w:rPr>
        <w:t xml:space="preserve">Table </w:t>
      </w:r>
      <w:r w:rsidR="0023364B" w:rsidRPr="00B90CFD">
        <w:rPr>
          <w:noProof/>
          <w:color w:val="0579BD"/>
        </w:rPr>
        <w:t>7</w:t>
      </w:r>
      <w:bookmarkEnd w:id="43"/>
    </w:p>
    <w:p w14:paraId="25C4ECC9" w14:textId="1E8BFAFE" w:rsidR="00072EA6" w:rsidRPr="00D101F8" w:rsidRDefault="034E4C3A" w:rsidP="00CD325F">
      <w:pPr>
        <w:pStyle w:val="TableFigureheader"/>
        <w:keepNext/>
        <w:rPr>
          <w:rStyle w:val="Bold"/>
          <w:rFonts w:eastAsia="Calibri" w:cs="Calibri"/>
          <w:b/>
          <w:bCs/>
        </w:rPr>
      </w:pPr>
      <w:r>
        <w:t xml:space="preserve">GHG Reduction </w:t>
      </w:r>
      <w:r w:rsidR="00292AAE">
        <w:t xml:space="preserve">and </w:t>
      </w:r>
      <w:r>
        <w:t xml:space="preserve">Cost-Effectiveness Estimates by Counterfactual Behavior </w:t>
      </w:r>
    </w:p>
    <w:tbl>
      <w:tblPr>
        <w:tblpPr w:leftFromText="187" w:rightFromText="187" w:topFromText="29" w:bottomFromText="29" w:vertAnchor="text" w:horzAnchor="margin" w:tblpY="59"/>
        <w:tblW w:w="89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4495"/>
        <w:gridCol w:w="2340"/>
        <w:gridCol w:w="2160"/>
      </w:tblGrid>
      <w:tr w:rsidR="001228B3" w:rsidRPr="00E65889" w14:paraId="11259363" w14:textId="77777777" w:rsidTr="00521B38">
        <w:trPr>
          <w:trHeight w:val="260"/>
        </w:trPr>
        <w:tc>
          <w:tcPr>
            <w:tcW w:w="4495" w:type="dxa"/>
            <w:tcBorders>
              <w:top w:val="single" w:sz="4" w:space="0" w:color="auto"/>
              <w:left w:val="single" w:sz="4" w:space="0" w:color="auto"/>
              <w:bottom w:val="single" w:sz="4" w:space="0" w:color="auto"/>
              <w:right w:val="single" w:sz="4" w:space="0" w:color="auto"/>
            </w:tcBorders>
            <w:shd w:val="clear" w:color="auto" w:fill="3C3A4C"/>
            <w:tcMar>
              <w:top w:w="80" w:type="dxa"/>
              <w:left w:w="80" w:type="dxa"/>
              <w:bottom w:w="80" w:type="dxa"/>
              <w:right w:w="80" w:type="dxa"/>
            </w:tcMar>
            <w:vAlign w:val="center"/>
          </w:tcPr>
          <w:p w14:paraId="0EBCAC52" w14:textId="1CE4CF5E" w:rsidR="001228B3" w:rsidRPr="003A15C4" w:rsidRDefault="001228B3" w:rsidP="00CD325F">
            <w:pPr>
              <w:pStyle w:val="Body"/>
              <w:keepNext/>
              <w:spacing w:after="0" w:line="240" w:lineRule="auto"/>
              <w:rPr>
                <w:sz w:val="20"/>
                <w:szCs w:val="20"/>
              </w:rPr>
            </w:pPr>
            <w:proofErr w:type="gramStart"/>
            <w:r>
              <w:rPr>
                <w:b/>
                <w:bCs/>
                <w:color w:val="FFFFFF" w:themeColor="background1"/>
                <w:sz w:val="20"/>
                <w:szCs w:val="20"/>
              </w:rPr>
              <w:t>Comparison</w:t>
            </w:r>
            <w:proofErr w:type="gramEnd"/>
            <w:r>
              <w:rPr>
                <w:b/>
                <w:bCs/>
                <w:color w:val="FFFFFF" w:themeColor="background1"/>
                <w:sz w:val="20"/>
                <w:szCs w:val="20"/>
              </w:rPr>
              <w:t xml:space="preserve"> Vehicle Type</w:t>
            </w:r>
          </w:p>
        </w:tc>
        <w:tc>
          <w:tcPr>
            <w:tcW w:w="2340" w:type="dxa"/>
            <w:tcBorders>
              <w:top w:val="single" w:sz="4" w:space="0" w:color="auto"/>
              <w:left w:val="single" w:sz="4" w:space="0" w:color="auto"/>
              <w:bottom w:val="single" w:sz="4" w:space="0" w:color="auto"/>
              <w:right w:val="single" w:sz="4" w:space="0" w:color="auto"/>
            </w:tcBorders>
            <w:shd w:val="clear" w:color="auto" w:fill="3C3A4C"/>
          </w:tcPr>
          <w:p w14:paraId="5A4DD212" w14:textId="444092E8" w:rsidR="001228B3" w:rsidRPr="003A15C4" w:rsidRDefault="001228B3" w:rsidP="00CD325F">
            <w:pPr>
              <w:pStyle w:val="Body"/>
              <w:keepNext/>
              <w:spacing w:after="0" w:line="240" w:lineRule="auto"/>
              <w:jc w:val="center"/>
              <w:rPr>
                <w:b/>
                <w:color w:val="FFFFFF" w:themeColor="background1"/>
                <w:sz w:val="20"/>
                <w:szCs w:val="20"/>
              </w:rPr>
            </w:pPr>
            <w:r w:rsidRPr="7ACA0E52">
              <w:rPr>
                <w:b/>
                <w:bCs/>
                <w:color w:val="FFFFFF" w:themeColor="background1"/>
                <w:sz w:val="20"/>
                <w:szCs w:val="20"/>
              </w:rPr>
              <w:t xml:space="preserve">Average First-Year </w:t>
            </w:r>
            <w:r w:rsidR="000F4554">
              <w:rPr>
                <w:b/>
                <w:bCs/>
                <w:color w:val="FFFFFF" w:themeColor="background1"/>
                <w:sz w:val="20"/>
                <w:szCs w:val="20"/>
              </w:rPr>
              <w:t xml:space="preserve">(Y1) </w:t>
            </w:r>
            <w:r w:rsidRPr="7ACA0E52">
              <w:rPr>
                <w:b/>
                <w:bCs/>
                <w:color w:val="FFFFFF" w:themeColor="background1"/>
                <w:sz w:val="20"/>
                <w:szCs w:val="20"/>
              </w:rPr>
              <w:t>&amp; 100k-mi</w:t>
            </w:r>
            <w:r w:rsidR="004E67B4">
              <w:rPr>
                <w:b/>
                <w:bCs/>
                <w:color w:val="FFFFFF" w:themeColor="background1"/>
                <w:sz w:val="20"/>
                <w:szCs w:val="20"/>
              </w:rPr>
              <w:t>le</w:t>
            </w:r>
            <w:r w:rsidRPr="7ACA0E52">
              <w:rPr>
                <w:b/>
                <w:bCs/>
                <w:color w:val="FFFFFF" w:themeColor="background1"/>
                <w:sz w:val="20"/>
                <w:szCs w:val="20"/>
              </w:rPr>
              <w:t xml:space="preserve"> Reductions Per Vehicle (tons)</w:t>
            </w:r>
          </w:p>
        </w:tc>
        <w:tc>
          <w:tcPr>
            <w:tcW w:w="2160" w:type="dxa"/>
            <w:tcBorders>
              <w:top w:val="single" w:sz="4" w:space="0" w:color="auto"/>
              <w:left w:val="single" w:sz="4" w:space="0" w:color="auto"/>
              <w:bottom w:val="single" w:sz="4" w:space="0" w:color="auto"/>
              <w:right w:val="single" w:sz="4" w:space="0" w:color="auto"/>
            </w:tcBorders>
            <w:shd w:val="clear" w:color="auto" w:fill="3C3A4C"/>
            <w:tcMar>
              <w:top w:w="80" w:type="dxa"/>
              <w:left w:w="80" w:type="dxa"/>
              <w:bottom w:w="80" w:type="dxa"/>
              <w:right w:w="80" w:type="dxa"/>
            </w:tcMar>
          </w:tcPr>
          <w:p w14:paraId="7680ECDB" w14:textId="77777777" w:rsidR="001228B3" w:rsidRPr="003A15C4" w:rsidRDefault="001228B3" w:rsidP="00CD325F">
            <w:pPr>
              <w:pStyle w:val="Body"/>
              <w:keepNext/>
              <w:spacing w:after="0" w:line="240" w:lineRule="auto"/>
              <w:jc w:val="center"/>
              <w:rPr>
                <w:b/>
                <w:color w:val="FFFFFF"/>
                <w:sz w:val="20"/>
                <w:szCs w:val="20"/>
              </w:rPr>
            </w:pPr>
            <w:r w:rsidRPr="7ACA0E52">
              <w:rPr>
                <w:b/>
                <w:bCs/>
                <w:color w:val="FFFFFF" w:themeColor="background1"/>
                <w:sz w:val="20"/>
                <w:szCs w:val="20"/>
              </w:rPr>
              <w:t xml:space="preserve">Rebate Dollars Per Ton of GHG Reductions </w:t>
            </w:r>
          </w:p>
          <w:p w14:paraId="4B0B721D" w14:textId="1167591D" w:rsidR="001228B3" w:rsidRPr="003A15C4" w:rsidRDefault="001228B3" w:rsidP="00CD325F">
            <w:pPr>
              <w:pStyle w:val="Body"/>
              <w:keepNext/>
              <w:spacing w:after="0" w:line="240" w:lineRule="auto"/>
              <w:jc w:val="center"/>
              <w:rPr>
                <w:sz w:val="20"/>
                <w:szCs w:val="20"/>
              </w:rPr>
            </w:pPr>
            <w:r w:rsidRPr="7ACA0E52">
              <w:rPr>
                <w:b/>
                <w:bCs/>
                <w:color w:val="FFFFFF" w:themeColor="background1"/>
                <w:sz w:val="20"/>
                <w:szCs w:val="20"/>
              </w:rPr>
              <w:t>(100k mi</w:t>
            </w:r>
            <w:r w:rsidR="004E67B4">
              <w:rPr>
                <w:b/>
                <w:bCs/>
                <w:color w:val="FFFFFF" w:themeColor="background1"/>
                <w:sz w:val="20"/>
                <w:szCs w:val="20"/>
              </w:rPr>
              <w:t>les</w:t>
            </w:r>
            <w:r w:rsidRPr="7ACA0E52">
              <w:rPr>
                <w:b/>
                <w:bCs/>
                <w:color w:val="FFFFFF" w:themeColor="background1"/>
                <w:sz w:val="20"/>
                <w:szCs w:val="20"/>
              </w:rPr>
              <w:t>)</w:t>
            </w:r>
          </w:p>
        </w:tc>
      </w:tr>
      <w:tr w:rsidR="001228B3" w:rsidRPr="00E65889" w14:paraId="73B33B15" w14:textId="77777777" w:rsidTr="00521B38">
        <w:trPr>
          <w:trHeight w:val="20"/>
        </w:trPr>
        <w:tc>
          <w:tcPr>
            <w:tcW w:w="44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993F010" w14:textId="44981880" w:rsidR="001228B3" w:rsidRPr="003A15C4" w:rsidRDefault="001228B3" w:rsidP="00CD325F">
            <w:pPr>
              <w:pStyle w:val="Body"/>
              <w:keepNext/>
              <w:spacing w:after="0" w:line="240" w:lineRule="auto"/>
              <w:rPr>
                <w:sz w:val="20"/>
                <w:szCs w:val="20"/>
              </w:rPr>
            </w:pPr>
            <w:r>
              <w:rPr>
                <w:sz w:val="20"/>
                <w:szCs w:val="20"/>
              </w:rPr>
              <w:t>EV*</w:t>
            </w:r>
          </w:p>
        </w:tc>
        <w:tc>
          <w:tcPr>
            <w:tcW w:w="2340" w:type="dxa"/>
            <w:tcBorders>
              <w:top w:val="single" w:sz="4" w:space="0" w:color="auto"/>
              <w:left w:val="single" w:sz="4" w:space="0" w:color="auto"/>
              <w:bottom w:val="single" w:sz="4" w:space="0" w:color="auto"/>
              <w:right w:val="single" w:sz="4" w:space="0" w:color="auto"/>
            </w:tcBorders>
          </w:tcPr>
          <w:p w14:paraId="2040D9BA" w14:textId="77777777" w:rsidR="001228B3" w:rsidRPr="003A15C4" w:rsidRDefault="001228B3" w:rsidP="00CD325F">
            <w:pPr>
              <w:pStyle w:val="Body"/>
              <w:keepNext/>
              <w:spacing w:after="0" w:line="240" w:lineRule="auto"/>
              <w:jc w:val="center"/>
              <w:rPr>
                <w:sz w:val="20"/>
                <w:szCs w:val="20"/>
              </w:rPr>
            </w:pPr>
            <w:r w:rsidRPr="7ACA0E52">
              <w:rPr>
                <w:sz w:val="20"/>
                <w:szCs w:val="20"/>
              </w:rPr>
              <w:t>Y1 = 0</w:t>
            </w:r>
          </w:p>
          <w:p w14:paraId="628EA4CB" w14:textId="2FCE69BB" w:rsidR="001228B3" w:rsidRPr="003A15C4" w:rsidRDefault="001228B3" w:rsidP="00CD325F">
            <w:pPr>
              <w:pStyle w:val="Body"/>
              <w:keepNext/>
              <w:spacing w:after="0" w:line="240" w:lineRule="auto"/>
              <w:jc w:val="center"/>
              <w:rPr>
                <w:sz w:val="20"/>
                <w:szCs w:val="20"/>
              </w:rPr>
            </w:pPr>
            <w:r w:rsidRPr="7ACA0E52">
              <w:rPr>
                <w:sz w:val="20"/>
                <w:szCs w:val="20"/>
              </w:rPr>
              <w:t>100k mi</w:t>
            </w:r>
            <w:r w:rsidR="00CF0338">
              <w:rPr>
                <w:sz w:val="20"/>
                <w:szCs w:val="20"/>
              </w:rPr>
              <w:t>le</w:t>
            </w:r>
            <w:r w:rsidRPr="7ACA0E52">
              <w:rPr>
                <w:sz w:val="20"/>
                <w:szCs w:val="20"/>
              </w:rPr>
              <w:t xml:space="preserve"> = 0</w:t>
            </w:r>
          </w:p>
        </w:tc>
        <w:tc>
          <w:tcPr>
            <w:tcW w:w="216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554DD1C" w14:textId="77777777" w:rsidR="001228B3" w:rsidRPr="003A15C4" w:rsidRDefault="001228B3" w:rsidP="00CD325F">
            <w:pPr>
              <w:pStyle w:val="Body"/>
              <w:keepNext/>
              <w:spacing w:after="0" w:line="240" w:lineRule="auto"/>
              <w:jc w:val="center"/>
              <w:rPr>
                <w:sz w:val="20"/>
                <w:szCs w:val="20"/>
              </w:rPr>
            </w:pPr>
            <w:r w:rsidRPr="7ACA0E52">
              <w:rPr>
                <w:sz w:val="20"/>
                <w:szCs w:val="20"/>
              </w:rPr>
              <w:t>n/a</w:t>
            </w:r>
          </w:p>
        </w:tc>
      </w:tr>
      <w:tr w:rsidR="001228B3" w:rsidRPr="00E65889" w14:paraId="2A9347C0" w14:textId="77777777" w:rsidTr="00521B38">
        <w:trPr>
          <w:trHeight w:val="20"/>
        </w:trPr>
        <w:tc>
          <w:tcPr>
            <w:tcW w:w="44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14:paraId="67AC6CB4" w14:textId="1A50C622" w:rsidR="001228B3" w:rsidRPr="00580A3A" w:rsidRDefault="001228B3" w:rsidP="00EE0362">
            <w:pPr>
              <w:pStyle w:val="Body"/>
              <w:keepNext/>
              <w:spacing w:after="0" w:line="240" w:lineRule="auto"/>
              <w:rPr>
                <w:sz w:val="20"/>
                <w:szCs w:val="20"/>
              </w:rPr>
            </w:pPr>
            <w:r>
              <w:rPr>
                <w:sz w:val="20"/>
                <w:szCs w:val="20"/>
              </w:rPr>
              <w:t>C</w:t>
            </w:r>
            <w:r w:rsidRPr="7ACA0E52">
              <w:rPr>
                <w:sz w:val="20"/>
                <w:szCs w:val="20"/>
              </w:rPr>
              <w:t>onventional hybrid</w:t>
            </w:r>
            <w:r>
              <w:rPr>
                <w:sz w:val="20"/>
                <w:szCs w:val="20"/>
              </w:rPr>
              <w:t xml:space="preserve"> vehicle (2021–2023)</w:t>
            </w:r>
            <w:r w:rsidR="00E2782F">
              <w:rPr>
                <w:rFonts w:cs="Calibri"/>
                <w:sz w:val="20"/>
                <w:szCs w:val="20"/>
              </w:rPr>
              <w:t>†</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6C0CE0" w14:textId="00B3DFDA" w:rsidR="001228B3" w:rsidRPr="003A15C4" w:rsidRDefault="001228B3" w:rsidP="00EE0362">
            <w:pPr>
              <w:pStyle w:val="Body"/>
              <w:keepNext/>
              <w:spacing w:after="0" w:line="240" w:lineRule="auto"/>
              <w:jc w:val="center"/>
              <w:rPr>
                <w:sz w:val="20"/>
                <w:szCs w:val="20"/>
              </w:rPr>
            </w:pPr>
            <w:r w:rsidRPr="7ACA0E52">
              <w:rPr>
                <w:sz w:val="20"/>
                <w:szCs w:val="20"/>
              </w:rPr>
              <w:t xml:space="preserve">Y1 = </w:t>
            </w:r>
            <w:r w:rsidR="00A03233">
              <w:rPr>
                <w:sz w:val="20"/>
                <w:szCs w:val="20"/>
              </w:rPr>
              <w:t>2.3</w:t>
            </w:r>
          </w:p>
          <w:p w14:paraId="5DBB6987" w14:textId="4E84C829" w:rsidR="001228B3" w:rsidRPr="003A15C4" w:rsidRDefault="001228B3" w:rsidP="00EE0362">
            <w:pPr>
              <w:pStyle w:val="Body"/>
              <w:keepNext/>
              <w:spacing w:after="0" w:line="240" w:lineRule="auto"/>
              <w:jc w:val="center"/>
              <w:rPr>
                <w:sz w:val="20"/>
                <w:szCs w:val="20"/>
              </w:rPr>
            </w:pPr>
            <w:r w:rsidRPr="7ACA0E52">
              <w:rPr>
                <w:sz w:val="20"/>
                <w:szCs w:val="20"/>
              </w:rPr>
              <w:t>100k mi</w:t>
            </w:r>
            <w:r w:rsidR="00CF0338">
              <w:rPr>
                <w:sz w:val="20"/>
                <w:szCs w:val="20"/>
              </w:rPr>
              <w:t>le</w:t>
            </w:r>
            <w:r w:rsidRPr="7ACA0E52">
              <w:rPr>
                <w:sz w:val="20"/>
                <w:szCs w:val="20"/>
              </w:rPr>
              <w:t xml:space="preserve"> = </w:t>
            </w:r>
            <w:r w:rsidR="00A03233">
              <w:rPr>
                <w:sz w:val="20"/>
                <w:szCs w:val="20"/>
              </w:rPr>
              <w:t>18</w:t>
            </w:r>
          </w:p>
        </w:tc>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14:paraId="79CC3828" w14:textId="0C3BB580" w:rsidR="001228B3" w:rsidRPr="003A15C4" w:rsidRDefault="4D143E69" w:rsidP="00EE0362">
            <w:pPr>
              <w:pStyle w:val="Body"/>
              <w:keepNext/>
              <w:spacing w:after="0" w:line="240" w:lineRule="auto"/>
              <w:jc w:val="center"/>
              <w:rPr>
                <w:sz w:val="20"/>
                <w:szCs w:val="20"/>
              </w:rPr>
            </w:pPr>
            <w:r w:rsidRPr="2D674077">
              <w:rPr>
                <w:sz w:val="20"/>
                <w:szCs w:val="20"/>
              </w:rPr>
              <w:t>$</w:t>
            </w:r>
            <w:r w:rsidR="00EB7450">
              <w:rPr>
                <w:sz w:val="20"/>
                <w:szCs w:val="20"/>
              </w:rPr>
              <w:t>196</w:t>
            </w:r>
          </w:p>
        </w:tc>
      </w:tr>
      <w:tr w:rsidR="001228B3" w:rsidRPr="00E65889" w14:paraId="1129C4C5" w14:textId="77777777" w:rsidTr="00521B38">
        <w:trPr>
          <w:trHeight w:val="20"/>
        </w:trPr>
        <w:tc>
          <w:tcPr>
            <w:tcW w:w="44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F3455E8" w14:textId="764844A6" w:rsidR="001228B3" w:rsidRPr="003A15C4" w:rsidRDefault="001228B3" w:rsidP="00EE0362">
            <w:pPr>
              <w:pStyle w:val="Body"/>
              <w:keepNext/>
              <w:spacing w:after="0" w:line="240" w:lineRule="auto"/>
              <w:rPr>
                <w:b/>
                <w:sz w:val="20"/>
                <w:szCs w:val="20"/>
              </w:rPr>
            </w:pPr>
            <w:r w:rsidRPr="00580A3A">
              <w:rPr>
                <w:sz w:val="20"/>
                <w:szCs w:val="20"/>
              </w:rPr>
              <w:t>Gasoline vehicle</w:t>
            </w:r>
            <w:r>
              <w:rPr>
                <w:sz w:val="20"/>
                <w:szCs w:val="20"/>
              </w:rPr>
              <w:t xml:space="preserve"> (2021–2023)</w:t>
            </w:r>
            <w:r w:rsidR="00E2782F">
              <w:rPr>
                <w:rFonts w:cs="Calibri"/>
                <w:sz w:val="20"/>
                <w:szCs w:val="20"/>
              </w:rPr>
              <w:t>†</w:t>
            </w:r>
          </w:p>
        </w:tc>
        <w:tc>
          <w:tcPr>
            <w:tcW w:w="2340" w:type="dxa"/>
            <w:tcBorders>
              <w:top w:val="single" w:sz="4" w:space="0" w:color="auto"/>
              <w:left w:val="single" w:sz="4" w:space="0" w:color="auto"/>
              <w:bottom w:val="single" w:sz="4" w:space="0" w:color="auto"/>
              <w:right w:val="single" w:sz="4" w:space="0" w:color="auto"/>
            </w:tcBorders>
          </w:tcPr>
          <w:p w14:paraId="0D9DF4E7" w14:textId="700792A7" w:rsidR="001228B3" w:rsidRPr="003A15C4" w:rsidRDefault="001228B3" w:rsidP="00EE0362">
            <w:pPr>
              <w:pStyle w:val="Body"/>
              <w:keepNext/>
              <w:spacing w:after="0" w:line="240" w:lineRule="auto"/>
              <w:jc w:val="center"/>
              <w:rPr>
                <w:sz w:val="20"/>
                <w:szCs w:val="20"/>
              </w:rPr>
            </w:pPr>
            <w:r w:rsidRPr="7ACA0E52">
              <w:rPr>
                <w:sz w:val="20"/>
                <w:szCs w:val="20"/>
              </w:rPr>
              <w:t xml:space="preserve">Y1 = </w:t>
            </w:r>
            <w:r w:rsidR="007A361B">
              <w:rPr>
                <w:sz w:val="20"/>
                <w:szCs w:val="20"/>
              </w:rPr>
              <w:t>4.1</w:t>
            </w:r>
          </w:p>
          <w:p w14:paraId="55AD9054" w14:textId="2983E245" w:rsidR="001228B3" w:rsidRPr="003A15C4" w:rsidRDefault="4D143E69" w:rsidP="00EE0362">
            <w:pPr>
              <w:pStyle w:val="Body"/>
              <w:keepNext/>
              <w:spacing w:after="0" w:line="240" w:lineRule="auto"/>
              <w:jc w:val="center"/>
              <w:rPr>
                <w:sz w:val="20"/>
                <w:szCs w:val="20"/>
              </w:rPr>
            </w:pPr>
            <w:r w:rsidRPr="2D674077">
              <w:rPr>
                <w:sz w:val="20"/>
                <w:szCs w:val="20"/>
              </w:rPr>
              <w:t>100k mi</w:t>
            </w:r>
            <w:r w:rsidR="00CF0338">
              <w:rPr>
                <w:sz w:val="20"/>
                <w:szCs w:val="20"/>
              </w:rPr>
              <w:t>le</w:t>
            </w:r>
            <w:r w:rsidRPr="2D674077">
              <w:rPr>
                <w:sz w:val="20"/>
                <w:szCs w:val="20"/>
              </w:rPr>
              <w:t xml:space="preserve"> = </w:t>
            </w:r>
            <w:r w:rsidR="007A361B">
              <w:rPr>
                <w:sz w:val="20"/>
                <w:szCs w:val="20"/>
              </w:rPr>
              <w:t>32</w:t>
            </w:r>
          </w:p>
        </w:tc>
        <w:tc>
          <w:tcPr>
            <w:tcW w:w="216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E86B70F" w14:textId="33A2C329" w:rsidR="001228B3" w:rsidRPr="003A15C4" w:rsidRDefault="4D143E69" w:rsidP="00EE0362">
            <w:pPr>
              <w:pStyle w:val="Body"/>
              <w:keepNext/>
              <w:spacing w:after="0" w:line="240" w:lineRule="auto"/>
              <w:jc w:val="center"/>
              <w:rPr>
                <w:sz w:val="20"/>
                <w:szCs w:val="20"/>
              </w:rPr>
            </w:pPr>
            <w:r w:rsidRPr="2D674077">
              <w:rPr>
                <w:sz w:val="20"/>
                <w:szCs w:val="20"/>
              </w:rPr>
              <w:t>$</w:t>
            </w:r>
            <w:r w:rsidR="00EB7450">
              <w:rPr>
                <w:sz w:val="20"/>
                <w:szCs w:val="20"/>
              </w:rPr>
              <w:t>110</w:t>
            </w:r>
          </w:p>
        </w:tc>
      </w:tr>
      <w:tr w:rsidR="001228B3" w:rsidRPr="00E65889" w14:paraId="185BB4B7" w14:textId="77777777" w:rsidTr="00521B38">
        <w:trPr>
          <w:trHeight w:val="20"/>
        </w:trPr>
        <w:tc>
          <w:tcPr>
            <w:tcW w:w="44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14:paraId="3721EF8B" w14:textId="2D53FB63" w:rsidR="001228B3" w:rsidRPr="00C137C1" w:rsidRDefault="001228B3" w:rsidP="006249A4">
            <w:pPr>
              <w:pStyle w:val="Body"/>
              <w:spacing w:after="0" w:line="240" w:lineRule="auto"/>
              <w:rPr>
                <w:sz w:val="20"/>
                <w:szCs w:val="20"/>
              </w:rPr>
            </w:pPr>
            <w:r w:rsidRPr="00C137C1">
              <w:rPr>
                <w:sz w:val="20"/>
                <w:szCs w:val="20"/>
              </w:rPr>
              <w:t>Gasoline / Conventional hybrid vehicle (2015–2020)</w:t>
            </w:r>
            <w:r w:rsidR="00E2782F" w:rsidRPr="00C137C1">
              <w:rPr>
                <w:rFonts w:cs="Calibri"/>
                <w:sz w:val="20"/>
                <w:szCs w:val="20"/>
              </w:rPr>
              <w:t>†</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FF8E9" w14:textId="4210B2C1" w:rsidR="001228B3" w:rsidRPr="003A15C4" w:rsidRDefault="001228B3" w:rsidP="006249A4">
            <w:pPr>
              <w:pStyle w:val="Body"/>
              <w:keepNext/>
              <w:spacing w:after="0" w:line="240" w:lineRule="auto"/>
              <w:jc w:val="center"/>
              <w:rPr>
                <w:sz w:val="20"/>
                <w:szCs w:val="20"/>
              </w:rPr>
            </w:pPr>
            <w:r w:rsidRPr="7ACA0E52">
              <w:rPr>
                <w:sz w:val="20"/>
                <w:szCs w:val="20"/>
              </w:rPr>
              <w:t xml:space="preserve">Y1 = </w:t>
            </w:r>
            <w:r w:rsidR="007A361B">
              <w:rPr>
                <w:sz w:val="20"/>
                <w:szCs w:val="20"/>
              </w:rPr>
              <w:t>2.1</w:t>
            </w:r>
          </w:p>
          <w:p w14:paraId="1E64105D" w14:textId="77BDDC7A" w:rsidR="001228B3" w:rsidRPr="7ACA0E52" w:rsidRDefault="001228B3" w:rsidP="006249A4">
            <w:pPr>
              <w:pStyle w:val="Body"/>
              <w:keepNext/>
              <w:spacing w:after="0" w:line="240" w:lineRule="auto"/>
              <w:jc w:val="center"/>
              <w:rPr>
                <w:sz w:val="20"/>
                <w:szCs w:val="20"/>
              </w:rPr>
            </w:pPr>
            <w:r w:rsidRPr="7ACA0E52">
              <w:rPr>
                <w:sz w:val="20"/>
                <w:szCs w:val="20"/>
              </w:rPr>
              <w:t>100k mi</w:t>
            </w:r>
            <w:r w:rsidR="00CF0338">
              <w:rPr>
                <w:sz w:val="20"/>
                <w:szCs w:val="20"/>
              </w:rPr>
              <w:t>le</w:t>
            </w:r>
            <w:r w:rsidRPr="7ACA0E52">
              <w:rPr>
                <w:sz w:val="20"/>
                <w:szCs w:val="20"/>
              </w:rPr>
              <w:t xml:space="preserve"> =</w:t>
            </w:r>
            <w:r>
              <w:rPr>
                <w:sz w:val="20"/>
                <w:szCs w:val="20"/>
              </w:rPr>
              <w:t xml:space="preserve"> </w:t>
            </w:r>
            <w:r w:rsidR="007A361B">
              <w:rPr>
                <w:sz w:val="20"/>
                <w:szCs w:val="20"/>
              </w:rPr>
              <w:t>18</w:t>
            </w:r>
            <w:r w:rsidR="007A361B" w:rsidRPr="7ACA0E52">
              <w:rPr>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vAlign w:val="center"/>
          </w:tcPr>
          <w:p w14:paraId="7FD48E15" w14:textId="018F15F9" w:rsidR="001228B3" w:rsidRDefault="4D143E69" w:rsidP="006249A4">
            <w:pPr>
              <w:pStyle w:val="Body"/>
              <w:keepNext/>
              <w:spacing w:after="0" w:line="240" w:lineRule="auto"/>
              <w:jc w:val="center"/>
              <w:rPr>
                <w:sz w:val="20"/>
                <w:szCs w:val="20"/>
              </w:rPr>
            </w:pPr>
            <w:r w:rsidRPr="2D674077">
              <w:rPr>
                <w:sz w:val="20"/>
                <w:szCs w:val="20"/>
              </w:rPr>
              <w:t>$</w:t>
            </w:r>
            <w:r w:rsidR="00EB7450">
              <w:rPr>
                <w:sz w:val="20"/>
                <w:szCs w:val="20"/>
              </w:rPr>
              <w:t>124</w:t>
            </w:r>
          </w:p>
        </w:tc>
      </w:tr>
      <w:tr w:rsidR="001228B3" w:rsidRPr="00E65889" w14:paraId="460ECD38" w14:textId="77777777" w:rsidTr="00521B38">
        <w:trPr>
          <w:trHeight w:val="20"/>
        </w:trPr>
        <w:tc>
          <w:tcPr>
            <w:tcW w:w="44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A6E7909" w14:textId="7956F0FA" w:rsidR="001228B3" w:rsidRPr="003A15C4" w:rsidRDefault="001228B3" w:rsidP="006249A4">
            <w:pPr>
              <w:pStyle w:val="Body"/>
              <w:keepNext/>
              <w:spacing w:after="0" w:line="240" w:lineRule="auto"/>
              <w:rPr>
                <w:b/>
                <w:sz w:val="20"/>
                <w:szCs w:val="20"/>
              </w:rPr>
            </w:pPr>
            <w:r>
              <w:rPr>
                <w:sz w:val="20"/>
                <w:szCs w:val="20"/>
              </w:rPr>
              <w:t xml:space="preserve">Previous vehicle </w:t>
            </w:r>
          </w:p>
        </w:tc>
        <w:tc>
          <w:tcPr>
            <w:tcW w:w="2340" w:type="dxa"/>
            <w:tcBorders>
              <w:top w:val="single" w:sz="4" w:space="0" w:color="auto"/>
              <w:left w:val="single" w:sz="4" w:space="0" w:color="auto"/>
              <w:bottom w:val="single" w:sz="4" w:space="0" w:color="auto"/>
              <w:right w:val="single" w:sz="4" w:space="0" w:color="auto"/>
            </w:tcBorders>
          </w:tcPr>
          <w:p w14:paraId="5FEAD5DF" w14:textId="734F2D9E" w:rsidR="001228B3" w:rsidRPr="003A15C4" w:rsidRDefault="001228B3" w:rsidP="006249A4">
            <w:pPr>
              <w:pStyle w:val="Body"/>
              <w:keepNext/>
              <w:spacing w:after="0" w:line="240" w:lineRule="auto"/>
              <w:jc w:val="center"/>
              <w:rPr>
                <w:sz w:val="20"/>
                <w:szCs w:val="20"/>
              </w:rPr>
            </w:pPr>
            <w:r w:rsidRPr="7ACA0E52">
              <w:rPr>
                <w:sz w:val="20"/>
                <w:szCs w:val="20"/>
              </w:rPr>
              <w:t xml:space="preserve">Y1 = </w:t>
            </w:r>
            <w:r w:rsidR="007A361B">
              <w:rPr>
                <w:sz w:val="20"/>
                <w:szCs w:val="20"/>
              </w:rPr>
              <w:t>3.4</w:t>
            </w:r>
          </w:p>
          <w:p w14:paraId="43491542" w14:textId="6C38FB2F" w:rsidR="001228B3" w:rsidRPr="003A15C4" w:rsidRDefault="001228B3" w:rsidP="006249A4">
            <w:pPr>
              <w:pStyle w:val="Body"/>
              <w:keepNext/>
              <w:spacing w:after="0" w:line="240" w:lineRule="auto"/>
              <w:jc w:val="center"/>
              <w:rPr>
                <w:sz w:val="20"/>
                <w:szCs w:val="20"/>
              </w:rPr>
            </w:pPr>
            <w:r w:rsidRPr="7ACA0E52">
              <w:rPr>
                <w:sz w:val="20"/>
                <w:szCs w:val="20"/>
              </w:rPr>
              <w:t>100k mi</w:t>
            </w:r>
            <w:r w:rsidR="00CF0338">
              <w:rPr>
                <w:sz w:val="20"/>
                <w:szCs w:val="20"/>
              </w:rPr>
              <w:t>le</w:t>
            </w:r>
            <w:r w:rsidRPr="7ACA0E52">
              <w:rPr>
                <w:sz w:val="20"/>
                <w:szCs w:val="20"/>
              </w:rPr>
              <w:t xml:space="preserve"> = </w:t>
            </w:r>
            <w:r w:rsidRPr="000277C8">
              <w:rPr>
                <w:sz w:val="20"/>
                <w:szCs w:val="20"/>
              </w:rPr>
              <w:t>1</w:t>
            </w:r>
            <w:r w:rsidR="00E135A5">
              <w:rPr>
                <w:sz w:val="20"/>
                <w:szCs w:val="20"/>
              </w:rPr>
              <w:t>3</w:t>
            </w:r>
          </w:p>
        </w:tc>
        <w:tc>
          <w:tcPr>
            <w:tcW w:w="216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5C15CB7" w14:textId="276CCB0A" w:rsidR="001228B3" w:rsidRPr="003A15C4" w:rsidRDefault="001228B3" w:rsidP="006249A4">
            <w:pPr>
              <w:pStyle w:val="Body"/>
              <w:keepNext/>
              <w:spacing w:after="0" w:line="240" w:lineRule="auto"/>
              <w:jc w:val="center"/>
              <w:rPr>
                <w:sz w:val="20"/>
                <w:szCs w:val="20"/>
              </w:rPr>
            </w:pPr>
            <w:r>
              <w:rPr>
                <w:sz w:val="20"/>
                <w:szCs w:val="20"/>
              </w:rPr>
              <w:t>$</w:t>
            </w:r>
            <w:r w:rsidR="00EB7450">
              <w:rPr>
                <w:sz w:val="20"/>
                <w:szCs w:val="20"/>
              </w:rPr>
              <w:t>205</w:t>
            </w:r>
          </w:p>
        </w:tc>
      </w:tr>
      <w:tr w:rsidR="001228B3" w:rsidRPr="00E65889" w14:paraId="4F0AC10C" w14:textId="77777777" w:rsidTr="00521B38">
        <w:trPr>
          <w:trHeight w:val="20"/>
        </w:trPr>
        <w:tc>
          <w:tcPr>
            <w:tcW w:w="4495" w:type="dxa"/>
            <w:tcBorders>
              <w:top w:val="single" w:sz="4" w:space="0" w:color="auto"/>
              <w:left w:val="single" w:sz="4" w:space="0" w:color="auto"/>
              <w:bottom w:val="single" w:sz="4" w:space="0" w:color="auto"/>
              <w:right w:val="single" w:sz="4" w:space="0" w:color="auto"/>
            </w:tcBorders>
            <w:shd w:val="clear" w:color="auto" w:fill="DCDCDC" w:themeFill="background2" w:themeFillTint="33"/>
            <w:tcMar>
              <w:top w:w="80" w:type="dxa"/>
              <w:left w:w="80" w:type="dxa"/>
              <w:bottom w:w="80" w:type="dxa"/>
              <w:right w:w="80" w:type="dxa"/>
            </w:tcMar>
            <w:vAlign w:val="center"/>
          </w:tcPr>
          <w:p w14:paraId="358FB278" w14:textId="688974C6" w:rsidR="001228B3" w:rsidRPr="00406C01" w:rsidRDefault="001228B3" w:rsidP="006249A4">
            <w:pPr>
              <w:pStyle w:val="Body"/>
              <w:keepNext/>
              <w:spacing w:after="0" w:line="240" w:lineRule="auto"/>
              <w:ind w:left="432" w:hanging="432"/>
              <w:rPr>
                <w:i/>
                <w:iCs/>
                <w:sz w:val="20"/>
                <w:szCs w:val="20"/>
              </w:rPr>
            </w:pPr>
            <w:r w:rsidRPr="00406C01">
              <w:rPr>
                <w:i/>
                <w:iCs/>
                <w:sz w:val="20"/>
                <w:szCs w:val="20"/>
              </w:rPr>
              <w:t xml:space="preserve">     </w:t>
            </w:r>
            <w:r>
              <w:rPr>
                <w:i/>
                <w:iCs/>
                <w:sz w:val="20"/>
                <w:szCs w:val="20"/>
              </w:rPr>
              <w:t xml:space="preserve">Previous vehicle, </w:t>
            </w:r>
            <w:r w:rsidR="007E7C70">
              <w:rPr>
                <w:i/>
                <w:iCs/>
                <w:sz w:val="20"/>
                <w:szCs w:val="20"/>
              </w:rPr>
              <w:t xml:space="preserve">non-EV </w:t>
            </w:r>
          </w:p>
        </w:tc>
        <w:tc>
          <w:tcPr>
            <w:tcW w:w="2340" w:type="dxa"/>
            <w:tcBorders>
              <w:top w:val="single" w:sz="4" w:space="0" w:color="auto"/>
              <w:left w:val="single" w:sz="4" w:space="0" w:color="auto"/>
              <w:bottom w:val="single" w:sz="4" w:space="0" w:color="auto"/>
              <w:right w:val="single" w:sz="4" w:space="0" w:color="auto"/>
            </w:tcBorders>
            <w:shd w:val="clear" w:color="auto" w:fill="DCDCDC" w:themeFill="background2" w:themeFillTint="33"/>
          </w:tcPr>
          <w:p w14:paraId="64859BBF" w14:textId="1566BBFD" w:rsidR="001228B3" w:rsidRPr="008E60DA" w:rsidRDefault="001228B3" w:rsidP="006249A4">
            <w:pPr>
              <w:pStyle w:val="Body"/>
              <w:keepNext/>
              <w:spacing w:after="0" w:line="240" w:lineRule="auto"/>
              <w:jc w:val="center"/>
              <w:rPr>
                <w:i/>
                <w:iCs/>
                <w:sz w:val="20"/>
                <w:szCs w:val="20"/>
              </w:rPr>
            </w:pPr>
            <w:r w:rsidRPr="008E60DA">
              <w:rPr>
                <w:i/>
                <w:iCs/>
                <w:sz w:val="20"/>
                <w:szCs w:val="20"/>
              </w:rPr>
              <w:t xml:space="preserve">Y1 = </w:t>
            </w:r>
            <w:r w:rsidR="00D60F49" w:rsidRPr="008E60DA">
              <w:rPr>
                <w:i/>
                <w:iCs/>
                <w:sz w:val="20"/>
                <w:szCs w:val="20"/>
              </w:rPr>
              <w:t>4.1</w:t>
            </w:r>
          </w:p>
          <w:p w14:paraId="77A21FBB" w14:textId="35815BFE" w:rsidR="001228B3" w:rsidRPr="008E60DA" w:rsidRDefault="001228B3" w:rsidP="006249A4">
            <w:pPr>
              <w:pStyle w:val="Body"/>
              <w:keepNext/>
              <w:spacing w:after="0" w:line="240" w:lineRule="auto"/>
              <w:jc w:val="center"/>
              <w:rPr>
                <w:i/>
                <w:iCs/>
                <w:sz w:val="20"/>
                <w:szCs w:val="20"/>
              </w:rPr>
            </w:pPr>
            <w:r w:rsidRPr="008E60DA">
              <w:rPr>
                <w:i/>
                <w:iCs/>
                <w:sz w:val="20"/>
                <w:szCs w:val="20"/>
              </w:rPr>
              <w:t>100k mi</w:t>
            </w:r>
            <w:r w:rsidR="00CF0338" w:rsidRPr="008E60DA">
              <w:rPr>
                <w:i/>
                <w:iCs/>
                <w:sz w:val="20"/>
                <w:szCs w:val="20"/>
              </w:rPr>
              <w:t>le</w:t>
            </w:r>
            <w:r w:rsidRPr="008E60DA">
              <w:rPr>
                <w:i/>
                <w:iCs/>
                <w:sz w:val="20"/>
                <w:szCs w:val="20"/>
              </w:rPr>
              <w:t xml:space="preserve"> = </w:t>
            </w:r>
            <w:r w:rsidR="00D60F49" w:rsidRPr="008E60DA">
              <w:rPr>
                <w:i/>
                <w:iCs/>
                <w:sz w:val="20"/>
                <w:szCs w:val="20"/>
              </w:rPr>
              <w:t>16</w:t>
            </w:r>
          </w:p>
        </w:tc>
        <w:tc>
          <w:tcPr>
            <w:tcW w:w="2160" w:type="dxa"/>
            <w:tcBorders>
              <w:top w:val="single" w:sz="4" w:space="0" w:color="auto"/>
              <w:left w:val="single" w:sz="4" w:space="0" w:color="auto"/>
              <w:bottom w:val="single" w:sz="4" w:space="0" w:color="auto"/>
              <w:right w:val="single" w:sz="4" w:space="0" w:color="auto"/>
            </w:tcBorders>
            <w:shd w:val="clear" w:color="auto" w:fill="DCDCDC" w:themeFill="background2" w:themeFillTint="33"/>
            <w:tcMar>
              <w:top w:w="80" w:type="dxa"/>
              <w:left w:w="80" w:type="dxa"/>
              <w:bottom w:w="80" w:type="dxa"/>
              <w:right w:w="80" w:type="dxa"/>
            </w:tcMar>
            <w:vAlign w:val="center"/>
          </w:tcPr>
          <w:p w14:paraId="21A84278" w14:textId="0B5FE983" w:rsidR="001228B3" w:rsidRPr="008E60DA" w:rsidRDefault="4D143E69" w:rsidP="006249A4">
            <w:pPr>
              <w:pStyle w:val="Body"/>
              <w:keepNext/>
              <w:spacing w:after="0" w:line="240" w:lineRule="auto"/>
              <w:jc w:val="center"/>
              <w:rPr>
                <w:i/>
                <w:iCs/>
                <w:sz w:val="20"/>
                <w:szCs w:val="20"/>
              </w:rPr>
            </w:pPr>
            <w:r w:rsidRPr="008E60DA">
              <w:rPr>
                <w:i/>
                <w:iCs/>
                <w:sz w:val="20"/>
                <w:szCs w:val="20"/>
              </w:rPr>
              <w:t>$</w:t>
            </w:r>
            <w:r w:rsidR="00B12605" w:rsidRPr="008E60DA">
              <w:rPr>
                <w:i/>
                <w:iCs/>
                <w:sz w:val="20"/>
                <w:szCs w:val="20"/>
              </w:rPr>
              <w:t>173</w:t>
            </w:r>
          </w:p>
        </w:tc>
      </w:tr>
      <w:tr w:rsidR="001228B3" w:rsidRPr="00E65889" w14:paraId="1780B34D" w14:textId="77777777" w:rsidTr="00521B38">
        <w:trPr>
          <w:trHeight w:val="20"/>
        </w:trPr>
        <w:tc>
          <w:tcPr>
            <w:tcW w:w="4495" w:type="dxa"/>
            <w:tcBorders>
              <w:top w:val="single" w:sz="4" w:space="0" w:color="auto"/>
              <w:left w:val="single" w:sz="4" w:space="0" w:color="auto"/>
              <w:bottom w:val="single" w:sz="4" w:space="0" w:color="auto"/>
              <w:right w:val="single" w:sz="4" w:space="0" w:color="auto"/>
            </w:tcBorders>
            <w:shd w:val="clear" w:color="auto" w:fill="DCDCDC" w:themeFill="background2" w:themeFillTint="33"/>
            <w:tcMar>
              <w:top w:w="80" w:type="dxa"/>
              <w:left w:w="80" w:type="dxa"/>
              <w:bottom w:w="80" w:type="dxa"/>
              <w:right w:w="80" w:type="dxa"/>
            </w:tcMar>
            <w:vAlign w:val="center"/>
          </w:tcPr>
          <w:p w14:paraId="5811A2C8" w14:textId="31FC8DEB" w:rsidR="001228B3" w:rsidRPr="00406C01" w:rsidRDefault="001228B3" w:rsidP="006249A4">
            <w:pPr>
              <w:pStyle w:val="Body"/>
              <w:keepNext/>
              <w:spacing w:after="0" w:line="240" w:lineRule="auto"/>
              <w:ind w:left="432" w:hanging="432"/>
              <w:rPr>
                <w:i/>
                <w:iCs/>
                <w:sz w:val="20"/>
                <w:szCs w:val="20"/>
              </w:rPr>
            </w:pPr>
            <w:r w:rsidRPr="00406C01">
              <w:rPr>
                <w:i/>
                <w:iCs/>
                <w:sz w:val="20"/>
                <w:szCs w:val="20"/>
              </w:rPr>
              <w:t xml:space="preserve">     </w:t>
            </w:r>
            <w:r>
              <w:rPr>
                <w:i/>
                <w:iCs/>
                <w:sz w:val="20"/>
                <w:szCs w:val="20"/>
              </w:rPr>
              <w:t xml:space="preserve">Previous vehicle, </w:t>
            </w:r>
            <w:r w:rsidRPr="00406C01">
              <w:rPr>
                <w:i/>
                <w:iCs/>
                <w:sz w:val="20"/>
                <w:szCs w:val="20"/>
              </w:rPr>
              <w:t>EV</w:t>
            </w:r>
            <w:r>
              <w:rPr>
                <w:i/>
                <w:iCs/>
                <w:sz w:val="20"/>
                <w:szCs w:val="20"/>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DCDCDC" w:themeFill="background2" w:themeFillTint="33"/>
          </w:tcPr>
          <w:p w14:paraId="432F2504" w14:textId="77777777" w:rsidR="001228B3" w:rsidRPr="008E60DA" w:rsidRDefault="001228B3" w:rsidP="006249A4">
            <w:pPr>
              <w:pStyle w:val="Body"/>
              <w:keepNext/>
              <w:spacing w:after="0" w:line="240" w:lineRule="auto"/>
              <w:jc w:val="center"/>
              <w:rPr>
                <w:i/>
                <w:iCs/>
                <w:sz w:val="20"/>
                <w:szCs w:val="20"/>
              </w:rPr>
            </w:pPr>
            <w:r w:rsidRPr="008E60DA">
              <w:rPr>
                <w:i/>
                <w:iCs/>
                <w:sz w:val="20"/>
                <w:szCs w:val="20"/>
              </w:rPr>
              <w:t>Y1 = 0</w:t>
            </w:r>
          </w:p>
          <w:p w14:paraId="5D5D9508" w14:textId="7239C8A5" w:rsidR="001228B3" w:rsidRPr="008E60DA" w:rsidRDefault="001228B3" w:rsidP="006249A4">
            <w:pPr>
              <w:pStyle w:val="Body"/>
              <w:keepNext/>
              <w:spacing w:after="0" w:line="240" w:lineRule="auto"/>
              <w:jc w:val="center"/>
              <w:rPr>
                <w:i/>
                <w:iCs/>
                <w:sz w:val="20"/>
                <w:szCs w:val="20"/>
              </w:rPr>
            </w:pPr>
            <w:r w:rsidRPr="008E60DA">
              <w:rPr>
                <w:i/>
                <w:iCs/>
                <w:sz w:val="20"/>
                <w:szCs w:val="20"/>
              </w:rPr>
              <w:t>100k mi</w:t>
            </w:r>
            <w:r w:rsidR="00CF0338" w:rsidRPr="008E60DA">
              <w:rPr>
                <w:i/>
                <w:iCs/>
                <w:sz w:val="20"/>
                <w:szCs w:val="20"/>
              </w:rPr>
              <w:t>le</w:t>
            </w:r>
            <w:r w:rsidRPr="008E60DA">
              <w:rPr>
                <w:i/>
                <w:iCs/>
                <w:sz w:val="20"/>
                <w:szCs w:val="20"/>
              </w:rPr>
              <w:t xml:space="preserve"> = 0 </w:t>
            </w:r>
          </w:p>
        </w:tc>
        <w:tc>
          <w:tcPr>
            <w:tcW w:w="2160" w:type="dxa"/>
            <w:tcBorders>
              <w:top w:val="single" w:sz="4" w:space="0" w:color="auto"/>
              <w:left w:val="single" w:sz="4" w:space="0" w:color="auto"/>
              <w:bottom w:val="single" w:sz="4" w:space="0" w:color="auto"/>
              <w:right w:val="single" w:sz="4" w:space="0" w:color="auto"/>
            </w:tcBorders>
            <w:shd w:val="clear" w:color="auto" w:fill="DCDCDC" w:themeFill="background2" w:themeFillTint="33"/>
            <w:tcMar>
              <w:top w:w="80" w:type="dxa"/>
              <w:left w:w="80" w:type="dxa"/>
              <w:bottom w:w="80" w:type="dxa"/>
              <w:right w:w="80" w:type="dxa"/>
            </w:tcMar>
            <w:vAlign w:val="center"/>
          </w:tcPr>
          <w:p w14:paraId="6A2B3AEE" w14:textId="7665DE04" w:rsidR="001228B3" w:rsidRPr="008E60DA" w:rsidRDefault="001228B3" w:rsidP="006249A4">
            <w:pPr>
              <w:pStyle w:val="Body"/>
              <w:keepNext/>
              <w:spacing w:after="0" w:line="240" w:lineRule="auto"/>
              <w:jc w:val="center"/>
              <w:rPr>
                <w:i/>
                <w:iCs/>
                <w:sz w:val="20"/>
                <w:szCs w:val="20"/>
              </w:rPr>
            </w:pPr>
            <w:r w:rsidRPr="008E60DA">
              <w:rPr>
                <w:i/>
                <w:iCs/>
                <w:sz w:val="20"/>
                <w:szCs w:val="20"/>
              </w:rPr>
              <w:t>n</w:t>
            </w:r>
            <w:r w:rsidR="00C620C8" w:rsidRPr="008E60DA">
              <w:rPr>
                <w:i/>
                <w:iCs/>
                <w:sz w:val="20"/>
                <w:szCs w:val="20"/>
              </w:rPr>
              <w:t>/</w:t>
            </w:r>
            <w:r w:rsidRPr="008E60DA">
              <w:rPr>
                <w:i/>
                <w:iCs/>
                <w:sz w:val="20"/>
                <w:szCs w:val="20"/>
              </w:rPr>
              <w:t>a</w:t>
            </w:r>
          </w:p>
        </w:tc>
      </w:tr>
    </w:tbl>
    <w:p w14:paraId="462214D8" w14:textId="46D4A221" w:rsidR="00BD7956" w:rsidRPr="0074458B" w:rsidRDefault="001C5D4B" w:rsidP="00004BA7">
      <w:pPr>
        <w:pStyle w:val="Tablefigendmatter"/>
        <w:spacing w:before="0" w:after="0" w:line="240" w:lineRule="auto"/>
        <w:rPr>
          <w:sz w:val="18"/>
          <w:szCs w:val="18"/>
        </w:rPr>
      </w:pPr>
      <w:r w:rsidRPr="0074458B">
        <w:rPr>
          <w:sz w:val="18"/>
          <w:szCs w:val="18"/>
        </w:rPr>
        <w:t xml:space="preserve">* Includes </w:t>
      </w:r>
      <w:r w:rsidR="00B75DE0" w:rsidRPr="0074458B">
        <w:rPr>
          <w:sz w:val="18"/>
          <w:szCs w:val="18"/>
        </w:rPr>
        <w:t xml:space="preserve">all </w:t>
      </w:r>
      <w:r w:rsidRPr="0074458B">
        <w:rPr>
          <w:sz w:val="18"/>
          <w:szCs w:val="18"/>
        </w:rPr>
        <w:t>non-</w:t>
      </w:r>
      <w:r w:rsidRPr="0074458B">
        <w:rPr>
          <w:i/>
          <w:iCs/>
          <w:sz w:val="18"/>
          <w:szCs w:val="18"/>
        </w:rPr>
        <w:t>Rebate-Essential</w:t>
      </w:r>
      <w:r w:rsidRPr="0074458B">
        <w:rPr>
          <w:sz w:val="18"/>
          <w:szCs w:val="18"/>
        </w:rPr>
        <w:t xml:space="preserve"> respondents </w:t>
      </w:r>
      <w:r w:rsidR="00B75DE0" w:rsidRPr="0074458B">
        <w:rPr>
          <w:sz w:val="18"/>
          <w:szCs w:val="18"/>
        </w:rPr>
        <w:t xml:space="preserve">from </w:t>
      </w:r>
      <w:r w:rsidR="001A599B" w:rsidRPr="0074458B">
        <w:rPr>
          <w:sz w:val="18"/>
          <w:szCs w:val="18"/>
        </w:rPr>
        <w:t xml:space="preserve">December </w:t>
      </w:r>
      <w:r w:rsidR="00B75DE0" w:rsidRPr="0074458B">
        <w:rPr>
          <w:sz w:val="18"/>
          <w:szCs w:val="18"/>
        </w:rPr>
        <w:t>202</w:t>
      </w:r>
      <w:r w:rsidR="001A599B" w:rsidRPr="0074458B">
        <w:rPr>
          <w:sz w:val="18"/>
          <w:szCs w:val="18"/>
        </w:rPr>
        <w:t>0</w:t>
      </w:r>
      <w:r w:rsidR="00B75DE0" w:rsidRPr="0074458B">
        <w:rPr>
          <w:sz w:val="18"/>
          <w:szCs w:val="18"/>
        </w:rPr>
        <w:t xml:space="preserve"> on.</w:t>
      </w:r>
      <w:r w:rsidR="002664B3" w:rsidRPr="0074458B">
        <w:rPr>
          <w:sz w:val="18"/>
          <w:szCs w:val="18"/>
        </w:rPr>
        <w:t xml:space="preserve"> </w:t>
      </w:r>
    </w:p>
    <w:p w14:paraId="407194E9" w14:textId="3F4BECE0" w:rsidR="006E3813" w:rsidRPr="0074458B" w:rsidRDefault="006E3813" w:rsidP="00004BA7">
      <w:pPr>
        <w:pStyle w:val="Tablefigendmatter"/>
        <w:spacing w:before="0" w:line="240" w:lineRule="auto"/>
        <w:rPr>
          <w:sz w:val="18"/>
          <w:szCs w:val="18"/>
        </w:rPr>
      </w:pPr>
      <w:r w:rsidRPr="0074458B">
        <w:rPr>
          <w:sz w:val="18"/>
          <w:szCs w:val="18"/>
        </w:rPr>
        <w:t xml:space="preserve">† Gasoline and conventional hybrid </w:t>
      </w:r>
      <w:r w:rsidR="00565A46" w:rsidRPr="0074458B">
        <w:rPr>
          <w:sz w:val="18"/>
          <w:szCs w:val="18"/>
        </w:rPr>
        <w:t xml:space="preserve">response options are </w:t>
      </w:r>
      <w:r w:rsidR="00062DE1" w:rsidRPr="0074458B">
        <w:rPr>
          <w:sz w:val="18"/>
          <w:szCs w:val="18"/>
        </w:rPr>
        <w:t xml:space="preserve">separate </w:t>
      </w:r>
      <w:r w:rsidR="00F47CA4" w:rsidRPr="0074458B">
        <w:rPr>
          <w:sz w:val="18"/>
          <w:szCs w:val="18"/>
        </w:rPr>
        <w:t xml:space="preserve">as of the </w:t>
      </w:r>
      <w:r w:rsidR="002C3A7E" w:rsidRPr="0074458B">
        <w:rPr>
          <w:sz w:val="18"/>
          <w:szCs w:val="18"/>
        </w:rPr>
        <w:t>202</w:t>
      </w:r>
      <w:r w:rsidR="004D7D01" w:rsidRPr="0074458B">
        <w:rPr>
          <w:sz w:val="18"/>
          <w:szCs w:val="18"/>
        </w:rPr>
        <w:t>0</w:t>
      </w:r>
      <w:r w:rsidR="002C3A7E" w:rsidRPr="0074458B">
        <w:rPr>
          <w:sz w:val="18"/>
          <w:szCs w:val="18"/>
        </w:rPr>
        <w:t>–2023</w:t>
      </w:r>
      <w:r w:rsidR="002D782B" w:rsidRPr="0074458B">
        <w:rPr>
          <w:sz w:val="18"/>
          <w:szCs w:val="18"/>
        </w:rPr>
        <w:t xml:space="preserve"> Survey Edition</w:t>
      </w:r>
      <w:r w:rsidR="00062DE1" w:rsidRPr="0074458B">
        <w:rPr>
          <w:sz w:val="18"/>
          <w:szCs w:val="18"/>
        </w:rPr>
        <w:t xml:space="preserve"> </w:t>
      </w:r>
      <w:r w:rsidR="00F47CA4" w:rsidRPr="0074458B">
        <w:rPr>
          <w:sz w:val="18"/>
          <w:szCs w:val="18"/>
        </w:rPr>
        <w:t>(Dec. 2020)</w:t>
      </w:r>
      <w:r w:rsidR="002D782B" w:rsidRPr="0074458B">
        <w:rPr>
          <w:sz w:val="18"/>
          <w:szCs w:val="18"/>
        </w:rPr>
        <w:t>.</w:t>
      </w:r>
    </w:p>
    <w:p w14:paraId="3A373420" w14:textId="285C3420" w:rsidR="006E0E46" w:rsidRPr="00716441" w:rsidRDefault="004119AD" w:rsidP="2F1055DC">
      <w:pPr>
        <w:rPr>
          <w:rFonts w:eastAsia="Arial Unicode MS"/>
        </w:rPr>
      </w:pPr>
      <w:r w:rsidRPr="2F1055DC">
        <w:rPr>
          <w:noProof/>
        </w:rPr>
        <w:t xml:space="preserve">There is noteworthy variation </w:t>
      </w:r>
      <w:r w:rsidR="00302894" w:rsidRPr="2F1055DC">
        <w:rPr>
          <w:noProof/>
        </w:rPr>
        <w:t xml:space="preserve">across cohorts </w:t>
      </w:r>
      <w:r w:rsidRPr="2F1055DC">
        <w:rPr>
          <w:noProof/>
        </w:rPr>
        <w:t>in</w:t>
      </w:r>
      <w:r w:rsidR="006E0E46" w:rsidRPr="2F1055DC">
        <w:rPr>
          <w:noProof/>
        </w:rPr>
        <w:t xml:space="preserve"> counterfactual behaviors </w:t>
      </w:r>
      <w:r w:rsidR="000A58A6" w:rsidRPr="2F1055DC">
        <w:rPr>
          <w:noProof/>
        </w:rPr>
        <w:t>reported by</w:t>
      </w:r>
      <w:r w:rsidR="009E62B9" w:rsidRPr="2F1055DC">
        <w:rPr>
          <w:noProof/>
        </w:rPr>
        <w:t xml:space="preserve"> respondents</w:t>
      </w:r>
      <w:r w:rsidR="006E0E46" w:rsidRPr="2F1055DC">
        <w:rPr>
          <w:noProof/>
        </w:rPr>
        <w:t xml:space="preserve">. </w:t>
      </w:r>
      <w:r w:rsidR="00060F20" w:rsidRPr="2F1055DC">
        <w:rPr>
          <w:noProof/>
        </w:rPr>
        <w:t>To start,</w:t>
      </w:r>
      <w:r w:rsidR="005E270C" w:rsidRPr="2F1055DC">
        <w:rPr>
          <w:noProof/>
        </w:rPr>
        <w:t xml:space="preserve"> as displayed in</w:t>
      </w:r>
      <w:r w:rsidR="00794764">
        <w:rPr>
          <w:noProof/>
        </w:rPr>
        <w:t xml:space="preserve"> </w:t>
      </w:r>
      <w:r w:rsidR="00C14B23">
        <w:t xml:space="preserve">Figure </w:t>
      </w:r>
      <w:r w:rsidR="00C14B23">
        <w:rPr>
          <w:noProof/>
        </w:rPr>
        <w:t>12</w:t>
      </w:r>
      <w:r w:rsidR="005E270C" w:rsidRPr="2F1055DC">
        <w:rPr>
          <w:noProof/>
        </w:rPr>
        <w:t>,</w:t>
      </w:r>
      <w:r w:rsidR="00060F20" w:rsidRPr="2F1055DC">
        <w:rPr>
          <w:noProof/>
        </w:rPr>
        <w:t xml:space="preserve"> </w:t>
      </w:r>
      <w:r w:rsidR="00E11370">
        <w:t xml:space="preserve">no more than </w:t>
      </w:r>
      <w:r w:rsidR="00664219">
        <w:t>2</w:t>
      </w:r>
      <w:r w:rsidR="008E65FC">
        <w:t>6</w:t>
      </w:r>
      <w:r w:rsidR="007E5446">
        <w:t xml:space="preserve">% of </w:t>
      </w:r>
      <w:r w:rsidR="00E11370">
        <w:t xml:space="preserve">any cohort </w:t>
      </w:r>
      <w:r w:rsidR="007E5446">
        <w:t>stated they would have bought a gasoline</w:t>
      </w:r>
      <w:r w:rsidR="007B3330">
        <w:t>-fueled</w:t>
      </w:r>
      <w:r w:rsidR="007E5446">
        <w:t xml:space="preserve"> vehicle </w:t>
      </w:r>
      <w:r w:rsidR="0013090C">
        <w:t xml:space="preserve">(incl. conventional hybrid) </w:t>
      </w:r>
      <w:r w:rsidR="007E5446">
        <w:t>instead</w:t>
      </w:r>
      <w:r w:rsidR="00E11370">
        <w:t xml:space="preserve">, the </w:t>
      </w:r>
      <w:r w:rsidR="00075DCA">
        <w:t>typically assumed</w:t>
      </w:r>
      <w:r w:rsidR="00E11370">
        <w:t xml:space="preserve"> baseline </w:t>
      </w:r>
      <w:r w:rsidR="003D0093">
        <w:t xml:space="preserve">behavior </w:t>
      </w:r>
      <w:r w:rsidR="00E11370">
        <w:t xml:space="preserve">used </w:t>
      </w:r>
      <w:r w:rsidR="00E11370">
        <w:lastRenderedPageBreak/>
        <w:t>to calculate emission reductions</w:t>
      </w:r>
      <w:r w:rsidR="00563091">
        <w:t>.</w:t>
      </w:r>
      <w:r w:rsidR="00DB5038">
        <w:t xml:space="preserve"> </w:t>
      </w:r>
      <w:r w:rsidR="00915479">
        <w:t xml:space="preserve">Increased Rebate </w:t>
      </w:r>
      <w:r w:rsidR="0077792F">
        <w:t xml:space="preserve">recipients for </w:t>
      </w:r>
      <w:r w:rsidR="00CB3FF9">
        <w:t xml:space="preserve">BEVs </w:t>
      </w:r>
      <w:r w:rsidR="0077792F">
        <w:t xml:space="preserve">were the most likely to </w:t>
      </w:r>
      <w:proofErr w:type="gramStart"/>
      <w:r w:rsidR="00640A17">
        <w:t xml:space="preserve">have </w:t>
      </w:r>
      <w:r w:rsidR="0077792F">
        <w:t>otherwise</w:t>
      </w:r>
      <w:proofErr w:type="gramEnd"/>
      <w:r w:rsidR="0077792F">
        <w:t xml:space="preserve"> purchased a gasoline</w:t>
      </w:r>
      <w:r w:rsidR="005C0644">
        <w:t>-fueled</w:t>
      </w:r>
      <w:r w:rsidR="0077792F">
        <w:t xml:space="preserve"> vehicle (</w:t>
      </w:r>
      <w:r w:rsidR="005C0644">
        <w:t>26</w:t>
      </w:r>
      <w:r w:rsidR="0077792F">
        <w:t xml:space="preserve">%) </w:t>
      </w:r>
      <w:r w:rsidR="00BA4E08">
        <w:t xml:space="preserve">and Standard Rebate recipients for </w:t>
      </w:r>
      <w:r w:rsidR="0069538E">
        <w:t xml:space="preserve">BEVs </w:t>
      </w:r>
      <w:r w:rsidR="003F3B6E">
        <w:t xml:space="preserve">were </w:t>
      </w:r>
      <w:r w:rsidR="00BA4E08">
        <w:t>the least likely (</w:t>
      </w:r>
      <w:r w:rsidR="003F3B6E">
        <w:t>1</w:t>
      </w:r>
      <w:r w:rsidR="0069538E">
        <w:t>6</w:t>
      </w:r>
      <w:r w:rsidR="00BA4E08">
        <w:t>%).</w:t>
      </w:r>
      <w:r w:rsidR="00915479">
        <w:t xml:space="preserve"> </w:t>
      </w:r>
      <w:r w:rsidR="006E0E46" w:rsidRPr="00DD774B">
        <w:rPr>
          <w:noProof/>
        </w:rPr>
        <w:t xml:space="preserve">Increased Rebate recipients </w:t>
      </w:r>
      <w:r w:rsidR="002337CB">
        <w:rPr>
          <w:noProof/>
        </w:rPr>
        <w:t xml:space="preserve">overall </w:t>
      </w:r>
      <w:r w:rsidR="006E0E46" w:rsidRPr="00DD774B">
        <w:rPr>
          <w:noProof/>
        </w:rPr>
        <w:t>are less likely to have purchased an EV without the rebate</w:t>
      </w:r>
      <w:r w:rsidR="0028143C">
        <w:rPr>
          <w:noProof/>
        </w:rPr>
        <w:t xml:space="preserve"> and Standard Rebate recipients for PHEVs were the </w:t>
      </w:r>
      <w:r w:rsidR="00456D83">
        <w:rPr>
          <w:noProof/>
        </w:rPr>
        <w:t>most likely</w:t>
      </w:r>
      <w:r w:rsidR="00F91328">
        <w:rPr>
          <w:noProof/>
        </w:rPr>
        <w:t xml:space="preserve"> to</w:t>
      </w:r>
      <w:r w:rsidR="0028143C">
        <w:rPr>
          <w:noProof/>
        </w:rPr>
        <w:t>.</w:t>
      </w:r>
      <w:r w:rsidR="00456D83">
        <w:rPr>
          <w:noProof/>
        </w:rPr>
        <w:t xml:space="preserve"> </w:t>
      </w:r>
      <w:r w:rsidR="00832694">
        <w:rPr>
          <w:noProof/>
        </w:rPr>
        <w:t>Increased Rebate recipients for BEVs were most likely to have not purchased a vehicle at all</w:t>
      </w:r>
      <w:r w:rsidR="00592987">
        <w:rPr>
          <w:noProof/>
        </w:rPr>
        <w:t xml:space="preserve"> </w:t>
      </w:r>
      <w:r w:rsidR="002E64F0">
        <w:rPr>
          <w:noProof/>
        </w:rPr>
        <w:t>(23%)</w:t>
      </w:r>
      <w:r w:rsidR="003F06F2">
        <w:rPr>
          <w:noProof/>
        </w:rPr>
        <w:t>.</w:t>
      </w:r>
      <w:r w:rsidR="00760DC2">
        <w:rPr>
          <w:noProof/>
        </w:rPr>
        <w:t xml:space="preserve"> </w:t>
      </w:r>
      <w:r w:rsidR="00B13D38">
        <w:t xml:space="preserve">Figure </w:t>
      </w:r>
      <w:r w:rsidR="00B13D38">
        <w:rPr>
          <w:noProof/>
        </w:rPr>
        <w:t>13</w:t>
      </w:r>
      <w:r w:rsidR="000B23E5" w:rsidRPr="00E373B2">
        <w:rPr>
          <w:noProof/>
        </w:rPr>
        <w:t xml:space="preserve"> and </w:t>
      </w:r>
      <w:r w:rsidR="00B13D38">
        <w:t xml:space="preserve">Figure </w:t>
      </w:r>
      <w:r w:rsidR="00B13D38">
        <w:rPr>
          <w:noProof/>
        </w:rPr>
        <w:t>14</w:t>
      </w:r>
      <w:r w:rsidR="000B23E5">
        <w:rPr>
          <w:noProof/>
        </w:rPr>
        <w:t xml:space="preserve"> display how these counterfactual vehicles vary </w:t>
      </w:r>
      <w:r w:rsidR="00172AA3">
        <w:rPr>
          <w:noProof/>
        </w:rPr>
        <w:t>across time overall and by cohort, respectively</w:t>
      </w:r>
      <w:r w:rsidR="000B23E5">
        <w:rPr>
          <w:noProof/>
        </w:rPr>
        <w:t xml:space="preserve">. </w:t>
      </w:r>
      <w:r w:rsidR="00CB11EF">
        <w:t xml:space="preserve">Counterfactual behaviors </w:t>
      </w:r>
      <w:r w:rsidR="00EA2C0E">
        <w:t xml:space="preserve">over time </w:t>
      </w:r>
      <w:r w:rsidR="00CB11EF">
        <w:t xml:space="preserve">will be explored further in </w:t>
      </w:r>
      <w:r w:rsidR="00EA2C0E">
        <w:t xml:space="preserve">additional forthcoming </w:t>
      </w:r>
      <w:r w:rsidR="00CB11EF">
        <w:t>CVRP retrospective reporting</w:t>
      </w:r>
      <w:r w:rsidR="003E42BE">
        <w:t>.</w:t>
      </w:r>
    </w:p>
    <w:p w14:paraId="1A440BAF" w14:textId="04E97C6C" w:rsidR="004F43EE" w:rsidRPr="00B90CFD" w:rsidRDefault="00794764" w:rsidP="00794764">
      <w:pPr>
        <w:pStyle w:val="TableFigureNumber0"/>
        <w:keepNext/>
        <w:rPr>
          <w:b/>
          <w:bCs/>
          <w:color w:val="0579BD"/>
        </w:rPr>
      </w:pPr>
      <w:bookmarkStart w:id="44" w:name="_Ref216035797"/>
      <w:r w:rsidRPr="00B90CFD">
        <w:rPr>
          <w:color w:val="0579BD"/>
        </w:rPr>
        <w:t xml:space="preserve">Figure </w:t>
      </w:r>
      <w:r w:rsidR="00C14B23" w:rsidRPr="00B90CFD">
        <w:rPr>
          <w:noProof/>
          <w:color w:val="0579BD"/>
        </w:rPr>
        <w:t>12</w:t>
      </w:r>
      <w:bookmarkEnd w:id="44"/>
    </w:p>
    <w:p w14:paraId="3F80E994" w14:textId="61864BB3" w:rsidR="004F43EE" w:rsidRDefault="004F43EE" w:rsidP="004F43EE">
      <w:pPr>
        <w:pStyle w:val="TableFigureheader"/>
        <w:keepNext/>
      </w:pPr>
      <w:r>
        <w:t xml:space="preserve">Counterfactual Vehicle Types </w:t>
      </w:r>
      <w:r w:rsidR="00122B36">
        <w:t xml:space="preserve">Assigned </w:t>
      </w:r>
      <w:r>
        <w:t xml:space="preserve">by Cohort </w:t>
      </w:r>
    </w:p>
    <w:p w14:paraId="6DBBED5B" w14:textId="224D29D4" w:rsidR="004F43EE" w:rsidRDefault="0124A2F2" w:rsidP="00D3210C">
      <w:pPr>
        <w:pStyle w:val="TableFigurenumber"/>
        <w:keepNext/>
      </w:pPr>
      <w:r>
        <w:rPr>
          <w:noProof/>
        </w:rPr>
        <w:drawing>
          <wp:inline distT="0" distB="0" distL="0" distR="0" wp14:anchorId="113F0E03" wp14:editId="431F7BA6">
            <wp:extent cx="5943600" cy="3562350"/>
            <wp:effectExtent l="0" t="0" r="0" b="0"/>
            <wp:docPr id="1253697434" name="drawing" descr="Clustered bar chart displaying the weighted percent of rebates that were assigned to each counterfactual vehicle type by rebate- and technology-typ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97434" name="drawing" descr="Clustered bar chart displaying the weighted percent of rebates that were assigned to each counterfactual vehicle type by rebate- and technology-type cohort."/>
                    <pic:cNvPicPr/>
                  </pic:nvPicPr>
                  <pic:blipFill>
                    <a:blip r:embed="rId25">
                      <a:extLst>
                        <a:ext uri="{28A0092B-C50C-407E-A947-70E740481C1C}">
                          <a14:useLocalDpi xmlns:a14="http://schemas.microsoft.com/office/drawing/2010/main"/>
                        </a:ext>
                      </a:extLst>
                    </a:blip>
                    <a:stretch>
                      <a:fillRect/>
                    </a:stretch>
                  </pic:blipFill>
                  <pic:spPr>
                    <a:xfrm>
                      <a:off x="0" y="0"/>
                      <a:ext cx="5943600" cy="3562350"/>
                    </a:xfrm>
                    <a:prstGeom prst="rect">
                      <a:avLst/>
                    </a:prstGeom>
                  </pic:spPr>
                </pic:pic>
              </a:graphicData>
            </a:graphic>
          </wp:inline>
        </w:drawing>
      </w:r>
    </w:p>
    <w:p w14:paraId="7CD66538" w14:textId="02DC048F" w:rsidR="00187DE0" w:rsidRPr="0074458B" w:rsidRDefault="00187DE0" w:rsidP="00187DE0">
      <w:pPr>
        <w:pStyle w:val="Tablefigendmatter"/>
        <w:rPr>
          <w:sz w:val="18"/>
          <w:szCs w:val="18"/>
        </w:rPr>
      </w:pPr>
      <w:r w:rsidRPr="0074458B">
        <w:rPr>
          <w:b/>
          <w:bCs/>
          <w:sz w:val="18"/>
          <w:szCs w:val="18"/>
        </w:rPr>
        <w:t xml:space="preserve">Note: </w:t>
      </w:r>
      <w:r w:rsidRPr="0074458B">
        <w:rPr>
          <w:sz w:val="18"/>
          <w:szCs w:val="18"/>
        </w:rPr>
        <w:t>Gasoline and conventional hybrid response options are separate as of the 2020–2023 Survey Ed</w:t>
      </w:r>
      <w:r w:rsidR="00D60C8E" w:rsidRPr="0074458B">
        <w:rPr>
          <w:sz w:val="18"/>
          <w:szCs w:val="18"/>
        </w:rPr>
        <w:t>.</w:t>
      </w:r>
      <w:r w:rsidRPr="0074458B">
        <w:rPr>
          <w:sz w:val="18"/>
          <w:szCs w:val="18"/>
        </w:rPr>
        <w:t xml:space="preserve"> (Dec. 2020).</w:t>
      </w:r>
    </w:p>
    <w:p w14:paraId="45A0DD03" w14:textId="571E3A08" w:rsidR="009F0E13" w:rsidRPr="00B90CFD" w:rsidRDefault="009F0E13" w:rsidP="001B00F1">
      <w:pPr>
        <w:pStyle w:val="TableFigureNumber0"/>
        <w:keepNext/>
        <w:rPr>
          <w:b/>
          <w:bCs/>
          <w:color w:val="0579BD"/>
        </w:rPr>
      </w:pPr>
      <w:bookmarkStart w:id="45" w:name="_Ref216086312"/>
      <w:r w:rsidRPr="00B90CFD">
        <w:rPr>
          <w:color w:val="0579BD"/>
        </w:rPr>
        <w:lastRenderedPageBreak/>
        <w:t xml:space="preserve">Figure </w:t>
      </w:r>
      <w:r w:rsidR="00F97EC6" w:rsidRPr="00B90CFD">
        <w:rPr>
          <w:noProof/>
          <w:color w:val="0579BD"/>
        </w:rPr>
        <w:t>13</w:t>
      </w:r>
      <w:bookmarkEnd w:id="45"/>
    </w:p>
    <w:p w14:paraId="0F6AEBF9" w14:textId="6D93B503" w:rsidR="00806B36" w:rsidRDefault="00103C01" w:rsidP="0058674D">
      <w:pPr>
        <w:pStyle w:val="TableFigureheader"/>
        <w:keepNext/>
      </w:pPr>
      <w:r>
        <w:t>Counterfactual Vehicle Types Over Time</w:t>
      </w:r>
      <w:r w:rsidR="007773B2">
        <w:rPr>
          <w:noProof/>
        </w:rPr>
        <w:drawing>
          <wp:inline distT="0" distB="0" distL="0" distR="0" wp14:anchorId="291BC848" wp14:editId="4883F1F3">
            <wp:extent cx="5577840" cy="2863411"/>
            <wp:effectExtent l="0" t="0" r="3810" b="0"/>
            <wp:docPr id="2023864494" name="Picture 9" descr="Bar charts displaying the weighted percent of rebates that were assigned to each counterfactual vehicle type by purchas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64494" name="Picture 9" descr="Bar charts displaying the weighted percent of rebates that were assigned to each counterfactual vehicle type by purchase ye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7840" cy="2863411"/>
                    </a:xfrm>
                    <a:prstGeom prst="rect">
                      <a:avLst/>
                    </a:prstGeom>
                    <a:noFill/>
                  </pic:spPr>
                </pic:pic>
              </a:graphicData>
            </a:graphic>
          </wp:inline>
        </w:drawing>
      </w:r>
    </w:p>
    <w:p w14:paraId="7CCC6524" w14:textId="03612DD6" w:rsidR="009E1636" w:rsidRPr="0074458B" w:rsidRDefault="009E1636" w:rsidP="009E1636">
      <w:pPr>
        <w:pStyle w:val="Tablefigendmatter"/>
        <w:rPr>
          <w:sz w:val="18"/>
          <w:szCs w:val="18"/>
        </w:rPr>
      </w:pPr>
      <w:r w:rsidRPr="0074458B">
        <w:rPr>
          <w:b/>
          <w:bCs/>
          <w:sz w:val="18"/>
          <w:szCs w:val="18"/>
        </w:rPr>
        <w:t>Note:</w:t>
      </w:r>
      <w:r w:rsidRPr="0074458B">
        <w:rPr>
          <w:sz w:val="18"/>
          <w:szCs w:val="18"/>
        </w:rPr>
        <w:t xml:space="preserve"> Gasoline and conventional hybrid response options are separate as of the 2020–2023 Survey Ed. (Dec. 2020).</w:t>
      </w:r>
    </w:p>
    <w:p w14:paraId="066DDF02" w14:textId="4715EDFD" w:rsidR="009F0E13" w:rsidRPr="00B90CFD" w:rsidRDefault="009F0E13" w:rsidP="009F0E13">
      <w:pPr>
        <w:pStyle w:val="TableFigureNumber0"/>
        <w:keepNext/>
        <w:rPr>
          <w:b/>
          <w:bCs/>
          <w:color w:val="0579BD"/>
        </w:rPr>
      </w:pPr>
      <w:bookmarkStart w:id="46" w:name="_Ref216088373"/>
      <w:r w:rsidRPr="00B90CFD">
        <w:rPr>
          <w:color w:val="0579BD"/>
        </w:rPr>
        <w:t xml:space="preserve">Figure </w:t>
      </w:r>
      <w:r w:rsidR="00B13D38" w:rsidRPr="00B90CFD">
        <w:rPr>
          <w:noProof/>
          <w:color w:val="0579BD"/>
        </w:rPr>
        <w:t>14</w:t>
      </w:r>
      <w:bookmarkEnd w:id="46"/>
    </w:p>
    <w:p w14:paraId="22192141" w14:textId="2FEB5242" w:rsidR="00364F2F" w:rsidRDefault="00364F2F" w:rsidP="004A23CE">
      <w:pPr>
        <w:pStyle w:val="TableFigureheader"/>
        <w:keepNext/>
        <w:spacing w:line="312" w:lineRule="auto"/>
      </w:pPr>
      <w:r>
        <w:t xml:space="preserve">Counterfactual Vehicle Types </w:t>
      </w:r>
      <w:r w:rsidR="004F43EE">
        <w:t>Over Time</w:t>
      </w:r>
      <w:r w:rsidR="00DE0496" w:rsidRPr="00DE0496">
        <w:t xml:space="preserve"> </w:t>
      </w:r>
      <w:r w:rsidR="00DE0496">
        <w:t>by Cohort</w:t>
      </w:r>
    </w:p>
    <w:p w14:paraId="4207CDD9" w14:textId="4DF659CD" w:rsidR="00794939" w:rsidRPr="009E7D09" w:rsidRDefault="737397EC" w:rsidP="009E7D09">
      <w:pPr>
        <w:pStyle w:val="TableFigureheader"/>
        <w:keepNext/>
        <w:rPr>
          <w:rStyle w:val="Heading1Char"/>
          <w:rFonts w:cs="Calibri"/>
          <w:sz w:val="28"/>
          <w:szCs w:val="28"/>
        </w:rPr>
      </w:pPr>
      <w:r>
        <w:rPr>
          <w:noProof/>
        </w:rPr>
        <w:drawing>
          <wp:inline distT="0" distB="0" distL="0" distR="0" wp14:anchorId="0752CBD2" wp14:editId="446A5E57">
            <wp:extent cx="5852160" cy="3484052"/>
            <wp:effectExtent l="0" t="0" r="0" b="2540"/>
            <wp:docPr id="130850085" name="drawing" descr="Bar charts displaying the weighted percent of rebates that were assigned to each counterfactual vehicle type by purchase year for each rebate- and technology-typ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0085" name="drawing" descr="Bar charts displaying the weighted percent of rebates that were assigned to each counterfactual vehicle type by purchase year for each rebate- and technology-type cohort."/>
                    <pic:cNvPicPr/>
                  </pic:nvPicPr>
                  <pic:blipFill>
                    <a:blip r:embed="rId27">
                      <a:extLst>
                        <a:ext uri="{28A0092B-C50C-407E-A947-70E740481C1C}">
                          <a14:useLocalDpi xmlns:a14="http://schemas.microsoft.com/office/drawing/2010/main" val="0"/>
                        </a:ext>
                      </a:extLst>
                    </a:blip>
                    <a:stretch>
                      <a:fillRect/>
                    </a:stretch>
                  </pic:blipFill>
                  <pic:spPr>
                    <a:xfrm>
                      <a:off x="0" y="0"/>
                      <a:ext cx="5852160" cy="3484052"/>
                    </a:xfrm>
                    <a:prstGeom prst="rect">
                      <a:avLst/>
                    </a:prstGeom>
                  </pic:spPr>
                </pic:pic>
              </a:graphicData>
            </a:graphic>
          </wp:inline>
        </w:drawing>
      </w:r>
      <w:r w:rsidR="00F43ECA">
        <w:t xml:space="preserve"> </w:t>
      </w:r>
    </w:p>
    <w:p w14:paraId="25F77D3D" w14:textId="77777777" w:rsidR="009E1636" w:rsidRPr="0074458B" w:rsidRDefault="009E1636" w:rsidP="009E1636">
      <w:pPr>
        <w:pStyle w:val="Tablefigendmatter"/>
        <w:rPr>
          <w:sz w:val="18"/>
          <w:szCs w:val="18"/>
        </w:rPr>
      </w:pPr>
      <w:r w:rsidRPr="0074458B">
        <w:rPr>
          <w:b/>
          <w:bCs/>
          <w:sz w:val="18"/>
          <w:szCs w:val="18"/>
        </w:rPr>
        <w:t>Note:</w:t>
      </w:r>
      <w:r w:rsidRPr="0074458B">
        <w:rPr>
          <w:sz w:val="18"/>
          <w:szCs w:val="18"/>
        </w:rPr>
        <w:t xml:space="preserve"> Gasoline and conventional hybrid response options are separate as of the 2020–2023 Survey Ed. (Dec. 2020).</w:t>
      </w:r>
    </w:p>
    <w:p w14:paraId="0E9A0157" w14:textId="06D76F5D" w:rsidR="001A79A8" w:rsidRPr="003447E7" w:rsidRDefault="43200359" w:rsidP="00DC60D8">
      <w:pPr>
        <w:pStyle w:val="Heading2"/>
      </w:pPr>
      <w:bookmarkStart w:id="47" w:name="_Toc227069792"/>
      <w:r w:rsidRPr="7ACA0E52">
        <w:lastRenderedPageBreak/>
        <w:t xml:space="preserve">Program </w:t>
      </w:r>
      <w:r w:rsidR="24C991D9" w:rsidRPr="7ACA0E52">
        <w:t xml:space="preserve">&amp; Market </w:t>
      </w:r>
      <w:r w:rsidRPr="7ACA0E52">
        <w:t>Context</w:t>
      </w:r>
      <w:bookmarkEnd w:id="47"/>
    </w:p>
    <w:p w14:paraId="06722885" w14:textId="02441200" w:rsidR="00277B7D" w:rsidRDefault="6B00BF2F" w:rsidP="00187EA7">
      <w:r>
        <w:t xml:space="preserve">Results should be interpreted with regard to </w:t>
      </w:r>
      <w:r w:rsidR="477F5965">
        <w:t xml:space="preserve">important </w:t>
      </w:r>
      <w:r>
        <w:t>program and market context.</w:t>
      </w:r>
      <w:r w:rsidR="00756647" w:rsidRPr="00756647">
        <w:t xml:space="preserve"> </w:t>
      </w:r>
      <w:r w:rsidR="00756647">
        <w:t>Because CVRP ran for roughly 13 years, it spanned both the burgeoning of the EV market and various program designs as program goals evolved to meet the needs of the</w:t>
      </w:r>
      <w:r w:rsidR="001B23A2">
        <w:t xml:space="preserve"> changing</w:t>
      </w:r>
      <w:r w:rsidR="00756647">
        <w:t xml:space="preserve"> EV landscape. </w:t>
      </w:r>
      <w:r w:rsidR="00417E2A">
        <w:t>Market context highlights are described below</w:t>
      </w:r>
      <w:r w:rsidR="00966CF9">
        <w:t xml:space="preserve"> and further detailed in </w:t>
      </w:r>
      <w:r w:rsidR="00425646">
        <w:t xml:space="preserve">Appendix A and </w:t>
      </w:r>
      <w:r w:rsidR="00966CF9">
        <w:t>Appendix C</w:t>
      </w:r>
      <w:r w:rsidR="00417E2A">
        <w:t xml:space="preserve">. </w:t>
      </w:r>
      <w:r w:rsidR="00AC36FA">
        <w:t xml:space="preserve">Rebate volumes over time are </w:t>
      </w:r>
      <w:r w:rsidR="00360138">
        <w:t>displayed in</w:t>
      </w:r>
      <w:r w:rsidR="00BD7E41">
        <w:t xml:space="preserve"> </w:t>
      </w:r>
      <w:r w:rsidR="00865E35">
        <w:t xml:space="preserve">Figure </w:t>
      </w:r>
      <w:r w:rsidR="00865E35">
        <w:rPr>
          <w:noProof/>
        </w:rPr>
        <w:t>15</w:t>
      </w:r>
      <w:r w:rsidR="00BD7E41">
        <w:t xml:space="preserve">, </w:t>
      </w:r>
      <w:r w:rsidR="00360138">
        <w:t>r</w:t>
      </w:r>
      <w:r w:rsidR="009601BE">
        <w:t xml:space="preserve">ebate amounts by </w:t>
      </w:r>
      <w:r w:rsidR="00684A57">
        <w:t xml:space="preserve">EV </w:t>
      </w:r>
      <w:r w:rsidR="009601BE">
        <w:t xml:space="preserve">technology </w:t>
      </w:r>
      <w:r w:rsidR="00684A57">
        <w:t xml:space="preserve">type </w:t>
      </w:r>
      <w:r w:rsidR="009601BE">
        <w:t>and rebate type are detailed in</w:t>
      </w:r>
      <w:r w:rsidR="00BD7E41">
        <w:t xml:space="preserve"> </w:t>
      </w:r>
      <w:r w:rsidR="0023364B">
        <w:t xml:space="preserve">Table </w:t>
      </w:r>
      <w:r w:rsidR="0023364B">
        <w:rPr>
          <w:noProof/>
        </w:rPr>
        <w:t>8</w:t>
      </w:r>
      <w:r w:rsidR="00BD7E41">
        <w:t xml:space="preserve">, </w:t>
      </w:r>
      <w:r w:rsidR="005138EA">
        <w:t>and</w:t>
      </w:r>
      <w:r w:rsidR="001A4B1D">
        <w:t xml:space="preserve"> average rebate amounts</w:t>
      </w:r>
      <w:r w:rsidR="000D11BC">
        <w:t xml:space="preserve"> over time are displayed in</w:t>
      </w:r>
      <w:r w:rsidR="00641817">
        <w:t xml:space="preserve"> Figure </w:t>
      </w:r>
      <w:r w:rsidR="00641817">
        <w:rPr>
          <w:noProof/>
        </w:rPr>
        <w:t>16</w:t>
      </w:r>
      <w:r w:rsidR="00BD7E41">
        <w:t xml:space="preserve">. </w:t>
      </w:r>
      <w:r w:rsidR="00417E2A">
        <w:t>O</w:t>
      </w:r>
      <w:r w:rsidR="005138EA">
        <w:t xml:space="preserve">ther pertinent program </w:t>
      </w:r>
      <w:r w:rsidR="00B72E75">
        <w:t xml:space="preserve">design details </w:t>
      </w:r>
      <w:r w:rsidR="00966CF9">
        <w:t xml:space="preserve">are </w:t>
      </w:r>
      <w:r w:rsidR="00B72E75">
        <w:t xml:space="preserve">displayed </w:t>
      </w:r>
      <w:r w:rsidR="00966CF9">
        <w:t>in</w:t>
      </w:r>
      <w:r w:rsidR="00CA0A02">
        <w:t xml:space="preserve"> </w:t>
      </w:r>
      <w:r w:rsidR="0023364B">
        <w:t xml:space="preserve">Table </w:t>
      </w:r>
      <w:r w:rsidR="0023364B">
        <w:rPr>
          <w:noProof/>
        </w:rPr>
        <w:t>9</w:t>
      </w:r>
      <w:r w:rsidR="00656DBA">
        <w:t>.</w:t>
      </w:r>
      <w:r w:rsidR="00B049B1">
        <w:t xml:space="preserve"> </w:t>
      </w:r>
    </w:p>
    <w:p w14:paraId="29B89DFB" w14:textId="76D5A389" w:rsidR="00417E2A" w:rsidRDefault="00417E2A" w:rsidP="0068203E">
      <w:pPr>
        <w:pStyle w:val="ListParagraph"/>
        <w:numPr>
          <w:ilvl w:val="0"/>
          <w:numId w:val="6"/>
        </w:numPr>
      </w:pPr>
      <w:r w:rsidRPr="004219F9">
        <w:rPr>
          <w:b/>
          <w:bCs/>
        </w:rPr>
        <w:t>EV technology share</w:t>
      </w:r>
      <w:r>
        <w:t xml:space="preserve">: </w:t>
      </w:r>
      <w:r w:rsidR="005E541D">
        <w:t>T</w:t>
      </w:r>
      <w:r>
        <w:t>he rebate share of PHEVs decreased substantially over time and BEVs came to dominate the program (</w:t>
      </w:r>
      <w:r w:rsidR="00F05AB9">
        <w:t>Figure</w:t>
      </w:r>
      <w:r w:rsidR="00CA0A02">
        <w:t xml:space="preserve"> C</w:t>
      </w:r>
      <w:r w:rsidR="00F05AB9">
        <w:t>1</w:t>
      </w:r>
      <w:r>
        <w:t>). This will impact project total results, as PHEVs tend to reduce fewer GHG emissions but also had lower rebate amounts.</w:t>
      </w:r>
    </w:p>
    <w:p w14:paraId="2A917589" w14:textId="40FC4F8C" w:rsidR="00417E2A" w:rsidRDefault="00417E2A" w:rsidP="0068203E">
      <w:pPr>
        <w:pStyle w:val="ListParagraph"/>
        <w:numPr>
          <w:ilvl w:val="0"/>
          <w:numId w:val="6"/>
        </w:numPr>
      </w:pPr>
      <w:r w:rsidRPr="004219F9">
        <w:rPr>
          <w:b/>
          <w:bCs/>
        </w:rPr>
        <w:t>Range</w:t>
      </w:r>
      <w:r>
        <w:t>:</w:t>
      </w:r>
      <w:r w:rsidRPr="00544175">
        <w:t xml:space="preserve"> </w:t>
      </w:r>
      <w:r w:rsidR="005E541D">
        <w:t>T</w:t>
      </w:r>
      <w:r>
        <w:t xml:space="preserve">he electric range capability of BEVs </w:t>
      </w:r>
      <w:r w:rsidRPr="00544175">
        <w:t>increase</w:t>
      </w:r>
      <w:r>
        <w:t>d dramatically over time and long range BEVs, which are assumed to have higher annual VMT, became prominent in 2018 (</w:t>
      </w:r>
      <w:r w:rsidR="00CA0959">
        <w:t xml:space="preserve">Figure </w:t>
      </w:r>
      <w:r w:rsidR="00CA0A02">
        <w:t>C</w:t>
      </w:r>
      <w:r w:rsidR="00CA0959">
        <w:t>2</w:t>
      </w:r>
      <w:r>
        <w:t>).</w:t>
      </w:r>
    </w:p>
    <w:p w14:paraId="2956C9F5" w14:textId="2F839D7C" w:rsidR="00417E2A" w:rsidRDefault="00417E2A" w:rsidP="0068203E">
      <w:pPr>
        <w:pStyle w:val="ListParagraph"/>
        <w:numPr>
          <w:ilvl w:val="0"/>
          <w:numId w:val="6"/>
        </w:numPr>
      </w:pPr>
      <w:r w:rsidRPr="004219F9">
        <w:rPr>
          <w:b/>
          <w:bCs/>
        </w:rPr>
        <w:t>Body style</w:t>
      </w:r>
      <w:r>
        <w:t xml:space="preserve">: </w:t>
      </w:r>
      <w:r w:rsidR="005E541D">
        <w:t>W</w:t>
      </w:r>
      <w:r>
        <w:t xml:space="preserve">hile sedans historically dominated the program, less-efficient </w:t>
      </w:r>
      <w:r w:rsidRPr="00544175">
        <w:t>SUV</w:t>
      </w:r>
      <w:r>
        <w:t>s</w:t>
      </w:r>
      <w:r w:rsidRPr="00544175">
        <w:t xml:space="preserve"> </w:t>
      </w:r>
      <w:r>
        <w:t>proliferated rapidly beginning in 2020 (</w:t>
      </w:r>
      <w:r w:rsidR="00FB3865">
        <w:t>Figure C3</w:t>
      </w:r>
      <w:r>
        <w:t>).</w:t>
      </w:r>
    </w:p>
    <w:p w14:paraId="488ABC12" w14:textId="73D3CA1B" w:rsidR="00D00674" w:rsidRPr="00B90CFD" w:rsidRDefault="00D00674" w:rsidP="00D00674">
      <w:pPr>
        <w:pStyle w:val="TableFigureNumber0"/>
        <w:keepNext/>
        <w:rPr>
          <w:color w:val="0579BD"/>
        </w:rPr>
      </w:pPr>
      <w:bookmarkStart w:id="48" w:name="_Ref216035989"/>
      <w:bookmarkStart w:id="49" w:name="_Ref216034192"/>
      <w:r w:rsidRPr="00B90CFD">
        <w:rPr>
          <w:color w:val="0579BD"/>
        </w:rPr>
        <w:t xml:space="preserve">Figure </w:t>
      </w:r>
      <w:r w:rsidR="00865E35" w:rsidRPr="00B90CFD">
        <w:rPr>
          <w:noProof/>
          <w:color w:val="0579BD"/>
        </w:rPr>
        <w:t>15</w:t>
      </w:r>
      <w:bookmarkEnd w:id="48"/>
    </w:p>
    <w:p w14:paraId="0D5DDAEE" w14:textId="77777777" w:rsidR="00D00674" w:rsidRDefault="00D00674" w:rsidP="00D00674">
      <w:pPr>
        <w:pStyle w:val="TableFigureheader"/>
        <w:keepNext/>
      </w:pPr>
      <w:r>
        <w:t>Approved Rebate Applications Over Time</w:t>
      </w:r>
    </w:p>
    <w:p w14:paraId="64A48E83" w14:textId="77777777" w:rsidR="00D00674" w:rsidRDefault="00D00674" w:rsidP="00D00674">
      <w:pPr>
        <w:pStyle w:val="TableFigureheader"/>
        <w:keepNext/>
      </w:pPr>
      <w:r w:rsidRPr="00272326">
        <w:rPr>
          <w:noProof/>
        </w:rPr>
        <w:drawing>
          <wp:inline distT="0" distB="0" distL="0" distR="0" wp14:anchorId="3E23E464" wp14:editId="1655BB4A">
            <wp:extent cx="5212080" cy="2997503"/>
            <wp:effectExtent l="0" t="0" r="7620" b="0"/>
            <wp:docPr id="179112088" name="Picture 1" descr="Stacked bar chart displaying the number of CVRP rebates for PHEV, BEV, FCEV, and Other vehicle types monthly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2088" name="Picture 1" descr="Stacked bar chart displaying the number of CVRP rebates for PHEV, BEV, FCEV, and Other vehicle types monthly since 2010."/>
                    <pic:cNvPicPr/>
                  </pic:nvPicPr>
                  <pic:blipFill>
                    <a:blip r:embed="rId28"/>
                    <a:stretch>
                      <a:fillRect/>
                    </a:stretch>
                  </pic:blipFill>
                  <pic:spPr>
                    <a:xfrm>
                      <a:off x="0" y="0"/>
                      <a:ext cx="5212080" cy="2997503"/>
                    </a:xfrm>
                    <a:prstGeom prst="rect">
                      <a:avLst/>
                    </a:prstGeom>
                  </pic:spPr>
                </pic:pic>
              </a:graphicData>
            </a:graphic>
          </wp:inline>
        </w:drawing>
      </w:r>
    </w:p>
    <w:p w14:paraId="17FC1E52" w14:textId="6077150C" w:rsidR="00D00674" w:rsidRPr="000225AC" w:rsidRDefault="00D00674" w:rsidP="004B3F1A">
      <w:pPr>
        <w:pStyle w:val="SummaryofResults"/>
        <w:spacing w:before="120" w:after="120"/>
        <w:rPr>
          <w:sz w:val="18"/>
          <w:szCs w:val="18"/>
          <w:lang w:val="en-US"/>
        </w:rPr>
      </w:pPr>
      <w:r w:rsidRPr="000225AC">
        <w:rPr>
          <w:b/>
          <w:sz w:val="18"/>
          <w:szCs w:val="18"/>
          <w:lang w:val="en-US"/>
        </w:rPr>
        <w:t xml:space="preserve">Source: </w:t>
      </w:r>
      <w:r w:rsidRPr="00B23EC2">
        <w:rPr>
          <w:sz w:val="18"/>
          <w:szCs w:val="18"/>
          <w:lang w:val="en-US"/>
        </w:rPr>
        <w:t>https://cleanvehiclerebate.org/en/rebate-statistics</w:t>
      </w:r>
      <w:r w:rsidRPr="000225AC">
        <w:rPr>
          <w:sz w:val="18"/>
          <w:szCs w:val="18"/>
          <w:lang w:val="en-US"/>
        </w:rPr>
        <w:t xml:space="preserve"> (10/3/</w:t>
      </w:r>
      <w:r w:rsidR="009F3CD6" w:rsidRPr="000225AC">
        <w:rPr>
          <w:sz w:val="18"/>
          <w:szCs w:val="18"/>
          <w:lang w:val="en-US"/>
        </w:rPr>
        <w:t>20</w:t>
      </w:r>
      <w:r w:rsidRPr="000225AC">
        <w:rPr>
          <w:sz w:val="18"/>
          <w:szCs w:val="18"/>
          <w:lang w:val="en-US"/>
        </w:rPr>
        <w:t>25).</w:t>
      </w:r>
    </w:p>
    <w:p w14:paraId="6B19ADA5" w14:textId="6A2A956C" w:rsidR="00D00674" w:rsidRPr="00B90CFD" w:rsidRDefault="00D00674" w:rsidP="00E54E66">
      <w:pPr>
        <w:pStyle w:val="TableFigureNumber0"/>
        <w:keepNext/>
        <w:rPr>
          <w:color w:val="0579BD"/>
        </w:rPr>
      </w:pPr>
      <w:bookmarkStart w:id="50" w:name="_Ref216034112"/>
      <w:bookmarkStart w:id="51" w:name="_Ref219055283"/>
      <w:r w:rsidRPr="00B90CFD">
        <w:rPr>
          <w:color w:val="0579BD"/>
        </w:rPr>
        <w:lastRenderedPageBreak/>
        <w:t xml:space="preserve">Table </w:t>
      </w:r>
      <w:r w:rsidR="0023364B" w:rsidRPr="00B90CFD">
        <w:rPr>
          <w:noProof/>
          <w:color w:val="0579BD"/>
        </w:rPr>
        <w:t>8</w:t>
      </w:r>
      <w:bookmarkEnd w:id="50"/>
      <w:bookmarkEnd w:id="51"/>
    </w:p>
    <w:p w14:paraId="532784D5" w14:textId="77777777" w:rsidR="00D00674" w:rsidRDefault="00D00674" w:rsidP="00E54E66">
      <w:pPr>
        <w:pStyle w:val="TableFigureTitle"/>
        <w:keepNext/>
      </w:pPr>
      <w:r>
        <w:t>Rebate Amounts Over Time</w:t>
      </w:r>
    </w:p>
    <w:tbl>
      <w:tblPr>
        <w:tblStyle w:val="AlternateRow"/>
        <w:tblW w:w="5000" w:type="pct"/>
        <w:tblCellMar>
          <w:top w:w="72" w:type="dxa"/>
          <w:left w:w="72" w:type="dxa"/>
          <w:bottom w:w="72" w:type="dxa"/>
          <w:right w:w="72" w:type="dxa"/>
        </w:tblCellMar>
        <w:tblLook w:val="04A0" w:firstRow="1" w:lastRow="0" w:firstColumn="1" w:lastColumn="0" w:noHBand="0" w:noVBand="1"/>
      </w:tblPr>
      <w:tblGrid>
        <w:gridCol w:w="1248"/>
        <w:gridCol w:w="1005"/>
        <w:gridCol w:w="968"/>
        <w:gridCol w:w="968"/>
        <w:gridCol w:w="966"/>
        <w:gridCol w:w="1183"/>
        <w:gridCol w:w="987"/>
        <w:gridCol w:w="987"/>
        <w:gridCol w:w="1048"/>
      </w:tblGrid>
      <w:tr w:rsidR="00D00674" w14:paraId="6F56178A" w14:textId="77777777" w:rsidTr="00B43CB3">
        <w:trPr>
          <w:cnfStyle w:val="100000000000" w:firstRow="1" w:lastRow="0" w:firstColumn="0" w:lastColumn="0" w:oddVBand="0" w:evenVBand="0" w:oddHBand="0" w:evenHBand="0" w:firstRowFirstColumn="0" w:firstRowLastColumn="0" w:lastRowFirstColumn="0" w:lastRowLastColumn="0"/>
          <w:trHeight w:val="441"/>
        </w:trPr>
        <w:tc>
          <w:tcPr>
            <w:tcW w:w="667" w:type="pct"/>
            <w:shd w:val="clear" w:color="auto" w:fill="3C3A4C"/>
          </w:tcPr>
          <w:p w14:paraId="2E1FBCD1" w14:textId="77777777" w:rsidR="00D00674" w:rsidRDefault="00D00674">
            <w:pPr>
              <w:pStyle w:val="NoSpacing"/>
              <w:rPr>
                <w:b/>
                <w:bCs/>
                <w:color w:val="FFFFFF" w:themeColor="background1"/>
              </w:rPr>
            </w:pPr>
            <w:r>
              <w:rPr>
                <w:b/>
                <w:bCs/>
                <w:color w:val="FFFFFF" w:themeColor="background1"/>
              </w:rPr>
              <w:t>Technology Type</w:t>
            </w:r>
          </w:p>
        </w:tc>
        <w:tc>
          <w:tcPr>
            <w:tcW w:w="537" w:type="pct"/>
            <w:shd w:val="clear" w:color="auto" w:fill="3C3A4C"/>
          </w:tcPr>
          <w:p w14:paraId="129B64D0" w14:textId="0AF84B26" w:rsidR="00D00674" w:rsidRPr="00226DE8" w:rsidRDefault="002A1CE9">
            <w:pPr>
              <w:pStyle w:val="NoSpacing"/>
              <w:rPr>
                <w:b/>
                <w:bCs/>
                <w:color w:val="FFFFFF" w:themeColor="background1"/>
                <w:sz w:val="20"/>
                <w:szCs w:val="20"/>
              </w:rPr>
            </w:pPr>
            <w:r>
              <w:rPr>
                <w:b/>
                <w:bCs/>
                <w:color w:val="FFFFFF" w:themeColor="background1"/>
                <w:sz w:val="20"/>
                <w:szCs w:val="20"/>
              </w:rPr>
              <w:t>A</w:t>
            </w:r>
            <w:r w:rsidR="00D00674" w:rsidRPr="00226DE8">
              <w:rPr>
                <w:b/>
                <w:bCs/>
                <w:color w:val="FFFFFF" w:themeColor="background1"/>
                <w:sz w:val="20"/>
                <w:szCs w:val="20"/>
              </w:rPr>
              <w:t>s of</w:t>
            </w:r>
          </w:p>
          <w:p w14:paraId="6E772C98" w14:textId="6868597D" w:rsidR="00D00674" w:rsidRPr="00226DE8" w:rsidRDefault="00D00674">
            <w:pPr>
              <w:pStyle w:val="NoSpacing"/>
              <w:rPr>
                <w:b/>
                <w:bCs/>
                <w:color w:val="FFFFFF" w:themeColor="background1"/>
                <w:sz w:val="20"/>
                <w:szCs w:val="20"/>
              </w:rPr>
            </w:pPr>
            <w:r w:rsidRPr="00226DE8">
              <w:rPr>
                <w:b/>
                <w:bCs/>
                <w:color w:val="FFFFFF" w:themeColor="background1"/>
                <w:sz w:val="20"/>
                <w:szCs w:val="20"/>
              </w:rPr>
              <w:t xml:space="preserve">Mar </w:t>
            </w:r>
            <w:r>
              <w:rPr>
                <w:b/>
                <w:bCs/>
                <w:color w:val="FFFFFF" w:themeColor="background1"/>
                <w:sz w:val="20"/>
                <w:szCs w:val="20"/>
              </w:rPr>
              <w:t>2</w:t>
            </w:r>
            <w:r w:rsidRPr="00226DE8">
              <w:rPr>
                <w:b/>
                <w:bCs/>
                <w:color w:val="FFFFFF" w:themeColor="background1"/>
                <w:sz w:val="20"/>
                <w:szCs w:val="20"/>
              </w:rPr>
              <w:t>010</w:t>
            </w:r>
          </w:p>
        </w:tc>
        <w:tc>
          <w:tcPr>
            <w:tcW w:w="517" w:type="pct"/>
            <w:shd w:val="clear" w:color="auto" w:fill="3C3A4C"/>
          </w:tcPr>
          <w:p w14:paraId="6CF6A36D" w14:textId="3E5CB3EA" w:rsidR="00D00674" w:rsidRPr="00226DE8" w:rsidRDefault="002A1CE9">
            <w:pPr>
              <w:pStyle w:val="NoSpacing"/>
              <w:rPr>
                <w:b/>
                <w:bCs/>
                <w:color w:val="FFFFFF" w:themeColor="background1"/>
                <w:sz w:val="20"/>
                <w:szCs w:val="20"/>
              </w:rPr>
            </w:pPr>
            <w:r>
              <w:rPr>
                <w:b/>
                <w:bCs/>
                <w:color w:val="FFFFFF" w:themeColor="background1"/>
                <w:sz w:val="20"/>
                <w:szCs w:val="20"/>
              </w:rPr>
              <w:t>A</w:t>
            </w:r>
            <w:r w:rsidR="00D00674" w:rsidRPr="00226DE8">
              <w:rPr>
                <w:b/>
                <w:bCs/>
                <w:color w:val="FFFFFF" w:themeColor="background1"/>
                <w:sz w:val="20"/>
                <w:szCs w:val="20"/>
              </w:rPr>
              <w:t>s of</w:t>
            </w:r>
          </w:p>
          <w:p w14:paraId="4CE86F21" w14:textId="3C5FD73F" w:rsidR="00D00674" w:rsidRPr="00226DE8" w:rsidRDefault="00D00674">
            <w:pPr>
              <w:pStyle w:val="NoSpacing"/>
              <w:rPr>
                <w:b/>
                <w:bCs/>
                <w:color w:val="FFFFFF" w:themeColor="background1"/>
                <w:sz w:val="20"/>
                <w:szCs w:val="20"/>
              </w:rPr>
            </w:pPr>
            <w:r w:rsidRPr="00226DE8">
              <w:rPr>
                <w:b/>
                <w:bCs/>
                <w:color w:val="FFFFFF" w:themeColor="background1"/>
                <w:sz w:val="20"/>
                <w:szCs w:val="20"/>
              </w:rPr>
              <w:t>Jun 2011</w:t>
            </w:r>
          </w:p>
        </w:tc>
        <w:tc>
          <w:tcPr>
            <w:tcW w:w="517" w:type="pct"/>
            <w:shd w:val="clear" w:color="auto" w:fill="3C3A4C"/>
          </w:tcPr>
          <w:p w14:paraId="0BFC1970" w14:textId="0475DC2F" w:rsidR="00D00674" w:rsidRPr="00226DE8" w:rsidRDefault="002A1CE9">
            <w:pPr>
              <w:pStyle w:val="NoSpacing"/>
              <w:rPr>
                <w:b/>
                <w:bCs/>
                <w:color w:val="FFFFFF" w:themeColor="background1"/>
                <w:sz w:val="20"/>
                <w:szCs w:val="20"/>
              </w:rPr>
            </w:pPr>
            <w:r>
              <w:rPr>
                <w:b/>
                <w:bCs/>
                <w:color w:val="FFFFFF" w:themeColor="background1"/>
                <w:sz w:val="20"/>
                <w:szCs w:val="20"/>
              </w:rPr>
              <w:t>A</w:t>
            </w:r>
            <w:r w:rsidR="00D00674" w:rsidRPr="00226DE8">
              <w:rPr>
                <w:b/>
                <w:bCs/>
                <w:color w:val="FFFFFF" w:themeColor="background1"/>
                <w:sz w:val="20"/>
                <w:szCs w:val="20"/>
              </w:rPr>
              <w:t>s of</w:t>
            </w:r>
          </w:p>
          <w:p w14:paraId="616885FF" w14:textId="7D0F6FDB" w:rsidR="00D00674" w:rsidRPr="00226DE8" w:rsidRDefault="00D00674">
            <w:pPr>
              <w:pStyle w:val="NoSpacing"/>
              <w:rPr>
                <w:b/>
                <w:bCs/>
                <w:color w:val="FFFFFF" w:themeColor="background1"/>
                <w:sz w:val="20"/>
                <w:szCs w:val="20"/>
              </w:rPr>
            </w:pPr>
            <w:r w:rsidRPr="00226DE8">
              <w:rPr>
                <w:b/>
                <w:bCs/>
                <w:color w:val="FFFFFF" w:themeColor="background1"/>
                <w:sz w:val="20"/>
                <w:szCs w:val="20"/>
              </w:rPr>
              <w:t>Jul 2013</w:t>
            </w:r>
          </w:p>
        </w:tc>
        <w:tc>
          <w:tcPr>
            <w:tcW w:w="516" w:type="pct"/>
            <w:shd w:val="clear" w:color="auto" w:fill="3C3A4C"/>
          </w:tcPr>
          <w:p w14:paraId="01E97D34" w14:textId="4BDF7798" w:rsidR="00D00674" w:rsidRPr="00226DE8" w:rsidRDefault="002A1CE9">
            <w:pPr>
              <w:pStyle w:val="NoSpacing"/>
              <w:rPr>
                <w:b/>
                <w:bCs/>
                <w:color w:val="FFFFFF" w:themeColor="background1"/>
                <w:sz w:val="20"/>
                <w:szCs w:val="20"/>
              </w:rPr>
            </w:pPr>
            <w:r>
              <w:rPr>
                <w:b/>
                <w:bCs/>
                <w:color w:val="FFFFFF" w:themeColor="background1"/>
                <w:sz w:val="20"/>
                <w:szCs w:val="20"/>
              </w:rPr>
              <w:t>A</w:t>
            </w:r>
            <w:r w:rsidR="00D00674" w:rsidRPr="00226DE8">
              <w:rPr>
                <w:b/>
                <w:bCs/>
                <w:color w:val="FFFFFF" w:themeColor="background1"/>
                <w:sz w:val="20"/>
                <w:szCs w:val="20"/>
              </w:rPr>
              <w:t>s of</w:t>
            </w:r>
          </w:p>
          <w:p w14:paraId="7574E723" w14:textId="5B02A7F4" w:rsidR="00D00674" w:rsidRPr="00226DE8" w:rsidRDefault="00D00674">
            <w:pPr>
              <w:pStyle w:val="NoSpacing"/>
              <w:rPr>
                <w:b/>
                <w:bCs/>
                <w:color w:val="FFFFFF" w:themeColor="background1"/>
                <w:sz w:val="20"/>
                <w:szCs w:val="20"/>
              </w:rPr>
            </w:pPr>
            <w:r w:rsidRPr="00226DE8">
              <w:rPr>
                <w:b/>
                <w:bCs/>
                <w:color w:val="FFFFFF" w:themeColor="background1"/>
                <w:sz w:val="20"/>
                <w:szCs w:val="20"/>
              </w:rPr>
              <w:t>Jun 2014</w:t>
            </w:r>
          </w:p>
        </w:tc>
        <w:tc>
          <w:tcPr>
            <w:tcW w:w="632" w:type="pct"/>
            <w:shd w:val="clear" w:color="auto" w:fill="3C3A4C"/>
          </w:tcPr>
          <w:p w14:paraId="20D43336" w14:textId="427CE0AB" w:rsidR="00D00674" w:rsidRPr="00226DE8" w:rsidRDefault="002A1CE9">
            <w:pPr>
              <w:pStyle w:val="NoSpacing"/>
              <w:rPr>
                <w:b/>
                <w:bCs/>
                <w:color w:val="FFFFFF" w:themeColor="background1"/>
                <w:sz w:val="20"/>
                <w:szCs w:val="20"/>
              </w:rPr>
            </w:pPr>
            <w:r>
              <w:rPr>
                <w:b/>
                <w:bCs/>
                <w:color w:val="FFFFFF" w:themeColor="background1"/>
                <w:sz w:val="20"/>
                <w:szCs w:val="20"/>
              </w:rPr>
              <w:t>A</w:t>
            </w:r>
            <w:r w:rsidR="00D00674" w:rsidRPr="00226DE8">
              <w:rPr>
                <w:b/>
                <w:bCs/>
                <w:color w:val="FFFFFF" w:themeColor="background1"/>
                <w:sz w:val="20"/>
                <w:szCs w:val="20"/>
              </w:rPr>
              <w:t>s of</w:t>
            </w:r>
          </w:p>
          <w:p w14:paraId="07BD7503" w14:textId="13CCEFE2" w:rsidR="00D00674" w:rsidRPr="00226DE8" w:rsidRDefault="00D00674">
            <w:pPr>
              <w:pStyle w:val="NoSpacing"/>
              <w:rPr>
                <w:b/>
                <w:bCs/>
                <w:color w:val="FFFFFF" w:themeColor="background1"/>
                <w:sz w:val="20"/>
                <w:szCs w:val="20"/>
              </w:rPr>
            </w:pPr>
            <w:r w:rsidRPr="00226DE8">
              <w:rPr>
                <w:b/>
                <w:bCs/>
                <w:color w:val="FFFFFF" w:themeColor="background1"/>
                <w:sz w:val="20"/>
                <w:szCs w:val="20"/>
              </w:rPr>
              <w:t>Mar 2016</w:t>
            </w:r>
          </w:p>
        </w:tc>
        <w:tc>
          <w:tcPr>
            <w:tcW w:w="527" w:type="pct"/>
            <w:shd w:val="clear" w:color="auto" w:fill="3C3A4C"/>
          </w:tcPr>
          <w:p w14:paraId="0A3EB821" w14:textId="76A9F9A0" w:rsidR="00D00674" w:rsidRPr="00226DE8" w:rsidRDefault="002A1CE9">
            <w:pPr>
              <w:pStyle w:val="NoSpacing"/>
              <w:rPr>
                <w:b/>
                <w:bCs/>
                <w:color w:val="FFFFFF" w:themeColor="background1"/>
                <w:sz w:val="20"/>
                <w:szCs w:val="20"/>
              </w:rPr>
            </w:pPr>
            <w:r>
              <w:rPr>
                <w:b/>
                <w:bCs/>
                <w:color w:val="FFFFFF" w:themeColor="background1"/>
                <w:sz w:val="20"/>
                <w:szCs w:val="20"/>
              </w:rPr>
              <w:t>A</w:t>
            </w:r>
            <w:r w:rsidR="00D00674" w:rsidRPr="00226DE8">
              <w:rPr>
                <w:b/>
                <w:bCs/>
                <w:color w:val="FFFFFF" w:themeColor="background1"/>
                <w:sz w:val="20"/>
                <w:szCs w:val="20"/>
              </w:rPr>
              <w:t>s of</w:t>
            </w:r>
          </w:p>
          <w:p w14:paraId="232A7AC5" w14:textId="52A8C776" w:rsidR="00D00674" w:rsidRPr="00226DE8" w:rsidRDefault="00D00674">
            <w:pPr>
              <w:pStyle w:val="NoSpacing"/>
              <w:rPr>
                <w:b/>
                <w:bCs/>
                <w:color w:val="FFFFFF" w:themeColor="background1"/>
                <w:sz w:val="20"/>
                <w:szCs w:val="20"/>
              </w:rPr>
            </w:pPr>
            <w:r w:rsidRPr="00226DE8">
              <w:rPr>
                <w:b/>
                <w:bCs/>
                <w:color w:val="FFFFFF" w:themeColor="background1"/>
                <w:sz w:val="20"/>
                <w:szCs w:val="20"/>
              </w:rPr>
              <w:t>Nov 2016</w:t>
            </w:r>
          </w:p>
        </w:tc>
        <w:tc>
          <w:tcPr>
            <w:tcW w:w="527" w:type="pct"/>
            <w:shd w:val="clear" w:color="auto" w:fill="3C3A4C"/>
          </w:tcPr>
          <w:p w14:paraId="2FB4948F" w14:textId="22CAFEBD" w:rsidR="00D00674" w:rsidRPr="00226DE8" w:rsidRDefault="002A1CE9">
            <w:pPr>
              <w:pStyle w:val="NoSpacing"/>
              <w:rPr>
                <w:b/>
                <w:bCs/>
                <w:color w:val="FFFFFF" w:themeColor="background1"/>
                <w:sz w:val="20"/>
                <w:szCs w:val="20"/>
              </w:rPr>
            </w:pPr>
            <w:r>
              <w:rPr>
                <w:b/>
                <w:bCs/>
                <w:color w:val="FFFFFF" w:themeColor="background1"/>
                <w:sz w:val="20"/>
                <w:szCs w:val="20"/>
              </w:rPr>
              <w:t>A</w:t>
            </w:r>
            <w:r w:rsidR="00D00674" w:rsidRPr="00226DE8">
              <w:rPr>
                <w:b/>
                <w:bCs/>
                <w:color w:val="FFFFFF" w:themeColor="background1"/>
                <w:sz w:val="20"/>
                <w:szCs w:val="20"/>
              </w:rPr>
              <w:t>s of</w:t>
            </w:r>
          </w:p>
          <w:p w14:paraId="3DB4063E" w14:textId="7687CE4A" w:rsidR="00D00674" w:rsidRPr="00226DE8" w:rsidRDefault="00D00674">
            <w:pPr>
              <w:pStyle w:val="NoSpacing"/>
              <w:rPr>
                <w:b/>
                <w:bCs/>
                <w:color w:val="FFFFFF" w:themeColor="background1"/>
                <w:sz w:val="20"/>
                <w:szCs w:val="20"/>
              </w:rPr>
            </w:pPr>
            <w:r w:rsidRPr="00226DE8">
              <w:rPr>
                <w:b/>
                <w:bCs/>
                <w:color w:val="FFFFFF" w:themeColor="background1"/>
                <w:sz w:val="20"/>
                <w:szCs w:val="20"/>
              </w:rPr>
              <w:t>Dec 2019</w:t>
            </w:r>
          </w:p>
        </w:tc>
        <w:tc>
          <w:tcPr>
            <w:tcW w:w="560" w:type="pct"/>
            <w:shd w:val="clear" w:color="auto" w:fill="3C3A4C"/>
          </w:tcPr>
          <w:p w14:paraId="3E605FA0" w14:textId="1868EBC0" w:rsidR="00D00674" w:rsidRPr="00226DE8" w:rsidRDefault="002A1CE9">
            <w:pPr>
              <w:pStyle w:val="NoSpacing"/>
              <w:rPr>
                <w:b/>
                <w:bCs/>
                <w:color w:val="FFFFFF" w:themeColor="background1"/>
                <w:sz w:val="20"/>
                <w:szCs w:val="20"/>
              </w:rPr>
            </w:pPr>
            <w:r>
              <w:rPr>
                <w:b/>
                <w:bCs/>
                <w:color w:val="FFFFFF" w:themeColor="background1"/>
                <w:sz w:val="20"/>
                <w:szCs w:val="20"/>
              </w:rPr>
              <w:t>A</w:t>
            </w:r>
            <w:r w:rsidR="00D00674" w:rsidRPr="00226DE8">
              <w:rPr>
                <w:b/>
                <w:bCs/>
                <w:color w:val="FFFFFF" w:themeColor="background1"/>
                <w:sz w:val="20"/>
                <w:szCs w:val="20"/>
              </w:rPr>
              <w:t>s of</w:t>
            </w:r>
          </w:p>
          <w:p w14:paraId="12415492" w14:textId="58E1A2A6" w:rsidR="00D00674" w:rsidRPr="00226DE8" w:rsidRDefault="00D00674">
            <w:pPr>
              <w:pStyle w:val="NoSpacing"/>
              <w:rPr>
                <w:b/>
                <w:bCs/>
                <w:color w:val="FFFFFF" w:themeColor="background1"/>
                <w:sz w:val="20"/>
                <w:szCs w:val="20"/>
              </w:rPr>
            </w:pPr>
            <w:r w:rsidRPr="00226DE8">
              <w:rPr>
                <w:b/>
                <w:bCs/>
                <w:color w:val="FFFFFF" w:themeColor="background1"/>
                <w:sz w:val="20"/>
                <w:szCs w:val="20"/>
              </w:rPr>
              <w:t>Feb 2023</w:t>
            </w:r>
          </w:p>
        </w:tc>
      </w:tr>
      <w:tr w:rsidR="00D00674" w:rsidRPr="00230EDC" w14:paraId="2D7604C1" w14:textId="77777777">
        <w:trPr>
          <w:cnfStyle w:val="000000100000" w:firstRow="0" w:lastRow="0" w:firstColumn="0" w:lastColumn="0" w:oddVBand="0" w:evenVBand="0" w:oddHBand="1" w:evenHBand="0" w:firstRowFirstColumn="0" w:firstRowLastColumn="0" w:lastRowFirstColumn="0" w:lastRowLastColumn="0"/>
          <w:trHeight w:val="253"/>
        </w:trPr>
        <w:tc>
          <w:tcPr>
            <w:tcW w:w="667" w:type="pct"/>
          </w:tcPr>
          <w:p w14:paraId="54D1F34E" w14:textId="77777777" w:rsidR="00D00674" w:rsidRPr="00734133" w:rsidRDefault="00D00674">
            <w:pPr>
              <w:pStyle w:val="NoSpacing"/>
              <w:rPr>
                <w:b/>
                <w:bCs/>
                <w:i/>
                <w:sz w:val="20"/>
                <w:szCs w:val="20"/>
              </w:rPr>
            </w:pPr>
            <w:r>
              <w:rPr>
                <w:b/>
                <w:bCs/>
                <w:sz w:val="20"/>
                <w:szCs w:val="20"/>
              </w:rPr>
              <w:t>BEV</w:t>
            </w:r>
            <w:r w:rsidRPr="00734133">
              <w:rPr>
                <w:b/>
                <w:bCs/>
                <w:sz w:val="20"/>
                <w:szCs w:val="20"/>
              </w:rPr>
              <w:t>†</w:t>
            </w:r>
          </w:p>
        </w:tc>
        <w:tc>
          <w:tcPr>
            <w:tcW w:w="537" w:type="pct"/>
            <w:vAlign w:val="center"/>
          </w:tcPr>
          <w:p w14:paraId="156FE004" w14:textId="77777777" w:rsidR="00D00674" w:rsidRPr="00B42AFD" w:rsidRDefault="00D00674">
            <w:pPr>
              <w:pStyle w:val="NoSpacing"/>
              <w:rPr>
                <w:sz w:val="18"/>
                <w:szCs w:val="18"/>
              </w:rPr>
            </w:pPr>
            <w:r w:rsidRPr="00B42AFD">
              <w:rPr>
                <w:sz w:val="18"/>
                <w:szCs w:val="18"/>
              </w:rPr>
              <w:t>$3,000</w:t>
            </w:r>
            <w:r w:rsidRPr="00B42AFD">
              <w:rPr>
                <w:sz w:val="18"/>
                <w:szCs w:val="18"/>
                <w:vertAlign w:val="superscript"/>
              </w:rPr>
              <w:t>§</w:t>
            </w:r>
            <w:r w:rsidRPr="00B42AFD">
              <w:rPr>
                <w:sz w:val="18"/>
                <w:szCs w:val="18"/>
              </w:rPr>
              <w:t>– $5,000</w:t>
            </w:r>
            <w:r w:rsidRPr="00B42AFD">
              <w:rPr>
                <w:sz w:val="18"/>
                <w:szCs w:val="18"/>
                <w:vertAlign w:val="superscript"/>
              </w:rPr>
              <w:t>‡</w:t>
            </w:r>
          </w:p>
        </w:tc>
        <w:tc>
          <w:tcPr>
            <w:tcW w:w="517" w:type="pct"/>
            <w:vAlign w:val="center"/>
          </w:tcPr>
          <w:p w14:paraId="7FF1A369" w14:textId="77777777" w:rsidR="00D00674" w:rsidRPr="00B42AFD" w:rsidRDefault="00D00674">
            <w:pPr>
              <w:pStyle w:val="NoSpacing"/>
              <w:rPr>
                <w:sz w:val="18"/>
                <w:szCs w:val="18"/>
              </w:rPr>
            </w:pPr>
            <w:r w:rsidRPr="00B42AFD">
              <w:rPr>
                <w:sz w:val="18"/>
                <w:szCs w:val="18"/>
              </w:rPr>
              <w:t>$1,500</w:t>
            </w:r>
            <w:r w:rsidRPr="00B42AFD">
              <w:rPr>
                <w:sz w:val="18"/>
                <w:szCs w:val="18"/>
                <w:vertAlign w:val="superscript"/>
              </w:rPr>
              <w:t>§</w:t>
            </w:r>
            <w:r w:rsidRPr="00B42AFD">
              <w:rPr>
                <w:sz w:val="18"/>
                <w:szCs w:val="18"/>
              </w:rPr>
              <w:t>– $2,500</w:t>
            </w:r>
            <w:r w:rsidRPr="00B42AFD">
              <w:rPr>
                <w:sz w:val="18"/>
                <w:szCs w:val="18"/>
                <w:vertAlign w:val="superscript"/>
              </w:rPr>
              <w:t>‡</w:t>
            </w:r>
          </w:p>
        </w:tc>
        <w:tc>
          <w:tcPr>
            <w:tcW w:w="517" w:type="pct"/>
            <w:vAlign w:val="center"/>
          </w:tcPr>
          <w:p w14:paraId="7416E88E" w14:textId="77777777" w:rsidR="00D00674" w:rsidRPr="00B42AFD" w:rsidRDefault="00D00674">
            <w:pPr>
              <w:pStyle w:val="NoSpacing"/>
              <w:rPr>
                <w:sz w:val="18"/>
                <w:szCs w:val="18"/>
              </w:rPr>
            </w:pPr>
            <w:r w:rsidRPr="00B42AFD">
              <w:rPr>
                <w:sz w:val="18"/>
                <w:szCs w:val="18"/>
              </w:rPr>
              <w:t>$2,500</w:t>
            </w:r>
          </w:p>
        </w:tc>
        <w:tc>
          <w:tcPr>
            <w:tcW w:w="516" w:type="pct"/>
            <w:vAlign w:val="center"/>
          </w:tcPr>
          <w:p w14:paraId="2DE481B4" w14:textId="77777777" w:rsidR="00D00674" w:rsidRPr="00B42AFD" w:rsidRDefault="00D00674">
            <w:pPr>
              <w:pStyle w:val="NoSpacing"/>
              <w:rPr>
                <w:sz w:val="18"/>
                <w:szCs w:val="18"/>
              </w:rPr>
            </w:pPr>
            <w:r w:rsidRPr="00B42AFD">
              <w:rPr>
                <w:sz w:val="18"/>
                <w:szCs w:val="18"/>
              </w:rPr>
              <w:t>$2,500</w:t>
            </w:r>
          </w:p>
        </w:tc>
        <w:tc>
          <w:tcPr>
            <w:tcW w:w="632" w:type="pct"/>
            <w:vAlign w:val="center"/>
          </w:tcPr>
          <w:p w14:paraId="3250A272" w14:textId="77777777" w:rsidR="00D00674" w:rsidRPr="00B42AFD" w:rsidRDefault="00D00674">
            <w:pPr>
              <w:pStyle w:val="NoSpacing"/>
              <w:rPr>
                <w:sz w:val="18"/>
                <w:szCs w:val="18"/>
                <w:vertAlign w:val="superscript"/>
              </w:rPr>
            </w:pPr>
            <w:r w:rsidRPr="00B42AFD">
              <w:rPr>
                <w:sz w:val="18"/>
                <w:szCs w:val="18"/>
              </w:rPr>
              <w:t xml:space="preserve">SR*: $2,500 </w:t>
            </w:r>
          </w:p>
          <w:p w14:paraId="5A74B0E6" w14:textId="77777777" w:rsidR="00D00674" w:rsidRPr="00B42AFD" w:rsidRDefault="00D00674">
            <w:pPr>
              <w:pStyle w:val="NoSpacing"/>
              <w:rPr>
                <w:sz w:val="18"/>
                <w:szCs w:val="18"/>
                <w:vertAlign w:val="superscript"/>
              </w:rPr>
            </w:pPr>
            <w:r w:rsidRPr="00B42AFD">
              <w:rPr>
                <w:sz w:val="18"/>
                <w:szCs w:val="18"/>
              </w:rPr>
              <w:t xml:space="preserve">IR*: $4,000  </w:t>
            </w:r>
          </w:p>
        </w:tc>
        <w:tc>
          <w:tcPr>
            <w:tcW w:w="527" w:type="pct"/>
            <w:vAlign w:val="center"/>
          </w:tcPr>
          <w:p w14:paraId="49B35E51" w14:textId="77777777" w:rsidR="00D00674" w:rsidRPr="00B42AFD" w:rsidRDefault="00D00674">
            <w:pPr>
              <w:pStyle w:val="NoSpacing"/>
              <w:rPr>
                <w:sz w:val="18"/>
                <w:szCs w:val="18"/>
                <w:vertAlign w:val="superscript"/>
              </w:rPr>
            </w:pPr>
            <w:r w:rsidRPr="00B42AFD">
              <w:rPr>
                <w:sz w:val="18"/>
                <w:szCs w:val="18"/>
              </w:rPr>
              <w:t xml:space="preserve">SR: $2,500 </w:t>
            </w:r>
          </w:p>
          <w:p w14:paraId="01361F73" w14:textId="77777777" w:rsidR="00D00674" w:rsidRPr="00B42AFD" w:rsidRDefault="00D00674">
            <w:pPr>
              <w:pStyle w:val="NoSpacing"/>
              <w:rPr>
                <w:sz w:val="18"/>
                <w:szCs w:val="18"/>
              </w:rPr>
            </w:pPr>
            <w:r w:rsidRPr="00B42AFD">
              <w:rPr>
                <w:sz w:val="18"/>
                <w:szCs w:val="18"/>
              </w:rPr>
              <w:t xml:space="preserve">IR: $4,500  </w:t>
            </w:r>
          </w:p>
        </w:tc>
        <w:tc>
          <w:tcPr>
            <w:tcW w:w="527" w:type="pct"/>
            <w:vAlign w:val="center"/>
          </w:tcPr>
          <w:p w14:paraId="14611FF9" w14:textId="77777777" w:rsidR="00D00674" w:rsidRPr="00B42AFD" w:rsidRDefault="00D00674">
            <w:pPr>
              <w:pStyle w:val="NoSpacing"/>
              <w:rPr>
                <w:sz w:val="18"/>
                <w:szCs w:val="18"/>
              </w:rPr>
            </w:pPr>
            <w:r w:rsidRPr="00B42AFD">
              <w:rPr>
                <w:sz w:val="18"/>
                <w:szCs w:val="18"/>
              </w:rPr>
              <w:t xml:space="preserve">SR: $2,000 </w:t>
            </w:r>
          </w:p>
          <w:p w14:paraId="6D1458D7" w14:textId="77777777" w:rsidR="00D00674" w:rsidRPr="00B42AFD" w:rsidRDefault="00D00674">
            <w:pPr>
              <w:pStyle w:val="NoSpacing"/>
              <w:rPr>
                <w:sz w:val="18"/>
                <w:szCs w:val="18"/>
              </w:rPr>
            </w:pPr>
            <w:r w:rsidRPr="00B42AFD">
              <w:rPr>
                <w:sz w:val="18"/>
                <w:szCs w:val="18"/>
              </w:rPr>
              <w:t xml:space="preserve">IR: $4,500  </w:t>
            </w:r>
          </w:p>
        </w:tc>
        <w:tc>
          <w:tcPr>
            <w:tcW w:w="560" w:type="pct"/>
            <w:vAlign w:val="center"/>
          </w:tcPr>
          <w:p w14:paraId="40A11D17" w14:textId="77777777" w:rsidR="00D00674" w:rsidRPr="00B42AFD" w:rsidRDefault="00D00674">
            <w:pPr>
              <w:pStyle w:val="NoSpacing"/>
              <w:rPr>
                <w:sz w:val="18"/>
                <w:szCs w:val="18"/>
              </w:rPr>
            </w:pPr>
            <w:r w:rsidRPr="00B42AFD">
              <w:rPr>
                <w:sz w:val="18"/>
                <w:szCs w:val="18"/>
              </w:rPr>
              <w:t xml:space="preserve">SR: $2,000 </w:t>
            </w:r>
          </w:p>
          <w:p w14:paraId="7FE5C9A7" w14:textId="77777777" w:rsidR="00D00674" w:rsidRPr="00B42AFD" w:rsidRDefault="00D00674">
            <w:pPr>
              <w:pStyle w:val="NoSpacing"/>
              <w:rPr>
                <w:sz w:val="18"/>
                <w:szCs w:val="18"/>
              </w:rPr>
            </w:pPr>
            <w:r w:rsidRPr="00B42AFD">
              <w:rPr>
                <w:sz w:val="18"/>
                <w:szCs w:val="18"/>
              </w:rPr>
              <w:t xml:space="preserve">IR: $7,500  </w:t>
            </w:r>
          </w:p>
        </w:tc>
      </w:tr>
      <w:tr w:rsidR="00D00674" w:rsidRPr="00230EDC" w14:paraId="6757F031" w14:textId="77777777" w:rsidTr="00920B69">
        <w:trPr>
          <w:cnfStyle w:val="000000010000" w:firstRow="0" w:lastRow="0" w:firstColumn="0" w:lastColumn="0" w:oddVBand="0" w:evenVBand="0" w:oddHBand="0" w:evenHBand="1" w:firstRowFirstColumn="0" w:firstRowLastColumn="0" w:lastRowFirstColumn="0" w:lastRowLastColumn="0"/>
          <w:trHeight w:val="19"/>
        </w:trPr>
        <w:tc>
          <w:tcPr>
            <w:tcW w:w="667" w:type="pct"/>
            <w:shd w:val="clear" w:color="auto" w:fill="F2F2F2" w:themeFill="background1" w:themeFillShade="F2"/>
          </w:tcPr>
          <w:p w14:paraId="23A127F9" w14:textId="77777777" w:rsidR="00D00674" w:rsidRPr="00734133" w:rsidRDefault="00D00674">
            <w:pPr>
              <w:pStyle w:val="NoSpacing"/>
              <w:rPr>
                <w:b/>
                <w:bCs/>
                <w:sz w:val="20"/>
                <w:szCs w:val="20"/>
              </w:rPr>
            </w:pPr>
            <w:r>
              <w:rPr>
                <w:b/>
                <w:bCs/>
                <w:sz w:val="20"/>
                <w:szCs w:val="20"/>
              </w:rPr>
              <w:t>PHEV</w:t>
            </w:r>
          </w:p>
        </w:tc>
        <w:tc>
          <w:tcPr>
            <w:tcW w:w="537" w:type="pct"/>
            <w:shd w:val="clear" w:color="auto" w:fill="F2F2F2" w:themeFill="background1" w:themeFillShade="F2"/>
            <w:vAlign w:val="center"/>
          </w:tcPr>
          <w:p w14:paraId="78873659" w14:textId="77777777" w:rsidR="00D00674" w:rsidRPr="00B42AFD" w:rsidRDefault="00D00674">
            <w:pPr>
              <w:pStyle w:val="NoSpacing"/>
              <w:rPr>
                <w:sz w:val="18"/>
                <w:szCs w:val="18"/>
              </w:rPr>
            </w:pPr>
            <w:r w:rsidRPr="00B42AFD">
              <w:rPr>
                <w:sz w:val="18"/>
                <w:szCs w:val="18"/>
              </w:rPr>
              <w:t>$3,000</w:t>
            </w:r>
            <w:r w:rsidRPr="00B42AFD">
              <w:rPr>
                <w:sz w:val="18"/>
                <w:szCs w:val="18"/>
                <w:vertAlign w:val="superscript"/>
              </w:rPr>
              <w:t>§</w:t>
            </w:r>
          </w:p>
        </w:tc>
        <w:tc>
          <w:tcPr>
            <w:tcW w:w="517" w:type="pct"/>
            <w:shd w:val="clear" w:color="auto" w:fill="F2F2F2" w:themeFill="background1" w:themeFillShade="F2"/>
            <w:vAlign w:val="center"/>
          </w:tcPr>
          <w:p w14:paraId="763CEBB1" w14:textId="77777777" w:rsidR="00D00674" w:rsidRPr="00B42AFD" w:rsidRDefault="00D00674">
            <w:pPr>
              <w:pStyle w:val="NoSpacing"/>
              <w:rPr>
                <w:sz w:val="18"/>
                <w:szCs w:val="18"/>
              </w:rPr>
            </w:pPr>
            <w:r w:rsidRPr="00B42AFD">
              <w:rPr>
                <w:sz w:val="18"/>
                <w:szCs w:val="18"/>
              </w:rPr>
              <w:t>$1,500</w:t>
            </w:r>
          </w:p>
        </w:tc>
        <w:tc>
          <w:tcPr>
            <w:tcW w:w="517" w:type="pct"/>
            <w:shd w:val="clear" w:color="auto" w:fill="F2F2F2" w:themeFill="background1" w:themeFillShade="F2"/>
            <w:vAlign w:val="center"/>
          </w:tcPr>
          <w:p w14:paraId="1A2ACCC8" w14:textId="77777777" w:rsidR="00D00674" w:rsidRPr="00B42AFD" w:rsidRDefault="00D00674">
            <w:pPr>
              <w:pStyle w:val="NoSpacing"/>
              <w:rPr>
                <w:sz w:val="18"/>
                <w:szCs w:val="18"/>
              </w:rPr>
            </w:pPr>
            <w:r w:rsidRPr="00B42AFD">
              <w:rPr>
                <w:sz w:val="18"/>
                <w:szCs w:val="18"/>
              </w:rPr>
              <w:t>$1,500</w:t>
            </w:r>
          </w:p>
        </w:tc>
        <w:tc>
          <w:tcPr>
            <w:tcW w:w="516" w:type="pct"/>
            <w:shd w:val="clear" w:color="auto" w:fill="F2F2F2" w:themeFill="background1" w:themeFillShade="F2"/>
            <w:vAlign w:val="center"/>
          </w:tcPr>
          <w:p w14:paraId="76FEC249" w14:textId="77777777" w:rsidR="00D00674" w:rsidRPr="00B42AFD" w:rsidRDefault="00D00674">
            <w:pPr>
              <w:pStyle w:val="NoSpacing"/>
              <w:rPr>
                <w:sz w:val="18"/>
                <w:szCs w:val="18"/>
              </w:rPr>
            </w:pPr>
            <w:r w:rsidRPr="00B42AFD">
              <w:rPr>
                <w:sz w:val="18"/>
                <w:szCs w:val="18"/>
              </w:rPr>
              <w:t>$1,500</w:t>
            </w:r>
          </w:p>
        </w:tc>
        <w:tc>
          <w:tcPr>
            <w:tcW w:w="632" w:type="pct"/>
            <w:shd w:val="clear" w:color="auto" w:fill="F2F2F2" w:themeFill="background1" w:themeFillShade="F2"/>
            <w:vAlign w:val="center"/>
          </w:tcPr>
          <w:p w14:paraId="26705C1D" w14:textId="77777777" w:rsidR="00D00674" w:rsidRPr="00B42AFD" w:rsidRDefault="00D00674">
            <w:pPr>
              <w:pStyle w:val="NoSpacing"/>
              <w:rPr>
                <w:sz w:val="18"/>
                <w:szCs w:val="18"/>
                <w:vertAlign w:val="superscript"/>
              </w:rPr>
            </w:pPr>
            <w:r w:rsidRPr="00B42AFD">
              <w:rPr>
                <w:sz w:val="18"/>
                <w:szCs w:val="18"/>
              </w:rPr>
              <w:t xml:space="preserve">SR: $1,500 </w:t>
            </w:r>
          </w:p>
          <w:p w14:paraId="3F8A8619" w14:textId="77777777" w:rsidR="00D00674" w:rsidRPr="00B42AFD" w:rsidRDefault="00D00674">
            <w:pPr>
              <w:pStyle w:val="NoSpacing"/>
              <w:rPr>
                <w:sz w:val="18"/>
                <w:szCs w:val="18"/>
              </w:rPr>
            </w:pPr>
            <w:r w:rsidRPr="00B42AFD">
              <w:rPr>
                <w:sz w:val="18"/>
                <w:szCs w:val="18"/>
              </w:rPr>
              <w:t xml:space="preserve">IR: $3,000  </w:t>
            </w:r>
          </w:p>
        </w:tc>
        <w:tc>
          <w:tcPr>
            <w:tcW w:w="527" w:type="pct"/>
            <w:shd w:val="clear" w:color="auto" w:fill="F2F2F2" w:themeFill="background1" w:themeFillShade="F2"/>
            <w:vAlign w:val="center"/>
          </w:tcPr>
          <w:p w14:paraId="40474473" w14:textId="77777777" w:rsidR="00D00674" w:rsidRPr="00B42AFD" w:rsidRDefault="00D00674">
            <w:pPr>
              <w:pStyle w:val="NoSpacing"/>
              <w:rPr>
                <w:sz w:val="18"/>
                <w:szCs w:val="18"/>
                <w:vertAlign w:val="superscript"/>
              </w:rPr>
            </w:pPr>
            <w:r w:rsidRPr="00B42AFD">
              <w:rPr>
                <w:sz w:val="18"/>
                <w:szCs w:val="18"/>
              </w:rPr>
              <w:t xml:space="preserve">SR: $1,500 </w:t>
            </w:r>
          </w:p>
          <w:p w14:paraId="0919C1AD" w14:textId="77777777" w:rsidR="00D00674" w:rsidRPr="00B42AFD" w:rsidRDefault="00D00674">
            <w:pPr>
              <w:pStyle w:val="NoSpacing"/>
              <w:rPr>
                <w:sz w:val="18"/>
                <w:szCs w:val="18"/>
              </w:rPr>
            </w:pPr>
            <w:r w:rsidRPr="00B42AFD">
              <w:rPr>
                <w:sz w:val="18"/>
                <w:szCs w:val="18"/>
              </w:rPr>
              <w:t xml:space="preserve">IR: $3,500  </w:t>
            </w:r>
          </w:p>
        </w:tc>
        <w:tc>
          <w:tcPr>
            <w:tcW w:w="527" w:type="pct"/>
            <w:shd w:val="clear" w:color="auto" w:fill="F2F2F2" w:themeFill="background1" w:themeFillShade="F2"/>
            <w:vAlign w:val="center"/>
          </w:tcPr>
          <w:p w14:paraId="3C27D1C8" w14:textId="77777777" w:rsidR="00D00674" w:rsidRPr="00B42AFD" w:rsidRDefault="00D00674">
            <w:pPr>
              <w:pStyle w:val="NoSpacing"/>
              <w:rPr>
                <w:sz w:val="18"/>
                <w:szCs w:val="18"/>
              </w:rPr>
            </w:pPr>
            <w:r w:rsidRPr="00B42AFD">
              <w:rPr>
                <w:sz w:val="18"/>
                <w:szCs w:val="18"/>
              </w:rPr>
              <w:t xml:space="preserve">SR: $1,000 </w:t>
            </w:r>
          </w:p>
          <w:p w14:paraId="5EA7A784" w14:textId="77777777" w:rsidR="00D00674" w:rsidRPr="00B42AFD" w:rsidRDefault="00D00674">
            <w:pPr>
              <w:pStyle w:val="NoSpacing"/>
              <w:rPr>
                <w:sz w:val="18"/>
                <w:szCs w:val="18"/>
              </w:rPr>
            </w:pPr>
            <w:r w:rsidRPr="00B42AFD">
              <w:rPr>
                <w:sz w:val="18"/>
                <w:szCs w:val="18"/>
              </w:rPr>
              <w:t xml:space="preserve">IR: $3,500  </w:t>
            </w:r>
          </w:p>
        </w:tc>
        <w:tc>
          <w:tcPr>
            <w:tcW w:w="560" w:type="pct"/>
            <w:shd w:val="clear" w:color="auto" w:fill="F2F2F2" w:themeFill="background1" w:themeFillShade="F2"/>
            <w:vAlign w:val="center"/>
          </w:tcPr>
          <w:p w14:paraId="60D26631" w14:textId="77777777" w:rsidR="00D00674" w:rsidRPr="00B42AFD" w:rsidRDefault="00D00674">
            <w:pPr>
              <w:pStyle w:val="NoSpacing"/>
              <w:rPr>
                <w:sz w:val="18"/>
                <w:szCs w:val="18"/>
              </w:rPr>
            </w:pPr>
            <w:r w:rsidRPr="00B42AFD">
              <w:rPr>
                <w:sz w:val="18"/>
                <w:szCs w:val="18"/>
              </w:rPr>
              <w:t xml:space="preserve">SR: $1,000 </w:t>
            </w:r>
          </w:p>
          <w:p w14:paraId="02A74D95" w14:textId="77777777" w:rsidR="00D00674" w:rsidRPr="00B42AFD" w:rsidRDefault="00D00674">
            <w:pPr>
              <w:pStyle w:val="NoSpacing"/>
              <w:rPr>
                <w:sz w:val="18"/>
                <w:szCs w:val="18"/>
              </w:rPr>
            </w:pPr>
            <w:r w:rsidRPr="00B42AFD">
              <w:rPr>
                <w:sz w:val="18"/>
                <w:szCs w:val="18"/>
              </w:rPr>
              <w:t xml:space="preserve">IR: $6,500  </w:t>
            </w:r>
          </w:p>
        </w:tc>
      </w:tr>
      <w:tr w:rsidR="00D00674" w:rsidRPr="00230EDC" w14:paraId="532E2567" w14:textId="77777777">
        <w:trPr>
          <w:cnfStyle w:val="000000100000" w:firstRow="0" w:lastRow="0" w:firstColumn="0" w:lastColumn="0" w:oddVBand="0" w:evenVBand="0" w:oddHBand="1" w:evenHBand="0" w:firstRowFirstColumn="0" w:firstRowLastColumn="0" w:lastRowFirstColumn="0" w:lastRowLastColumn="0"/>
          <w:trHeight w:val="19"/>
        </w:trPr>
        <w:tc>
          <w:tcPr>
            <w:tcW w:w="667" w:type="pct"/>
          </w:tcPr>
          <w:p w14:paraId="33A6884E" w14:textId="77777777" w:rsidR="00D00674" w:rsidRPr="00734133" w:rsidRDefault="00D00674">
            <w:pPr>
              <w:pStyle w:val="NoSpacing"/>
              <w:rPr>
                <w:b/>
                <w:bCs/>
                <w:sz w:val="20"/>
                <w:szCs w:val="20"/>
              </w:rPr>
            </w:pPr>
            <w:r>
              <w:rPr>
                <w:b/>
                <w:bCs/>
                <w:sz w:val="20"/>
                <w:szCs w:val="20"/>
              </w:rPr>
              <w:t>FCEV</w:t>
            </w:r>
          </w:p>
        </w:tc>
        <w:tc>
          <w:tcPr>
            <w:tcW w:w="537" w:type="pct"/>
            <w:vAlign w:val="center"/>
          </w:tcPr>
          <w:p w14:paraId="16C7F686" w14:textId="77777777" w:rsidR="00D00674" w:rsidRPr="00B42AFD" w:rsidRDefault="00D00674">
            <w:pPr>
              <w:pStyle w:val="NoSpacing"/>
              <w:rPr>
                <w:sz w:val="18"/>
                <w:szCs w:val="18"/>
              </w:rPr>
            </w:pPr>
            <w:r w:rsidRPr="00B42AFD">
              <w:rPr>
                <w:sz w:val="18"/>
                <w:szCs w:val="18"/>
              </w:rPr>
              <w:t>$3,000</w:t>
            </w:r>
            <w:r w:rsidRPr="00B42AFD">
              <w:rPr>
                <w:sz w:val="18"/>
                <w:szCs w:val="18"/>
                <w:vertAlign w:val="superscript"/>
              </w:rPr>
              <w:t>§</w:t>
            </w:r>
            <w:r w:rsidRPr="00B42AFD">
              <w:rPr>
                <w:sz w:val="18"/>
                <w:szCs w:val="18"/>
              </w:rPr>
              <w:t>– $5,000</w:t>
            </w:r>
            <w:r w:rsidRPr="00B42AFD">
              <w:rPr>
                <w:sz w:val="18"/>
                <w:szCs w:val="18"/>
                <w:vertAlign w:val="superscript"/>
              </w:rPr>
              <w:t>‡</w:t>
            </w:r>
          </w:p>
        </w:tc>
        <w:tc>
          <w:tcPr>
            <w:tcW w:w="517" w:type="pct"/>
            <w:vAlign w:val="center"/>
          </w:tcPr>
          <w:p w14:paraId="10493286" w14:textId="77777777" w:rsidR="00D00674" w:rsidRPr="00B42AFD" w:rsidRDefault="00D00674">
            <w:pPr>
              <w:pStyle w:val="NoSpacing"/>
              <w:rPr>
                <w:sz w:val="18"/>
                <w:szCs w:val="18"/>
              </w:rPr>
            </w:pPr>
            <w:r w:rsidRPr="00B42AFD">
              <w:rPr>
                <w:sz w:val="18"/>
                <w:szCs w:val="18"/>
              </w:rPr>
              <w:t>$1,500</w:t>
            </w:r>
            <w:r w:rsidRPr="00B42AFD">
              <w:rPr>
                <w:sz w:val="18"/>
                <w:szCs w:val="18"/>
                <w:vertAlign w:val="superscript"/>
              </w:rPr>
              <w:t>§</w:t>
            </w:r>
            <w:r w:rsidRPr="00B42AFD">
              <w:rPr>
                <w:sz w:val="18"/>
                <w:szCs w:val="18"/>
              </w:rPr>
              <w:t>– $2,500</w:t>
            </w:r>
            <w:r w:rsidRPr="00B42AFD">
              <w:rPr>
                <w:sz w:val="18"/>
                <w:szCs w:val="18"/>
                <w:vertAlign w:val="superscript"/>
              </w:rPr>
              <w:t>‡</w:t>
            </w:r>
          </w:p>
        </w:tc>
        <w:tc>
          <w:tcPr>
            <w:tcW w:w="517" w:type="pct"/>
            <w:vAlign w:val="center"/>
          </w:tcPr>
          <w:p w14:paraId="6323E8DD" w14:textId="77777777" w:rsidR="00D00674" w:rsidRPr="00B42AFD" w:rsidRDefault="00D00674">
            <w:pPr>
              <w:pStyle w:val="NoSpacing"/>
              <w:rPr>
                <w:sz w:val="18"/>
                <w:szCs w:val="18"/>
              </w:rPr>
            </w:pPr>
            <w:r w:rsidRPr="00B42AFD">
              <w:rPr>
                <w:sz w:val="18"/>
                <w:szCs w:val="18"/>
              </w:rPr>
              <w:t>$2,500</w:t>
            </w:r>
          </w:p>
        </w:tc>
        <w:tc>
          <w:tcPr>
            <w:tcW w:w="516" w:type="pct"/>
            <w:vAlign w:val="center"/>
          </w:tcPr>
          <w:p w14:paraId="73A94A3D" w14:textId="77777777" w:rsidR="00D00674" w:rsidRPr="00B42AFD" w:rsidRDefault="00D00674">
            <w:pPr>
              <w:pStyle w:val="NoSpacing"/>
              <w:rPr>
                <w:sz w:val="18"/>
                <w:szCs w:val="18"/>
              </w:rPr>
            </w:pPr>
            <w:r w:rsidRPr="00B42AFD">
              <w:rPr>
                <w:sz w:val="18"/>
                <w:szCs w:val="18"/>
              </w:rPr>
              <w:t>$</w:t>
            </w:r>
            <w:r>
              <w:rPr>
                <w:sz w:val="18"/>
                <w:szCs w:val="18"/>
              </w:rPr>
              <w:t>5,000</w:t>
            </w:r>
          </w:p>
        </w:tc>
        <w:tc>
          <w:tcPr>
            <w:tcW w:w="632" w:type="pct"/>
            <w:vAlign w:val="center"/>
          </w:tcPr>
          <w:p w14:paraId="4091EBD7" w14:textId="77777777" w:rsidR="00D00674" w:rsidRPr="00B42AFD" w:rsidRDefault="00D00674">
            <w:pPr>
              <w:pStyle w:val="NoSpacing"/>
              <w:rPr>
                <w:sz w:val="18"/>
                <w:szCs w:val="18"/>
                <w:vertAlign w:val="superscript"/>
              </w:rPr>
            </w:pPr>
            <w:r w:rsidRPr="00B42AFD">
              <w:rPr>
                <w:sz w:val="18"/>
                <w:szCs w:val="18"/>
              </w:rPr>
              <w:t>SR: $</w:t>
            </w:r>
            <w:r>
              <w:rPr>
                <w:sz w:val="18"/>
                <w:szCs w:val="18"/>
              </w:rPr>
              <w:t>5,000</w:t>
            </w:r>
          </w:p>
          <w:p w14:paraId="39115D50" w14:textId="77777777" w:rsidR="00D00674" w:rsidRPr="00B42AFD" w:rsidRDefault="00D00674">
            <w:pPr>
              <w:pStyle w:val="NoSpacing"/>
              <w:rPr>
                <w:sz w:val="18"/>
                <w:szCs w:val="18"/>
              </w:rPr>
            </w:pPr>
            <w:r w:rsidRPr="00B42AFD">
              <w:rPr>
                <w:sz w:val="18"/>
                <w:szCs w:val="18"/>
              </w:rPr>
              <w:t>IR: $</w:t>
            </w:r>
            <w:r>
              <w:rPr>
                <w:sz w:val="18"/>
                <w:szCs w:val="18"/>
              </w:rPr>
              <w:t>6,500</w:t>
            </w:r>
            <w:r w:rsidRPr="00B42AFD">
              <w:rPr>
                <w:sz w:val="18"/>
                <w:szCs w:val="18"/>
              </w:rPr>
              <w:t xml:space="preserve"> </w:t>
            </w:r>
          </w:p>
        </w:tc>
        <w:tc>
          <w:tcPr>
            <w:tcW w:w="527" w:type="pct"/>
            <w:vAlign w:val="center"/>
          </w:tcPr>
          <w:p w14:paraId="6A35A778" w14:textId="77777777" w:rsidR="00D00674" w:rsidRPr="00B42AFD" w:rsidRDefault="00D00674">
            <w:pPr>
              <w:pStyle w:val="NoSpacing"/>
              <w:rPr>
                <w:sz w:val="18"/>
                <w:szCs w:val="18"/>
                <w:vertAlign w:val="superscript"/>
              </w:rPr>
            </w:pPr>
            <w:r w:rsidRPr="00B42AFD">
              <w:rPr>
                <w:sz w:val="18"/>
                <w:szCs w:val="18"/>
              </w:rPr>
              <w:t>SR: $</w:t>
            </w:r>
            <w:r>
              <w:rPr>
                <w:sz w:val="18"/>
                <w:szCs w:val="18"/>
              </w:rPr>
              <w:t>5,000</w:t>
            </w:r>
            <w:r w:rsidRPr="00B42AFD">
              <w:rPr>
                <w:sz w:val="18"/>
                <w:szCs w:val="18"/>
              </w:rPr>
              <w:t xml:space="preserve"> </w:t>
            </w:r>
          </w:p>
          <w:p w14:paraId="27668588" w14:textId="77777777" w:rsidR="00D00674" w:rsidRPr="00B42AFD" w:rsidRDefault="00D00674">
            <w:pPr>
              <w:pStyle w:val="NoSpacing"/>
              <w:rPr>
                <w:sz w:val="18"/>
                <w:szCs w:val="18"/>
              </w:rPr>
            </w:pPr>
            <w:r w:rsidRPr="00B42AFD">
              <w:rPr>
                <w:sz w:val="18"/>
                <w:szCs w:val="18"/>
              </w:rPr>
              <w:t>IR: $</w:t>
            </w:r>
            <w:r>
              <w:rPr>
                <w:sz w:val="18"/>
                <w:szCs w:val="18"/>
              </w:rPr>
              <w:t>7,000</w:t>
            </w:r>
            <w:r w:rsidRPr="00B42AFD">
              <w:rPr>
                <w:sz w:val="18"/>
                <w:szCs w:val="18"/>
              </w:rPr>
              <w:t xml:space="preserve"> </w:t>
            </w:r>
          </w:p>
        </w:tc>
        <w:tc>
          <w:tcPr>
            <w:tcW w:w="527" w:type="pct"/>
            <w:vAlign w:val="center"/>
          </w:tcPr>
          <w:p w14:paraId="231D6B34" w14:textId="77777777" w:rsidR="00D00674" w:rsidRPr="00B42AFD" w:rsidRDefault="00D00674">
            <w:pPr>
              <w:pStyle w:val="NoSpacing"/>
              <w:rPr>
                <w:sz w:val="18"/>
                <w:szCs w:val="18"/>
              </w:rPr>
            </w:pPr>
            <w:r w:rsidRPr="00B42AFD">
              <w:rPr>
                <w:sz w:val="18"/>
                <w:szCs w:val="18"/>
              </w:rPr>
              <w:t>SR: $</w:t>
            </w:r>
            <w:r>
              <w:rPr>
                <w:sz w:val="18"/>
                <w:szCs w:val="18"/>
              </w:rPr>
              <w:t>4,500</w:t>
            </w:r>
            <w:r w:rsidRPr="00B42AFD">
              <w:rPr>
                <w:sz w:val="18"/>
                <w:szCs w:val="18"/>
              </w:rPr>
              <w:t xml:space="preserve"> </w:t>
            </w:r>
          </w:p>
          <w:p w14:paraId="3AA67798" w14:textId="77777777" w:rsidR="00D00674" w:rsidRPr="00B42AFD" w:rsidRDefault="00D00674">
            <w:pPr>
              <w:pStyle w:val="NoSpacing"/>
              <w:rPr>
                <w:sz w:val="18"/>
                <w:szCs w:val="18"/>
              </w:rPr>
            </w:pPr>
            <w:r w:rsidRPr="00B42AFD">
              <w:rPr>
                <w:sz w:val="18"/>
                <w:szCs w:val="18"/>
              </w:rPr>
              <w:t>IR: $</w:t>
            </w:r>
            <w:r>
              <w:rPr>
                <w:sz w:val="18"/>
                <w:szCs w:val="18"/>
              </w:rPr>
              <w:t>7,000</w:t>
            </w:r>
            <w:r w:rsidRPr="00B42AFD">
              <w:rPr>
                <w:sz w:val="18"/>
                <w:szCs w:val="18"/>
              </w:rPr>
              <w:t xml:space="preserve">  </w:t>
            </w:r>
          </w:p>
        </w:tc>
        <w:tc>
          <w:tcPr>
            <w:tcW w:w="560" w:type="pct"/>
            <w:vAlign w:val="center"/>
          </w:tcPr>
          <w:p w14:paraId="1F46C38F" w14:textId="77777777" w:rsidR="00D00674" w:rsidRPr="00B42AFD" w:rsidRDefault="00D00674">
            <w:pPr>
              <w:pStyle w:val="NoSpacing"/>
              <w:rPr>
                <w:sz w:val="18"/>
                <w:szCs w:val="18"/>
              </w:rPr>
            </w:pPr>
            <w:r w:rsidRPr="00B42AFD">
              <w:rPr>
                <w:sz w:val="18"/>
                <w:szCs w:val="18"/>
              </w:rPr>
              <w:t>SR: $</w:t>
            </w:r>
            <w:r>
              <w:rPr>
                <w:sz w:val="18"/>
                <w:szCs w:val="18"/>
              </w:rPr>
              <w:t>4,500</w:t>
            </w:r>
          </w:p>
          <w:p w14:paraId="78C90768" w14:textId="77777777" w:rsidR="00D00674" w:rsidRPr="00B42AFD" w:rsidRDefault="00D00674">
            <w:pPr>
              <w:pStyle w:val="NoSpacing"/>
              <w:rPr>
                <w:sz w:val="18"/>
                <w:szCs w:val="18"/>
              </w:rPr>
            </w:pPr>
            <w:r w:rsidRPr="00B42AFD">
              <w:rPr>
                <w:sz w:val="18"/>
                <w:szCs w:val="18"/>
              </w:rPr>
              <w:t>IR: $</w:t>
            </w:r>
            <w:r>
              <w:rPr>
                <w:sz w:val="18"/>
                <w:szCs w:val="18"/>
              </w:rPr>
              <w:t>7,500</w:t>
            </w:r>
            <w:r w:rsidRPr="00B42AFD">
              <w:rPr>
                <w:sz w:val="18"/>
                <w:szCs w:val="18"/>
              </w:rPr>
              <w:t xml:space="preserve">  </w:t>
            </w:r>
          </w:p>
        </w:tc>
      </w:tr>
    </w:tbl>
    <w:p w14:paraId="2C5DCDBD" w14:textId="77777777" w:rsidR="00D00674" w:rsidRPr="00715661" w:rsidRDefault="00D00674" w:rsidP="00D00674">
      <w:pPr>
        <w:pStyle w:val="NoSpacing"/>
        <w:rPr>
          <w:sz w:val="18"/>
          <w:szCs w:val="18"/>
        </w:rPr>
      </w:pPr>
      <w:r w:rsidRPr="00715661">
        <w:rPr>
          <w:sz w:val="18"/>
          <w:szCs w:val="18"/>
        </w:rPr>
        <w:t>† Range-extended battery electric vehicles were given the BEV rebate amount.</w:t>
      </w:r>
    </w:p>
    <w:p w14:paraId="25AAA607" w14:textId="77777777" w:rsidR="00D00674" w:rsidRPr="00715661" w:rsidRDefault="00D00674" w:rsidP="00D00674">
      <w:pPr>
        <w:pStyle w:val="NoSpacing"/>
        <w:rPr>
          <w:sz w:val="18"/>
          <w:szCs w:val="18"/>
        </w:rPr>
      </w:pPr>
      <w:r w:rsidRPr="00715661">
        <w:rPr>
          <w:sz w:val="18"/>
          <w:szCs w:val="18"/>
        </w:rPr>
        <w:t>‡ Amounts varied by ZEV type. For definitions, see CCR 1962.1.</w:t>
      </w:r>
    </w:p>
    <w:p w14:paraId="1EB01045" w14:textId="77777777" w:rsidR="00D00674" w:rsidRPr="00715661" w:rsidRDefault="00D00674" w:rsidP="00D00674">
      <w:pPr>
        <w:pStyle w:val="NoSpacing"/>
        <w:rPr>
          <w:sz w:val="18"/>
          <w:szCs w:val="18"/>
        </w:rPr>
      </w:pPr>
      <w:r w:rsidRPr="00715661">
        <w:rPr>
          <w:sz w:val="18"/>
          <w:szCs w:val="18"/>
        </w:rPr>
        <w:t>* SR = Standard Rebate, IR = Increased Rebate</w:t>
      </w:r>
      <w:r>
        <w:rPr>
          <w:sz w:val="18"/>
          <w:szCs w:val="18"/>
        </w:rPr>
        <w:t>.</w:t>
      </w:r>
    </w:p>
    <w:p w14:paraId="636CE39B" w14:textId="77777777" w:rsidR="00D00674" w:rsidRDefault="00D00674" w:rsidP="00D00674">
      <w:pPr>
        <w:pStyle w:val="NoSpacing"/>
        <w:rPr>
          <w:sz w:val="18"/>
          <w:szCs w:val="18"/>
        </w:rPr>
      </w:pPr>
      <w:r w:rsidRPr="00715661">
        <w:rPr>
          <w:sz w:val="18"/>
          <w:szCs w:val="18"/>
        </w:rPr>
        <w:t>§ None distributed.</w:t>
      </w:r>
    </w:p>
    <w:p w14:paraId="11E3995A" w14:textId="0AB342E4" w:rsidR="00E63140" w:rsidRDefault="00E63140" w:rsidP="00B14087">
      <w:pPr>
        <w:pStyle w:val="SummaryofResults"/>
        <w:spacing w:before="120" w:after="240"/>
        <w:rPr>
          <w:bCs/>
          <w:sz w:val="18"/>
          <w:szCs w:val="18"/>
          <w:lang w:val="en-US"/>
        </w:rPr>
      </w:pPr>
      <w:r w:rsidRPr="004B3F1A">
        <w:rPr>
          <w:b/>
          <w:sz w:val="18"/>
          <w:szCs w:val="18"/>
          <w:lang w:val="en-US"/>
        </w:rPr>
        <w:t xml:space="preserve">Source: </w:t>
      </w:r>
      <w:r w:rsidR="00B40920" w:rsidRPr="00B40920">
        <w:rPr>
          <w:bCs/>
          <w:sz w:val="18"/>
          <w:szCs w:val="18"/>
          <w:lang w:val="en-US"/>
        </w:rPr>
        <w:t>Adapted from</w:t>
      </w:r>
      <w:r w:rsidR="00B40920">
        <w:rPr>
          <w:b/>
          <w:sz w:val="18"/>
          <w:szCs w:val="18"/>
          <w:lang w:val="en-US"/>
        </w:rPr>
        <w:t xml:space="preserve"> </w:t>
      </w:r>
      <w:r w:rsidR="008A5C59" w:rsidRPr="008A5C59">
        <w:rPr>
          <w:rFonts w:cs="Calibri"/>
          <w:bCs/>
          <w:sz w:val="18"/>
          <w:szCs w:val="18"/>
          <w:lang w:val="en-US"/>
        </w:rPr>
        <w:t>(CSE, 2021; B. D. H. Williams, 2025)</w:t>
      </w:r>
      <w:r w:rsidR="00623746" w:rsidRPr="008A5C59">
        <w:rPr>
          <w:bCs/>
          <w:sz w:val="18"/>
          <w:szCs w:val="18"/>
          <w:lang w:val="en-US"/>
        </w:rPr>
        <w:t>.</w:t>
      </w:r>
    </w:p>
    <w:p w14:paraId="27788FA6" w14:textId="77777777" w:rsidR="00B14087" w:rsidRPr="00623746" w:rsidRDefault="00B14087" w:rsidP="00B14087">
      <w:pPr>
        <w:pStyle w:val="SummaryofResults"/>
        <w:spacing w:before="120" w:after="240"/>
        <w:rPr>
          <w:bCs/>
          <w:sz w:val="18"/>
          <w:szCs w:val="18"/>
          <w:lang w:val="en-US"/>
        </w:rPr>
      </w:pPr>
    </w:p>
    <w:p w14:paraId="359BC522" w14:textId="74A4CDB1" w:rsidR="00481C5F" w:rsidRPr="00B90CFD" w:rsidRDefault="00481C5F" w:rsidP="00481C5F">
      <w:pPr>
        <w:pStyle w:val="TableFigureNumber0"/>
        <w:keepNext/>
        <w:rPr>
          <w:color w:val="0579BD"/>
        </w:rPr>
      </w:pPr>
      <w:bookmarkStart w:id="52" w:name="_Ref219042654"/>
      <w:r w:rsidRPr="00B90CFD">
        <w:rPr>
          <w:color w:val="0579BD"/>
        </w:rPr>
        <w:t xml:space="preserve">Figure </w:t>
      </w:r>
      <w:r w:rsidR="00641817" w:rsidRPr="00B90CFD">
        <w:rPr>
          <w:noProof/>
          <w:color w:val="0579BD"/>
        </w:rPr>
        <w:t>16</w:t>
      </w:r>
      <w:bookmarkEnd w:id="49"/>
      <w:bookmarkEnd w:id="52"/>
    </w:p>
    <w:p w14:paraId="7446821A" w14:textId="6CE55932" w:rsidR="00EE7744" w:rsidRDefault="00EE7744" w:rsidP="0066252F">
      <w:pPr>
        <w:pStyle w:val="TableFigureTitle"/>
        <w:keepNext/>
      </w:pPr>
      <w:r>
        <w:t>Average Rebate Amount Over Time</w:t>
      </w:r>
    </w:p>
    <w:p w14:paraId="55D3768F" w14:textId="5032A383" w:rsidR="004A13D0" w:rsidRDefault="00270CDF" w:rsidP="009527F6">
      <w:r>
        <w:rPr>
          <w:noProof/>
        </w:rPr>
        <w:drawing>
          <wp:inline distT="0" distB="0" distL="0" distR="0" wp14:anchorId="3744166C" wp14:editId="6320C256">
            <wp:extent cx="5139115" cy="3017520"/>
            <wp:effectExtent l="0" t="0" r="4445" b="0"/>
            <wp:docPr id="243195478" name="Picture 6" descr="Line chart displaying the average rebate amount by purchas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95478" name="Picture 6" descr="Line chart displaying the average rebate amount by purchase y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9115" cy="3017520"/>
                    </a:xfrm>
                    <a:prstGeom prst="rect">
                      <a:avLst/>
                    </a:prstGeom>
                    <a:noFill/>
                  </pic:spPr>
                </pic:pic>
              </a:graphicData>
            </a:graphic>
          </wp:inline>
        </w:drawing>
      </w:r>
    </w:p>
    <w:p w14:paraId="11179345" w14:textId="77777777" w:rsidR="00915500" w:rsidRDefault="00915500">
      <w:pPr>
        <w:spacing w:after="0" w:line="240" w:lineRule="auto"/>
        <w:rPr>
          <w:rFonts w:eastAsiaTheme="majorEastAsia" w:cs="Calibri"/>
          <w:caps/>
          <w:color w:val="0695E5" w:themeColor="accent3"/>
          <w:sz w:val="20"/>
          <w:szCs w:val="24"/>
          <w:bdr w:val="none" w:sz="0" w:space="0" w:color="auto"/>
        </w:rPr>
      </w:pPr>
      <w:bookmarkStart w:id="53" w:name="_Ref216036061"/>
      <w:r>
        <w:br w:type="page"/>
      </w:r>
    </w:p>
    <w:p w14:paraId="4DA405C3" w14:textId="18039DDD" w:rsidR="001B55CD" w:rsidRPr="00B90CFD" w:rsidRDefault="001B55CD" w:rsidP="00CA0A02">
      <w:pPr>
        <w:pStyle w:val="TableFigureNumber0"/>
        <w:keepNext/>
        <w:rPr>
          <w:color w:val="0579BD"/>
        </w:rPr>
      </w:pPr>
      <w:r w:rsidRPr="00B90CFD">
        <w:rPr>
          <w:color w:val="0579BD"/>
        </w:rPr>
        <w:lastRenderedPageBreak/>
        <w:t xml:space="preserve">Table </w:t>
      </w:r>
      <w:r w:rsidR="0023364B" w:rsidRPr="00B90CFD">
        <w:rPr>
          <w:noProof/>
          <w:color w:val="0579BD"/>
        </w:rPr>
        <w:t>9</w:t>
      </w:r>
      <w:bookmarkEnd w:id="53"/>
    </w:p>
    <w:p w14:paraId="4C74A19A" w14:textId="150A77D6" w:rsidR="00F310DB" w:rsidRDefault="00F310DB" w:rsidP="00CA0A02">
      <w:pPr>
        <w:pStyle w:val="TableFigureTitle"/>
        <w:keepNext/>
      </w:pPr>
      <w:r>
        <w:t>Program Design Over Time</w:t>
      </w:r>
    </w:p>
    <w:p w14:paraId="31687B1F" w14:textId="77777777" w:rsidR="00F310DB" w:rsidRDefault="00F310DB" w:rsidP="00CA0A02">
      <w:pPr>
        <w:pStyle w:val="TableFigureSubtitle"/>
        <w:keepNext/>
      </w:pPr>
      <w:r>
        <w:t>Personal (nonfleet) PHEVs and BEVs</w:t>
      </w:r>
    </w:p>
    <w:tbl>
      <w:tblPr>
        <w:tblW w:w="9352" w:type="dxa"/>
        <w:tblBorders>
          <w:top w:val="outset" w:sz="6" w:space="0" w:color="auto"/>
          <w:left w:val="outset" w:sz="6" w:space="0" w:color="auto"/>
          <w:bottom w:val="outset" w:sz="6" w:space="0" w:color="auto"/>
          <w:right w:val="outset" w:sz="6" w:space="0" w:color="auto"/>
        </w:tblBorders>
        <w:tblCellMar>
          <w:top w:w="15" w:type="dxa"/>
          <w:left w:w="29" w:type="dxa"/>
          <w:bottom w:w="15" w:type="dxa"/>
          <w:right w:w="29" w:type="dxa"/>
        </w:tblCellMar>
        <w:tblLook w:val="04A0" w:firstRow="1" w:lastRow="0" w:firstColumn="1" w:lastColumn="0" w:noHBand="0" w:noVBand="1"/>
      </w:tblPr>
      <w:tblGrid>
        <w:gridCol w:w="4492"/>
        <w:gridCol w:w="4860"/>
      </w:tblGrid>
      <w:tr w:rsidR="00733E0A" w:rsidRPr="003720B7" w14:paraId="562AC011" w14:textId="77777777" w:rsidTr="00B86C8B">
        <w:tc>
          <w:tcPr>
            <w:tcW w:w="4492" w:type="dxa"/>
            <w:tcBorders>
              <w:top w:val="single" w:sz="6" w:space="0" w:color="000000"/>
              <w:left w:val="single" w:sz="6" w:space="0" w:color="757575"/>
              <w:bottom w:val="single" w:sz="6" w:space="0" w:color="D1D1D1"/>
              <w:right w:val="single" w:sz="6" w:space="0" w:color="757575"/>
            </w:tcBorders>
            <w:shd w:val="clear" w:color="auto" w:fill="FFFFFF"/>
            <w:hideMark/>
          </w:tcPr>
          <w:p w14:paraId="2BF118FB" w14:textId="77777777" w:rsidR="00733E0A" w:rsidRPr="003720B7" w:rsidRDefault="00733E0A" w:rsidP="00E3693F">
            <w:pPr>
              <w:spacing w:after="120" w:line="240" w:lineRule="auto"/>
              <w:textAlignment w:val="baseline"/>
              <w:rPr>
                <w:rFonts w:ascii="Times New Roman" w:eastAsia="Times New Roman" w:hAnsi="Times New Roman" w:cs="Times New Roman"/>
                <w:color w:val="000000"/>
                <w:sz w:val="18"/>
                <w:szCs w:val="18"/>
              </w:rPr>
            </w:pPr>
            <w:r w:rsidRPr="003720B7">
              <w:rPr>
                <w:rFonts w:eastAsia="Times New Roman" w:cs="Calibri"/>
                <w:b/>
                <w:bCs/>
                <w:color w:val="005897"/>
                <w:position w:val="1"/>
                <w:sz w:val="20"/>
                <w:szCs w:val="20"/>
              </w:rPr>
              <w:t>Program Era 1 </w:t>
            </w:r>
            <w:r w:rsidRPr="003720B7">
              <w:rPr>
                <w:rFonts w:eastAsia="Times New Roman" w:cs="Calibri"/>
                <w:b/>
                <w:bCs/>
                <w:color w:val="005897"/>
                <w:position w:val="1"/>
                <w:sz w:val="18"/>
                <w:szCs w:val="18"/>
              </w:rPr>
              <w:t>(March 15, 2010 – March 28, 2016)</w:t>
            </w:r>
            <w:r w:rsidRPr="003720B7">
              <w:rPr>
                <w:rFonts w:eastAsia="Times New Roman" w:cs="Calibri"/>
                <w:color w:val="000000"/>
                <w:sz w:val="18"/>
                <w:szCs w:val="18"/>
              </w:rPr>
              <w:t>​</w:t>
            </w:r>
          </w:p>
          <w:p w14:paraId="5B5829C7" w14:textId="77777777" w:rsidR="00733E0A" w:rsidRPr="003720B7" w:rsidRDefault="00733E0A" w:rsidP="00D45566">
            <w:pPr>
              <w:spacing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Mar. 2010</w:t>
            </w:r>
            <w:r w:rsidRPr="003720B7">
              <w:rPr>
                <w:rFonts w:eastAsia="Times New Roman" w:cs="Calibri"/>
                <w:color w:val="000000"/>
                <w:sz w:val="18"/>
                <w:szCs w:val="18"/>
                <w:u w:val="single"/>
              </w:rPr>
              <w:t>​</w:t>
            </w:r>
          </w:p>
          <w:p w14:paraId="604793E7" w14:textId="77777777" w:rsidR="00733E0A" w:rsidRPr="003720B7" w:rsidRDefault="00733E0A" w:rsidP="0068203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Incentive stacking permitted</w:t>
            </w:r>
            <w:r w:rsidRPr="003720B7">
              <w:rPr>
                <w:rFonts w:eastAsia="Times New Roman" w:cs="Calibri"/>
                <w:color w:val="000000"/>
                <w:sz w:val="18"/>
                <w:szCs w:val="18"/>
              </w:rPr>
              <w:t>​</w:t>
            </w:r>
          </w:p>
          <w:p w14:paraId="3501F23D" w14:textId="77777777" w:rsidR="00733E0A" w:rsidRPr="003720B7" w:rsidRDefault="00733E0A" w:rsidP="0068203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36-month ownership requirement</w:t>
            </w:r>
            <w:r w:rsidRPr="003720B7">
              <w:rPr>
                <w:rFonts w:eastAsia="Times New Roman" w:cs="Calibri"/>
                <w:color w:val="000000"/>
                <w:sz w:val="18"/>
                <w:szCs w:val="18"/>
              </w:rPr>
              <w:t>​</w:t>
            </w:r>
          </w:p>
          <w:p w14:paraId="26B6E887" w14:textId="77777777" w:rsidR="00733E0A" w:rsidRPr="003720B7" w:rsidRDefault="00733E0A" w:rsidP="0068203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Rebates per year limit  = 20</w:t>
            </w:r>
            <w:r w:rsidRPr="003720B7">
              <w:rPr>
                <w:rFonts w:eastAsia="Times New Roman" w:cs="Calibri"/>
                <w:color w:val="000000"/>
                <w:sz w:val="18"/>
                <w:szCs w:val="18"/>
              </w:rPr>
              <w:t>​</w:t>
            </w:r>
          </w:p>
          <w:p w14:paraId="520338C4" w14:textId="77777777" w:rsidR="00733E0A" w:rsidRPr="003720B7" w:rsidRDefault="00733E0A" w:rsidP="00095119">
            <w:pPr>
              <w:spacing w:before="120"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Dec. 2013</w:t>
            </w:r>
            <w:r w:rsidRPr="003720B7">
              <w:rPr>
                <w:rFonts w:eastAsia="Times New Roman" w:cs="Calibri"/>
                <w:color w:val="000000"/>
                <w:sz w:val="18"/>
                <w:szCs w:val="18"/>
                <w:u w:val="single"/>
              </w:rPr>
              <w:t>​</w:t>
            </w:r>
          </w:p>
          <w:p w14:paraId="60A59A1B" w14:textId="77777777" w:rsidR="00733E0A" w:rsidRPr="003720B7" w:rsidRDefault="00733E0A" w:rsidP="0068203E">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Rebates per year limit = 2</w:t>
            </w:r>
            <w:r w:rsidRPr="003720B7">
              <w:rPr>
                <w:rFonts w:eastAsia="Times New Roman" w:cs="Calibri"/>
                <w:color w:val="000000"/>
                <w:sz w:val="18"/>
                <w:szCs w:val="18"/>
              </w:rPr>
              <w:t>​</w:t>
            </w:r>
          </w:p>
          <w:p w14:paraId="4C15F505" w14:textId="77777777" w:rsidR="00733E0A" w:rsidRPr="003720B7" w:rsidRDefault="00733E0A" w:rsidP="00095119">
            <w:pPr>
              <w:spacing w:before="120"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May 2014</w:t>
            </w:r>
            <w:r w:rsidRPr="003720B7">
              <w:rPr>
                <w:rFonts w:eastAsia="Times New Roman" w:cs="Calibri"/>
                <w:color w:val="000000"/>
                <w:sz w:val="18"/>
                <w:szCs w:val="18"/>
                <w:u w:val="single"/>
              </w:rPr>
              <w:t>​</w:t>
            </w:r>
          </w:p>
          <w:p w14:paraId="01659A49" w14:textId="77777777" w:rsidR="00733E0A" w:rsidRPr="003720B7" w:rsidRDefault="00733E0A" w:rsidP="0068203E">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18-month application window</w:t>
            </w:r>
            <w:r w:rsidRPr="003720B7">
              <w:rPr>
                <w:rFonts w:eastAsia="Times New Roman" w:cs="Calibri"/>
                <w:color w:val="000000"/>
                <w:sz w:val="18"/>
                <w:szCs w:val="18"/>
              </w:rPr>
              <w:t>​</w:t>
            </w:r>
          </w:p>
          <w:p w14:paraId="31DC915A" w14:textId="77777777" w:rsidR="00733E0A" w:rsidRPr="003720B7" w:rsidRDefault="00733E0A" w:rsidP="00915500">
            <w:pPr>
              <w:spacing w:before="120" w:after="0" w:line="240" w:lineRule="auto"/>
              <w:textAlignment w:val="baseline"/>
              <w:rPr>
                <w:rFonts w:ascii="Times New Roman" w:eastAsia="Times New Roman" w:hAnsi="Times New Roman" w:cs="Times New Roman"/>
                <w:color w:val="000000"/>
                <w:sz w:val="18"/>
                <w:szCs w:val="18"/>
              </w:rPr>
            </w:pPr>
            <w:r w:rsidRPr="003720B7">
              <w:rPr>
                <w:rFonts w:eastAsia="Times New Roman" w:cs="Calibri"/>
                <w:b/>
                <w:bCs/>
                <w:color w:val="000000"/>
                <w:position w:val="1"/>
                <w:sz w:val="18"/>
                <w:szCs w:val="18"/>
                <w:u w:val="single"/>
              </w:rPr>
              <w:t>as of </w:t>
            </w:r>
            <w:proofErr w:type="gramStart"/>
            <w:r w:rsidRPr="003720B7">
              <w:rPr>
                <w:rFonts w:eastAsia="Times New Roman" w:cs="Calibri"/>
                <w:b/>
                <w:bCs/>
                <w:color w:val="000000"/>
                <w:position w:val="1"/>
                <w:sz w:val="18"/>
                <w:szCs w:val="18"/>
                <w:u w:val="single"/>
              </w:rPr>
              <w:t>Dec. 2014</w:t>
            </w:r>
            <w:proofErr w:type="gramEnd"/>
            <w:r w:rsidRPr="003720B7">
              <w:rPr>
                <w:rFonts w:eastAsia="Times New Roman" w:cs="Calibri"/>
                <w:b/>
                <w:bCs/>
                <w:color w:val="000000"/>
                <w:position w:val="1"/>
                <w:sz w:val="18"/>
                <w:szCs w:val="18"/>
                <w:u w:val="single"/>
              </w:rPr>
              <w:t> / Jan. 2015</w:t>
            </w:r>
            <w:r w:rsidRPr="003720B7">
              <w:rPr>
                <w:rFonts w:eastAsia="Times New Roman" w:cs="Calibri"/>
                <w:color w:val="000000"/>
                <w:sz w:val="18"/>
                <w:szCs w:val="18"/>
              </w:rPr>
              <w:t>​</w:t>
            </w:r>
          </w:p>
          <w:p w14:paraId="75C0F153" w14:textId="77777777" w:rsidR="00733E0A" w:rsidRPr="003720B7" w:rsidRDefault="00733E0A" w:rsidP="0068203E">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30-month ownership requirement (retroactive)</w:t>
            </w:r>
            <w:r w:rsidRPr="003720B7">
              <w:rPr>
                <w:rFonts w:eastAsia="Times New Roman" w:cs="Calibri"/>
                <w:color w:val="000000"/>
                <w:sz w:val="18"/>
                <w:szCs w:val="18"/>
              </w:rPr>
              <w:t>​</w:t>
            </w:r>
          </w:p>
          <w:p w14:paraId="05F6FB5F" w14:textId="77777777" w:rsidR="00733E0A" w:rsidRPr="003720B7" w:rsidRDefault="00733E0A" w:rsidP="0068203E">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Total rebate limit = 2</w:t>
            </w:r>
            <w:r w:rsidRPr="003720B7">
              <w:rPr>
                <w:rFonts w:eastAsia="Times New Roman" w:cs="Calibri"/>
                <w:color w:val="000000"/>
                <w:sz w:val="18"/>
                <w:szCs w:val="18"/>
              </w:rPr>
              <w:t>​</w:t>
            </w:r>
          </w:p>
        </w:tc>
        <w:tc>
          <w:tcPr>
            <w:tcW w:w="4860" w:type="dxa"/>
            <w:vMerge w:val="restart"/>
            <w:tcBorders>
              <w:top w:val="single" w:sz="6" w:space="0" w:color="000000"/>
              <w:left w:val="single" w:sz="6" w:space="0" w:color="757575"/>
              <w:bottom w:val="single" w:sz="6" w:space="0" w:color="D1D1D1"/>
              <w:right w:val="single" w:sz="6" w:space="0" w:color="757575"/>
            </w:tcBorders>
            <w:shd w:val="clear" w:color="auto" w:fill="FFFFFF"/>
            <w:hideMark/>
          </w:tcPr>
          <w:p w14:paraId="6F163144" w14:textId="77777777" w:rsidR="00733E0A" w:rsidRPr="003720B7" w:rsidRDefault="00733E0A" w:rsidP="00E3693F">
            <w:pPr>
              <w:spacing w:after="120" w:line="240" w:lineRule="auto"/>
              <w:textAlignment w:val="baseline"/>
              <w:rPr>
                <w:rFonts w:ascii="Times New Roman" w:eastAsia="Times New Roman" w:hAnsi="Times New Roman" w:cs="Times New Roman"/>
                <w:color w:val="000000"/>
                <w:sz w:val="18"/>
                <w:szCs w:val="18"/>
              </w:rPr>
            </w:pPr>
            <w:r w:rsidRPr="003720B7">
              <w:rPr>
                <w:rFonts w:eastAsia="Times New Roman" w:cs="Calibri"/>
                <w:b/>
                <w:bCs/>
                <w:color w:val="005897"/>
                <w:position w:val="1"/>
                <w:sz w:val="20"/>
                <w:szCs w:val="20"/>
              </w:rPr>
              <w:t>Program Era 4 </w:t>
            </w:r>
            <w:r w:rsidRPr="003720B7">
              <w:rPr>
                <w:rFonts w:eastAsia="Times New Roman" w:cs="Calibri"/>
                <w:b/>
                <w:bCs/>
                <w:color w:val="005897"/>
                <w:position w:val="1"/>
                <w:sz w:val="18"/>
                <w:szCs w:val="18"/>
              </w:rPr>
              <w:t>(December 3, 2019 – February 23, 2022)</w:t>
            </w:r>
            <w:r w:rsidRPr="003720B7">
              <w:rPr>
                <w:rFonts w:eastAsia="Times New Roman" w:cs="Calibri"/>
                <w:color w:val="000000"/>
                <w:sz w:val="18"/>
                <w:szCs w:val="18"/>
              </w:rPr>
              <w:t>​</w:t>
            </w:r>
          </w:p>
          <w:p w14:paraId="416D0207" w14:textId="77777777" w:rsidR="00733E0A" w:rsidRPr="003720B7" w:rsidRDefault="00733E0A" w:rsidP="00D45566">
            <w:pPr>
              <w:spacing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Dec. 2019</w:t>
            </w:r>
            <w:r w:rsidRPr="003720B7">
              <w:rPr>
                <w:rFonts w:eastAsia="Times New Roman" w:cs="Calibri"/>
                <w:color w:val="000000"/>
                <w:sz w:val="18"/>
                <w:szCs w:val="18"/>
                <w:u w:val="single"/>
              </w:rPr>
              <w:t>​</w:t>
            </w:r>
          </w:p>
          <w:p w14:paraId="0DF397FE" w14:textId="77777777" w:rsidR="00733E0A" w:rsidRPr="003720B7" w:rsidRDefault="00733E0A" w:rsidP="0068203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Total rebates limit = 1</w:t>
            </w:r>
            <w:r w:rsidRPr="003720B7">
              <w:rPr>
                <w:rFonts w:eastAsia="Times New Roman" w:cs="Calibri"/>
                <w:color w:val="000000"/>
                <w:sz w:val="18"/>
                <w:szCs w:val="18"/>
                <w:vertAlign w:val="superscript"/>
              </w:rPr>
              <w:t> §</w:t>
            </w:r>
            <w:r w:rsidRPr="003720B7">
              <w:rPr>
                <w:rFonts w:eastAsia="Times New Roman" w:cs="Calibri"/>
                <w:color w:val="000000"/>
                <w:sz w:val="18"/>
                <w:szCs w:val="18"/>
              </w:rPr>
              <w:t>​</w:t>
            </w:r>
          </w:p>
          <w:p w14:paraId="551AAFC2" w14:textId="77777777" w:rsidR="00733E0A" w:rsidRPr="003720B7" w:rsidRDefault="00733E0A" w:rsidP="0068203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Base MSRP ≤ $60k (PEVs)</w:t>
            </w:r>
            <w:r w:rsidRPr="003720B7">
              <w:rPr>
                <w:rFonts w:eastAsia="Times New Roman" w:cs="Calibri"/>
                <w:color w:val="000000"/>
                <w:sz w:val="18"/>
                <w:szCs w:val="18"/>
              </w:rPr>
              <w:t>​</w:t>
            </w:r>
          </w:p>
          <w:p w14:paraId="7BD58010" w14:textId="77777777" w:rsidR="00733E0A" w:rsidRPr="003720B7" w:rsidRDefault="00733E0A" w:rsidP="0068203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3-month application window </w:t>
            </w:r>
            <w:r w:rsidRPr="003720B7">
              <w:rPr>
                <w:rFonts w:eastAsia="Times New Roman" w:cs="Calibri"/>
                <w:color w:val="000000"/>
                <w:sz w:val="18"/>
                <w:szCs w:val="18"/>
                <w:vertAlign w:val="superscript"/>
              </w:rPr>
              <w:t>‡</w:t>
            </w:r>
            <w:r w:rsidRPr="003720B7">
              <w:rPr>
                <w:rFonts w:eastAsia="Times New Roman" w:cs="Calibri"/>
                <w:color w:val="000000"/>
                <w:sz w:val="18"/>
                <w:szCs w:val="18"/>
              </w:rPr>
              <w:t>​</w:t>
            </w:r>
          </w:p>
          <w:p w14:paraId="489ED6CE" w14:textId="77777777" w:rsidR="00733E0A" w:rsidRPr="003720B7" w:rsidRDefault="00733E0A" w:rsidP="0068203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 35 UDDS electric miles</w:t>
            </w:r>
            <w:r w:rsidRPr="003720B7">
              <w:rPr>
                <w:rFonts w:eastAsia="Times New Roman" w:cs="Calibri"/>
                <w:color w:val="000000"/>
                <w:sz w:val="18"/>
                <w:szCs w:val="18"/>
              </w:rPr>
              <w:t>​</w:t>
            </w:r>
          </w:p>
          <w:p w14:paraId="10A37362" w14:textId="77777777" w:rsidR="00733E0A" w:rsidRPr="003720B7" w:rsidRDefault="00733E0A" w:rsidP="0068203E">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hanging="360"/>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+$2,500</w:t>
            </w:r>
            <w:r w:rsidRPr="003720B7">
              <w:rPr>
                <w:rFonts w:eastAsia="Times New Roman" w:cs="Calibri"/>
                <w:color w:val="000000"/>
                <w:sz w:val="18"/>
                <w:szCs w:val="18"/>
                <w:vertAlign w:val="superscript"/>
              </w:rPr>
              <w:t> †</w:t>
            </w:r>
            <w:r w:rsidRPr="003720B7">
              <w:rPr>
                <w:rFonts w:eastAsia="Times New Roman" w:cs="Calibri"/>
                <w:color w:val="000000"/>
                <w:position w:val="1"/>
                <w:sz w:val="18"/>
                <w:szCs w:val="18"/>
              </w:rPr>
              <w:t> for income-qualified households (≤ 300% FPL), excl. ZEMs</w:t>
            </w:r>
            <w:r w:rsidRPr="003720B7">
              <w:rPr>
                <w:rFonts w:eastAsia="Times New Roman" w:cs="Calibri"/>
                <w:color w:val="000000"/>
                <w:sz w:val="18"/>
                <w:szCs w:val="18"/>
              </w:rPr>
              <w:t>​</w:t>
            </w:r>
          </w:p>
          <w:p w14:paraId="698E2235" w14:textId="77777777" w:rsidR="00733E0A" w:rsidRPr="003720B7" w:rsidRDefault="00733E0A" w:rsidP="00915500">
            <w:pPr>
              <w:spacing w:before="120"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Apr. 2020</w:t>
            </w:r>
            <w:r w:rsidRPr="003720B7">
              <w:rPr>
                <w:rFonts w:eastAsia="Times New Roman" w:cs="Calibri"/>
                <w:color w:val="000000"/>
                <w:sz w:val="18"/>
                <w:szCs w:val="18"/>
                <w:u w:val="single"/>
              </w:rPr>
              <w:t>​</w:t>
            </w:r>
          </w:p>
          <w:p w14:paraId="0CC34085" w14:textId="77777777" w:rsidR="00733E0A" w:rsidRPr="003720B7" w:rsidRDefault="00733E0A" w:rsidP="0068203E">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Stacking with CVAP grant permitted</w:t>
            </w:r>
            <w:r w:rsidRPr="003720B7">
              <w:rPr>
                <w:rFonts w:eastAsia="Times New Roman" w:cs="Calibri"/>
                <w:color w:val="000000"/>
                <w:sz w:val="18"/>
                <w:szCs w:val="18"/>
              </w:rPr>
              <w:t>​</w:t>
            </w:r>
          </w:p>
          <w:p w14:paraId="398EEC0F" w14:textId="77777777" w:rsidR="00733E0A" w:rsidRPr="003720B7" w:rsidRDefault="00733E0A" w:rsidP="00915500">
            <w:pPr>
              <w:spacing w:before="120"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Jan. 2021</w:t>
            </w:r>
            <w:r w:rsidRPr="003720B7">
              <w:rPr>
                <w:rFonts w:eastAsia="Times New Roman" w:cs="Calibri"/>
                <w:color w:val="000000"/>
                <w:sz w:val="18"/>
                <w:szCs w:val="18"/>
                <w:u w:val="single"/>
              </w:rPr>
              <w:t>​</w:t>
            </w:r>
          </w:p>
          <w:p w14:paraId="3B02C8B3" w14:textId="77777777" w:rsidR="00733E0A" w:rsidRPr="003720B7" w:rsidRDefault="00733E0A" w:rsidP="0068203E">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+$2,500 for income-qualified households, ≤ 400% FPL, excl. ZEMs</w:t>
            </w:r>
            <w:r w:rsidRPr="003720B7">
              <w:rPr>
                <w:rFonts w:eastAsia="Times New Roman" w:cs="Calibri"/>
                <w:color w:val="000000"/>
                <w:sz w:val="18"/>
                <w:szCs w:val="18"/>
              </w:rPr>
              <w:t>​</w:t>
            </w:r>
          </w:p>
          <w:p w14:paraId="74DA5F47" w14:textId="77777777" w:rsidR="00733E0A" w:rsidRPr="003720B7" w:rsidRDefault="00733E0A" w:rsidP="00915500">
            <w:pPr>
              <w:spacing w:before="120"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Apr. 2021</w:t>
            </w:r>
            <w:r w:rsidRPr="003720B7">
              <w:rPr>
                <w:rFonts w:eastAsia="Times New Roman" w:cs="Calibri"/>
                <w:color w:val="000000"/>
                <w:sz w:val="18"/>
                <w:szCs w:val="18"/>
                <w:u w:val="single"/>
              </w:rPr>
              <w:t>​</w:t>
            </w:r>
          </w:p>
          <w:p w14:paraId="78862857" w14:textId="77777777" w:rsidR="00733E0A" w:rsidRPr="003720B7" w:rsidRDefault="00733E0A" w:rsidP="0068203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 30 U.S. EPA electric miles (45 UDDS)</w:t>
            </w:r>
            <w:r w:rsidRPr="003720B7">
              <w:rPr>
                <w:rFonts w:eastAsia="Times New Roman" w:cs="Calibri"/>
                <w:color w:val="000000"/>
                <w:sz w:val="18"/>
                <w:szCs w:val="18"/>
              </w:rPr>
              <w:t>​</w:t>
            </w:r>
          </w:p>
          <w:p w14:paraId="4DC6940E" w14:textId="77777777" w:rsidR="00733E0A" w:rsidRPr="003720B7" w:rsidRDefault="00733E0A" w:rsidP="0068203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hanging="360"/>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Rebate Now preapproval option limited to income-qualified households, expanded from San Diego to include San Joaquin Valley</w:t>
            </w:r>
            <w:r w:rsidRPr="003720B7">
              <w:rPr>
                <w:rFonts w:eastAsia="Times New Roman" w:cs="Calibri"/>
                <w:color w:val="000000"/>
                <w:sz w:val="18"/>
                <w:szCs w:val="18"/>
              </w:rPr>
              <w:t>​</w:t>
            </w:r>
          </w:p>
        </w:tc>
      </w:tr>
      <w:tr w:rsidR="00733E0A" w:rsidRPr="003720B7" w14:paraId="57A4083C" w14:textId="77777777" w:rsidTr="00B86C8B">
        <w:trPr>
          <w:trHeight w:val="602"/>
        </w:trPr>
        <w:tc>
          <w:tcPr>
            <w:tcW w:w="4492" w:type="dxa"/>
            <w:vMerge w:val="restart"/>
            <w:tcBorders>
              <w:top w:val="single" w:sz="6" w:space="0" w:color="D1D1D1"/>
              <w:left w:val="single" w:sz="6" w:space="0" w:color="757575"/>
              <w:bottom w:val="single" w:sz="6" w:space="0" w:color="D1D1D1"/>
              <w:right w:val="single" w:sz="6" w:space="0" w:color="757575"/>
            </w:tcBorders>
            <w:shd w:val="clear" w:color="auto" w:fill="FFFFFF"/>
            <w:hideMark/>
          </w:tcPr>
          <w:p w14:paraId="411723FE" w14:textId="77777777" w:rsidR="00733E0A" w:rsidRPr="003720B7" w:rsidRDefault="00733E0A" w:rsidP="00E3693F">
            <w:pPr>
              <w:spacing w:after="120" w:line="240" w:lineRule="auto"/>
              <w:textAlignment w:val="baseline"/>
              <w:rPr>
                <w:rFonts w:ascii="Times New Roman" w:eastAsia="Times New Roman" w:hAnsi="Times New Roman" w:cs="Times New Roman"/>
                <w:color w:val="000000"/>
                <w:sz w:val="18"/>
                <w:szCs w:val="18"/>
              </w:rPr>
            </w:pPr>
            <w:r w:rsidRPr="003720B7">
              <w:rPr>
                <w:rFonts w:eastAsia="Times New Roman" w:cs="Calibri"/>
                <w:b/>
                <w:bCs/>
                <w:color w:val="005897"/>
                <w:position w:val="1"/>
                <w:sz w:val="20"/>
                <w:szCs w:val="20"/>
              </w:rPr>
              <w:t>Program Era 2 </w:t>
            </w:r>
            <w:r w:rsidRPr="003720B7">
              <w:rPr>
                <w:rFonts w:eastAsia="Times New Roman" w:cs="Calibri"/>
                <w:b/>
                <w:bCs/>
                <w:color w:val="005897"/>
                <w:position w:val="1"/>
                <w:sz w:val="18"/>
                <w:szCs w:val="18"/>
              </w:rPr>
              <w:t>(March 29, 2016 – October 31, 2016)</w:t>
            </w:r>
            <w:r w:rsidRPr="003720B7">
              <w:rPr>
                <w:rFonts w:eastAsia="Times New Roman" w:cs="Calibri"/>
                <w:color w:val="000000"/>
                <w:sz w:val="18"/>
                <w:szCs w:val="18"/>
              </w:rPr>
              <w:t>​</w:t>
            </w:r>
          </w:p>
          <w:p w14:paraId="2FCC9C9E" w14:textId="77777777" w:rsidR="00733E0A" w:rsidRPr="003720B7" w:rsidRDefault="00733E0A" w:rsidP="00D45566">
            <w:pPr>
              <w:spacing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Mar. 2016</w:t>
            </w:r>
            <w:r w:rsidRPr="003720B7">
              <w:rPr>
                <w:rFonts w:eastAsia="Times New Roman" w:cs="Calibri"/>
                <w:color w:val="000000"/>
                <w:sz w:val="18"/>
                <w:szCs w:val="18"/>
                <w:u w:val="single"/>
              </w:rPr>
              <w:t>​</w:t>
            </w:r>
          </w:p>
          <w:p w14:paraId="57A12EF7" w14:textId="77777777" w:rsidR="00733E0A" w:rsidRPr="003720B7" w:rsidRDefault="00733E0A" w:rsidP="0068203E">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$250k–$500k income cap (PEVs)</w:t>
            </w:r>
            <w:r w:rsidRPr="003720B7">
              <w:rPr>
                <w:rFonts w:eastAsia="Times New Roman" w:cs="Calibri"/>
                <w:color w:val="000000"/>
                <w:sz w:val="18"/>
                <w:szCs w:val="18"/>
              </w:rPr>
              <w:t>​</w:t>
            </w:r>
          </w:p>
          <w:p w14:paraId="5D93A434" w14:textId="77777777" w:rsidR="00733E0A" w:rsidRPr="003720B7" w:rsidRDefault="00733E0A" w:rsidP="0068203E">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hanging="360"/>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+$1,500 for income-qualified households (≤ 300% FPL), excluding ZEMs</w:t>
            </w:r>
            <w:r w:rsidRPr="003720B7">
              <w:rPr>
                <w:rFonts w:eastAsia="Times New Roman" w:cs="Calibri"/>
                <w:color w:val="000000"/>
                <w:sz w:val="18"/>
                <w:szCs w:val="18"/>
              </w:rPr>
              <w:t>​</w:t>
            </w:r>
          </w:p>
        </w:tc>
        <w:tc>
          <w:tcPr>
            <w:tcW w:w="4860" w:type="dxa"/>
            <w:vMerge/>
            <w:tcBorders>
              <w:top w:val="single" w:sz="6" w:space="0" w:color="000000"/>
              <w:left w:val="single" w:sz="6" w:space="0" w:color="757575"/>
              <w:bottom w:val="single" w:sz="6" w:space="0" w:color="D1D1D1"/>
              <w:right w:val="single" w:sz="6" w:space="0" w:color="757575"/>
            </w:tcBorders>
            <w:vAlign w:val="center"/>
            <w:hideMark/>
          </w:tcPr>
          <w:p w14:paraId="040F3D01" w14:textId="77777777" w:rsidR="00733E0A" w:rsidRPr="003720B7" w:rsidRDefault="00733E0A">
            <w:pPr>
              <w:spacing w:line="240" w:lineRule="auto"/>
              <w:rPr>
                <w:rFonts w:ascii="Arial" w:eastAsia="Times New Roman" w:hAnsi="Arial" w:cs="Arial"/>
                <w:color w:val="000000"/>
                <w:sz w:val="18"/>
                <w:szCs w:val="18"/>
              </w:rPr>
            </w:pPr>
          </w:p>
        </w:tc>
      </w:tr>
      <w:tr w:rsidR="00733E0A" w:rsidRPr="003720B7" w14:paraId="594655C9" w14:textId="77777777" w:rsidTr="00B86C8B">
        <w:trPr>
          <w:trHeight w:val="509"/>
        </w:trPr>
        <w:tc>
          <w:tcPr>
            <w:tcW w:w="4492" w:type="dxa"/>
            <w:vMerge/>
            <w:tcBorders>
              <w:top w:val="single" w:sz="6" w:space="0" w:color="D1D1D1"/>
              <w:left w:val="single" w:sz="6" w:space="0" w:color="757575"/>
              <w:bottom w:val="single" w:sz="6" w:space="0" w:color="D1D1D1"/>
              <w:right w:val="single" w:sz="6" w:space="0" w:color="757575"/>
            </w:tcBorders>
            <w:vAlign w:val="center"/>
            <w:hideMark/>
          </w:tcPr>
          <w:p w14:paraId="4ADCBA77" w14:textId="77777777" w:rsidR="00733E0A" w:rsidRPr="003720B7" w:rsidRDefault="00733E0A">
            <w:pPr>
              <w:spacing w:line="240" w:lineRule="auto"/>
              <w:rPr>
                <w:rFonts w:ascii="Arial" w:eastAsia="Times New Roman" w:hAnsi="Arial" w:cs="Arial"/>
                <w:color w:val="000000"/>
                <w:sz w:val="18"/>
                <w:szCs w:val="18"/>
              </w:rPr>
            </w:pPr>
          </w:p>
        </w:tc>
        <w:tc>
          <w:tcPr>
            <w:tcW w:w="4860" w:type="dxa"/>
            <w:vMerge w:val="restart"/>
            <w:tcBorders>
              <w:top w:val="single" w:sz="6" w:space="0" w:color="D1D1D1"/>
              <w:left w:val="single" w:sz="6" w:space="0" w:color="757575"/>
              <w:bottom w:val="single" w:sz="6" w:space="0" w:color="000000"/>
              <w:right w:val="single" w:sz="6" w:space="0" w:color="757575"/>
            </w:tcBorders>
            <w:shd w:val="clear" w:color="auto" w:fill="FFFFFF"/>
            <w:hideMark/>
          </w:tcPr>
          <w:p w14:paraId="10EA4AD0" w14:textId="77777777" w:rsidR="00733E0A" w:rsidRPr="003720B7" w:rsidRDefault="00733E0A" w:rsidP="00E3693F">
            <w:pPr>
              <w:spacing w:after="120" w:line="240" w:lineRule="auto"/>
              <w:textAlignment w:val="baseline"/>
              <w:rPr>
                <w:rFonts w:ascii="Times New Roman" w:eastAsia="Times New Roman" w:hAnsi="Times New Roman" w:cs="Times New Roman"/>
                <w:color w:val="000000"/>
                <w:sz w:val="18"/>
                <w:szCs w:val="18"/>
              </w:rPr>
            </w:pPr>
            <w:r w:rsidRPr="003720B7">
              <w:rPr>
                <w:rFonts w:eastAsia="Times New Roman" w:cs="Calibri"/>
                <w:b/>
                <w:bCs/>
                <w:color w:val="005897"/>
                <w:position w:val="1"/>
                <w:sz w:val="20"/>
                <w:szCs w:val="20"/>
              </w:rPr>
              <w:t>Program Era 5 </w:t>
            </w:r>
            <w:r w:rsidRPr="003720B7">
              <w:rPr>
                <w:rFonts w:eastAsia="Times New Roman" w:cs="Calibri"/>
                <w:b/>
                <w:bCs/>
                <w:color w:val="005897"/>
                <w:position w:val="1"/>
                <w:sz w:val="18"/>
                <w:szCs w:val="18"/>
              </w:rPr>
              <w:t>(February 24, 2022 – Program Close)</w:t>
            </w:r>
            <w:r w:rsidRPr="003720B7">
              <w:rPr>
                <w:rFonts w:eastAsia="Times New Roman" w:cs="Calibri"/>
                <w:color w:val="000000"/>
                <w:sz w:val="18"/>
                <w:szCs w:val="18"/>
              </w:rPr>
              <w:t>​</w:t>
            </w:r>
          </w:p>
          <w:p w14:paraId="0744D067" w14:textId="77777777" w:rsidR="00733E0A" w:rsidRPr="003720B7" w:rsidRDefault="00733E0A" w:rsidP="009A754F">
            <w:pPr>
              <w:spacing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Feb. 2022</w:t>
            </w:r>
            <w:r w:rsidRPr="003720B7">
              <w:rPr>
                <w:rFonts w:eastAsia="Times New Roman" w:cs="Calibri"/>
                <w:color w:val="000000"/>
                <w:sz w:val="18"/>
                <w:szCs w:val="18"/>
                <w:u w:val="single"/>
              </w:rPr>
              <w:t>​</w:t>
            </w:r>
          </w:p>
          <w:p w14:paraId="75FBB3CA" w14:textId="77777777" w:rsidR="00733E0A" w:rsidRPr="003720B7" w:rsidRDefault="00733E0A" w:rsidP="0068203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Base MSRP: ≤ $60k for Large Vehicles*,  ≤ $45k for Cars*</w:t>
            </w:r>
            <w:r w:rsidRPr="003720B7">
              <w:rPr>
                <w:rFonts w:eastAsia="Times New Roman" w:cs="Calibri"/>
                <w:color w:val="000000"/>
                <w:sz w:val="18"/>
                <w:szCs w:val="18"/>
              </w:rPr>
              <w:t>​</w:t>
            </w:r>
          </w:p>
          <w:p w14:paraId="542D4B4F" w14:textId="77777777" w:rsidR="00733E0A" w:rsidRPr="003720B7" w:rsidRDefault="00733E0A" w:rsidP="0068203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$135k–$200k income cap (PEVs)</w:t>
            </w:r>
            <w:r w:rsidRPr="003720B7">
              <w:rPr>
                <w:rFonts w:eastAsia="Times New Roman" w:cs="Calibri"/>
                <w:color w:val="000000"/>
                <w:sz w:val="18"/>
                <w:szCs w:val="18"/>
              </w:rPr>
              <w:t>​</w:t>
            </w:r>
          </w:p>
          <w:p w14:paraId="68AF0A83" w14:textId="77777777" w:rsidR="00733E0A" w:rsidRPr="003720B7" w:rsidRDefault="00733E0A" w:rsidP="0068203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hanging="360"/>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$135k–$200k income cap on stacking HOV decal (only binding on FCEVs)</w:t>
            </w:r>
            <w:r w:rsidRPr="003720B7">
              <w:rPr>
                <w:rFonts w:eastAsia="Times New Roman" w:cs="Calibri"/>
                <w:color w:val="000000"/>
                <w:sz w:val="18"/>
                <w:szCs w:val="18"/>
              </w:rPr>
              <w:t>​</w:t>
            </w:r>
          </w:p>
          <w:p w14:paraId="1E332440" w14:textId="77777777" w:rsidR="00733E0A" w:rsidRPr="003720B7" w:rsidRDefault="00733E0A" w:rsidP="00915500">
            <w:pPr>
              <w:spacing w:before="120"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Jul. 2022</w:t>
            </w:r>
            <w:r w:rsidRPr="003720B7">
              <w:rPr>
                <w:rFonts w:eastAsia="Times New Roman" w:cs="Calibri"/>
                <w:color w:val="000000"/>
                <w:sz w:val="18"/>
                <w:szCs w:val="18"/>
                <w:u w:val="single"/>
              </w:rPr>
              <w:t>​</w:t>
            </w:r>
          </w:p>
          <w:p w14:paraId="2B026ADE" w14:textId="77777777" w:rsidR="00733E0A" w:rsidRPr="003720B7" w:rsidRDefault="00733E0A" w:rsidP="0068203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hanging="360"/>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$150k–$300k income cap on stacking HOV decal (only binding on FCEVs)</w:t>
            </w:r>
            <w:r w:rsidRPr="003720B7">
              <w:rPr>
                <w:rFonts w:eastAsia="Times New Roman" w:cs="Calibri"/>
                <w:color w:val="000000"/>
                <w:sz w:val="18"/>
                <w:szCs w:val="18"/>
              </w:rPr>
              <w:t>​</w:t>
            </w:r>
          </w:p>
          <w:p w14:paraId="16CA824B" w14:textId="77777777" w:rsidR="00733E0A" w:rsidRPr="003720B7" w:rsidRDefault="00733E0A" w:rsidP="00915500">
            <w:pPr>
              <w:spacing w:before="120"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Feb. 2023</w:t>
            </w:r>
            <w:r w:rsidRPr="003720B7">
              <w:rPr>
                <w:rFonts w:eastAsia="Times New Roman" w:cs="Calibri"/>
                <w:color w:val="000000"/>
                <w:sz w:val="18"/>
                <w:szCs w:val="18"/>
                <w:u w:val="single"/>
              </w:rPr>
              <w:t>​</w:t>
            </w:r>
          </w:p>
          <w:p w14:paraId="71F54133" w14:textId="77777777" w:rsidR="00733E0A" w:rsidRPr="003720B7" w:rsidRDefault="00733E0A" w:rsidP="0068203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hanging="360"/>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+$3,000–$5,500 for income-qualified households, ≤ 400% FPL, excl. ZEMs</w:t>
            </w:r>
            <w:r w:rsidRPr="003720B7">
              <w:rPr>
                <w:rFonts w:eastAsia="Times New Roman" w:cs="Calibri"/>
                <w:color w:val="000000"/>
                <w:sz w:val="18"/>
                <w:szCs w:val="18"/>
              </w:rPr>
              <w:t>​</w:t>
            </w:r>
          </w:p>
          <w:p w14:paraId="68D32614" w14:textId="77777777" w:rsidR="00733E0A" w:rsidRPr="003720B7" w:rsidRDefault="00733E0A" w:rsidP="00915500">
            <w:pPr>
              <w:spacing w:before="120" w:after="0" w:line="240" w:lineRule="auto"/>
              <w:textAlignment w:val="baseline"/>
              <w:rPr>
                <w:rFonts w:ascii="Times New Roman" w:eastAsia="Times New Roman" w:hAnsi="Times New Roman" w:cs="Times New Roman"/>
                <w:color w:val="000000"/>
                <w:sz w:val="18"/>
                <w:szCs w:val="18"/>
                <w:u w:val="single"/>
              </w:rPr>
            </w:pPr>
            <w:r w:rsidRPr="003720B7">
              <w:rPr>
                <w:rFonts w:eastAsia="Times New Roman" w:cs="Calibri"/>
                <w:b/>
                <w:bCs/>
                <w:color w:val="000000"/>
                <w:position w:val="1"/>
                <w:sz w:val="18"/>
                <w:szCs w:val="18"/>
                <w:u w:val="single"/>
              </w:rPr>
              <w:t>as of Aug. 2023</w:t>
            </w:r>
            <w:r w:rsidRPr="003720B7">
              <w:rPr>
                <w:rFonts w:eastAsia="Times New Roman" w:cs="Calibri"/>
                <w:color w:val="000000"/>
                <w:sz w:val="18"/>
                <w:szCs w:val="18"/>
                <w:u w:val="single"/>
              </w:rPr>
              <w:t>​</w:t>
            </w:r>
          </w:p>
          <w:p w14:paraId="0768C47B" w14:textId="77777777" w:rsidR="00733E0A" w:rsidRPr="003720B7" w:rsidRDefault="00733E0A" w:rsidP="0068203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hanging="360"/>
              <w:textAlignment w:val="baseline"/>
              <w:rPr>
                <w:rFonts w:ascii="Arial" w:eastAsia="Times New Roman" w:hAnsi="Arial" w:cs="Arial"/>
                <w:color w:val="000000"/>
                <w:sz w:val="18"/>
                <w:szCs w:val="18"/>
              </w:rPr>
            </w:pPr>
            <w:r w:rsidRPr="003720B7">
              <w:rPr>
                <w:rFonts w:eastAsia="Times New Roman" w:cs="Calibri"/>
                <w:color w:val="000000"/>
                <w:position w:val="1"/>
                <w:sz w:val="18"/>
                <w:szCs w:val="18"/>
              </w:rPr>
              <w:t>$2,000 EV Charge Card for income-qualified households, ≤ 400% FPL (PEVs)</w:t>
            </w:r>
            <w:r w:rsidRPr="003720B7">
              <w:rPr>
                <w:rFonts w:eastAsia="Times New Roman" w:cs="Calibri"/>
                <w:color w:val="000000"/>
                <w:sz w:val="18"/>
                <w:szCs w:val="18"/>
              </w:rPr>
              <w:t>​</w:t>
            </w:r>
          </w:p>
        </w:tc>
      </w:tr>
      <w:tr w:rsidR="00733E0A" w:rsidRPr="003720B7" w14:paraId="5931AF7A" w14:textId="77777777" w:rsidTr="00B86C8B">
        <w:tc>
          <w:tcPr>
            <w:tcW w:w="4492" w:type="dxa"/>
            <w:tcBorders>
              <w:top w:val="single" w:sz="6" w:space="0" w:color="D1D1D1"/>
              <w:left w:val="single" w:sz="6" w:space="0" w:color="757575"/>
              <w:bottom w:val="single" w:sz="6" w:space="0" w:color="000000"/>
              <w:right w:val="single" w:sz="6" w:space="0" w:color="757575"/>
            </w:tcBorders>
            <w:shd w:val="clear" w:color="auto" w:fill="FFFFFF"/>
            <w:hideMark/>
          </w:tcPr>
          <w:p w14:paraId="7A55D536" w14:textId="77777777" w:rsidR="00733E0A" w:rsidRPr="003720B7" w:rsidRDefault="00733E0A" w:rsidP="00E3693F">
            <w:pPr>
              <w:spacing w:after="120" w:line="240" w:lineRule="auto"/>
              <w:textAlignment w:val="baseline"/>
              <w:rPr>
                <w:rFonts w:ascii="Times New Roman" w:eastAsia="Times New Roman" w:hAnsi="Times New Roman" w:cs="Times New Roman"/>
                <w:color w:val="000000"/>
                <w:sz w:val="16"/>
                <w:szCs w:val="16"/>
              </w:rPr>
            </w:pPr>
            <w:r w:rsidRPr="003720B7">
              <w:rPr>
                <w:rFonts w:eastAsia="Times New Roman" w:cs="Calibri"/>
                <w:b/>
                <w:bCs/>
                <w:color w:val="005897"/>
                <w:position w:val="1"/>
                <w:sz w:val="20"/>
                <w:szCs w:val="20"/>
              </w:rPr>
              <w:t>Program Era 3 </w:t>
            </w:r>
            <w:r w:rsidRPr="003720B7">
              <w:rPr>
                <w:rFonts w:eastAsia="Times New Roman" w:cs="Calibri"/>
                <w:b/>
                <w:bCs/>
                <w:color w:val="005897"/>
                <w:position w:val="1"/>
                <w:sz w:val="18"/>
                <w:szCs w:val="18"/>
                <w:lang w:val="da-DK"/>
              </w:rPr>
              <w:t>(November 1, 2016 – December 3, 2019)</w:t>
            </w:r>
            <w:r w:rsidRPr="003720B7">
              <w:rPr>
                <w:rFonts w:eastAsia="Times New Roman" w:cs="Calibri"/>
                <w:color w:val="000000"/>
                <w:sz w:val="18"/>
                <w:szCs w:val="18"/>
              </w:rPr>
              <w:t>​</w:t>
            </w:r>
          </w:p>
          <w:p w14:paraId="49E1669D" w14:textId="77777777" w:rsidR="00733E0A" w:rsidRPr="003720B7" w:rsidRDefault="00733E0A" w:rsidP="00D45566">
            <w:pPr>
              <w:spacing w:after="0" w:line="240" w:lineRule="auto"/>
              <w:textAlignment w:val="baseline"/>
              <w:rPr>
                <w:rFonts w:ascii="Times New Roman" w:eastAsia="Times New Roman" w:hAnsi="Times New Roman" w:cs="Times New Roman"/>
                <w:color w:val="000000"/>
                <w:sz w:val="16"/>
                <w:szCs w:val="16"/>
                <w:u w:val="single"/>
              </w:rPr>
            </w:pPr>
            <w:r w:rsidRPr="003720B7">
              <w:rPr>
                <w:rFonts w:eastAsia="Times New Roman" w:cs="Calibri"/>
                <w:b/>
                <w:bCs/>
                <w:color w:val="000000"/>
                <w:position w:val="1"/>
                <w:sz w:val="18"/>
                <w:szCs w:val="18"/>
                <w:u w:val="single"/>
              </w:rPr>
              <w:t>as of Nov. 2016</w:t>
            </w:r>
            <w:r w:rsidRPr="003720B7">
              <w:rPr>
                <w:rFonts w:eastAsia="Times New Roman" w:cs="Calibri"/>
                <w:color w:val="000000"/>
                <w:sz w:val="18"/>
                <w:szCs w:val="18"/>
                <w:u w:val="single"/>
              </w:rPr>
              <w:t>​</w:t>
            </w:r>
          </w:p>
          <w:p w14:paraId="672A6163" w14:textId="77777777" w:rsidR="00733E0A" w:rsidRPr="003720B7" w:rsidRDefault="00733E0A" w:rsidP="0068203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textAlignment w:val="baseline"/>
              <w:rPr>
                <w:rFonts w:ascii="Arial" w:eastAsia="Times New Roman" w:hAnsi="Arial" w:cs="Arial"/>
                <w:color w:val="000000"/>
                <w:sz w:val="14"/>
                <w:szCs w:val="14"/>
              </w:rPr>
            </w:pPr>
            <w:r w:rsidRPr="003720B7">
              <w:rPr>
                <w:rFonts w:eastAsia="Times New Roman" w:cs="Calibri"/>
                <w:color w:val="000000"/>
                <w:position w:val="1"/>
                <w:sz w:val="18"/>
                <w:szCs w:val="18"/>
              </w:rPr>
              <w:t>$150k–$300k income cap (PEVs)</w:t>
            </w:r>
            <w:r w:rsidRPr="003720B7">
              <w:rPr>
                <w:rFonts w:eastAsia="Times New Roman" w:cs="Calibri"/>
                <w:color w:val="000000"/>
                <w:sz w:val="18"/>
                <w:szCs w:val="18"/>
              </w:rPr>
              <w:t>​</w:t>
            </w:r>
          </w:p>
          <w:p w14:paraId="5FE6F053" w14:textId="77777777" w:rsidR="00733E0A" w:rsidRPr="003720B7" w:rsidRDefault="00733E0A" w:rsidP="0068203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0"/>
              <w:textAlignment w:val="baseline"/>
              <w:rPr>
                <w:rFonts w:ascii="Arial" w:eastAsia="Times New Roman" w:hAnsi="Arial" w:cs="Arial"/>
                <w:color w:val="000000"/>
                <w:sz w:val="14"/>
                <w:szCs w:val="14"/>
              </w:rPr>
            </w:pPr>
            <w:r w:rsidRPr="003720B7">
              <w:rPr>
                <w:rFonts w:eastAsia="Times New Roman" w:cs="Calibri"/>
                <w:color w:val="000000"/>
                <w:position w:val="1"/>
                <w:sz w:val="18"/>
                <w:szCs w:val="18"/>
              </w:rPr>
              <w:t>≥ 20 UDDS electric miles</w:t>
            </w:r>
            <w:r w:rsidRPr="003720B7">
              <w:rPr>
                <w:rFonts w:eastAsia="Times New Roman" w:cs="Calibri"/>
                <w:color w:val="000000"/>
                <w:sz w:val="18"/>
                <w:szCs w:val="18"/>
              </w:rPr>
              <w:t>​</w:t>
            </w:r>
          </w:p>
          <w:p w14:paraId="399E866E" w14:textId="77777777" w:rsidR="00733E0A" w:rsidRPr="003720B7" w:rsidRDefault="00733E0A" w:rsidP="0068203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textAlignment w:val="baseline"/>
              <w:rPr>
                <w:rFonts w:ascii="Arial" w:eastAsia="Times New Roman" w:hAnsi="Arial" w:cs="Arial"/>
                <w:color w:val="000000"/>
                <w:sz w:val="14"/>
                <w:szCs w:val="14"/>
              </w:rPr>
            </w:pPr>
            <w:r w:rsidRPr="003720B7">
              <w:rPr>
                <w:rFonts w:eastAsia="Times New Roman" w:cs="Calibri"/>
                <w:color w:val="000000"/>
                <w:position w:val="1"/>
                <w:sz w:val="18"/>
                <w:szCs w:val="18"/>
              </w:rPr>
              <w:t>+$2,000 for income-qualified households (≤ 300% FPL), excl. ZEMs</w:t>
            </w:r>
            <w:r w:rsidRPr="003720B7">
              <w:rPr>
                <w:rFonts w:eastAsia="Times New Roman" w:cs="Calibri"/>
                <w:color w:val="000000"/>
                <w:sz w:val="18"/>
                <w:szCs w:val="18"/>
              </w:rPr>
              <w:t>​</w:t>
            </w:r>
          </w:p>
          <w:p w14:paraId="1198017B" w14:textId="77777777" w:rsidR="00733E0A" w:rsidRPr="003720B7" w:rsidRDefault="00733E0A" w:rsidP="00915500">
            <w:pPr>
              <w:spacing w:before="120" w:after="0" w:line="240" w:lineRule="auto"/>
              <w:textAlignment w:val="baseline"/>
              <w:rPr>
                <w:rFonts w:ascii="Times New Roman" w:eastAsia="Times New Roman" w:hAnsi="Times New Roman" w:cs="Times New Roman"/>
                <w:color w:val="000000"/>
                <w:sz w:val="16"/>
                <w:szCs w:val="16"/>
                <w:u w:val="single"/>
              </w:rPr>
            </w:pPr>
            <w:r w:rsidRPr="003720B7">
              <w:rPr>
                <w:rFonts w:eastAsia="Times New Roman" w:cs="Calibri"/>
                <w:b/>
                <w:bCs/>
                <w:color w:val="000000"/>
                <w:position w:val="1"/>
                <w:sz w:val="18"/>
                <w:szCs w:val="18"/>
                <w:u w:val="single"/>
              </w:rPr>
              <w:t>as of Jan. 2018</w:t>
            </w:r>
            <w:r w:rsidRPr="003720B7">
              <w:rPr>
                <w:rFonts w:eastAsia="Times New Roman" w:cs="Calibri"/>
                <w:color w:val="000000"/>
                <w:sz w:val="18"/>
                <w:szCs w:val="18"/>
                <w:u w:val="single"/>
              </w:rPr>
              <w:t>​</w:t>
            </w:r>
          </w:p>
          <w:p w14:paraId="0F7D8528" w14:textId="77777777" w:rsidR="00733E0A" w:rsidRPr="003720B7" w:rsidRDefault="00733E0A" w:rsidP="0068203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4"/>
                <w:szCs w:val="14"/>
              </w:rPr>
            </w:pPr>
            <w:r w:rsidRPr="003720B7">
              <w:rPr>
                <w:rFonts w:eastAsia="Times New Roman" w:cs="Calibri"/>
                <w:color w:val="000000"/>
                <w:position w:val="1"/>
                <w:sz w:val="18"/>
                <w:szCs w:val="18"/>
              </w:rPr>
              <w:t>$150k–$300k income cap on stacking HOV decal (only binding on FCEVs)</w:t>
            </w:r>
            <w:r w:rsidRPr="003720B7">
              <w:rPr>
                <w:rFonts w:eastAsia="Times New Roman" w:cs="Calibri"/>
                <w:color w:val="000000"/>
                <w:sz w:val="18"/>
                <w:szCs w:val="18"/>
              </w:rPr>
              <w:t>​</w:t>
            </w:r>
          </w:p>
          <w:p w14:paraId="5D6A0F38" w14:textId="77777777" w:rsidR="00733E0A" w:rsidRPr="003720B7" w:rsidRDefault="00733E0A" w:rsidP="0068203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textAlignment w:val="baseline"/>
              <w:rPr>
                <w:rFonts w:ascii="Arial" w:eastAsia="Times New Roman" w:hAnsi="Arial" w:cs="Arial"/>
                <w:color w:val="000000"/>
                <w:sz w:val="14"/>
                <w:szCs w:val="14"/>
              </w:rPr>
            </w:pPr>
            <w:r w:rsidRPr="003720B7">
              <w:rPr>
                <w:rFonts w:eastAsia="Times New Roman" w:cs="Calibri"/>
                <w:color w:val="000000"/>
                <w:position w:val="1"/>
                <w:sz w:val="18"/>
                <w:szCs w:val="18"/>
              </w:rPr>
              <w:t>Rebate Now San Diego County preapproval pilot with point-of-sale option</w:t>
            </w:r>
            <w:r w:rsidRPr="003720B7">
              <w:rPr>
                <w:rFonts w:eastAsia="Times New Roman" w:cs="Calibri"/>
                <w:color w:val="000000"/>
                <w:sz w:val="18"/>
                <w:szCs w:val="18"/>
              </w:rPr>
              <w:t>​</w:t>
            </w:r>
          </w:p>
          <w:p w14:paraId="48D6C051" w14:textId="77777777" w:rsidR="00733E0A" w:rsidRPr="003720B7" w:rsidRDefault="00733E0A" w:rsidP="00915500">
            <w:pPr>
              <w:spacing w:before="120" w:after="0" w:line="240" w:lineRule="auto"/>
              <w:textAlignment w:val="baseline"/>
              <w:rPr>
                <w:rFonts w:ascii="Times New Roman" w:eastAsia="Times New Roman" w:hAnsi="Times New Roman" w:cs="Times New Roman"/>
                <w:color w:val="000000"/>
                <w:sz w:val="16"/>
                <w:szCs w:val="16"/>
                <w:u w:val="single"/>
              </w:rPr>
            </w:pPr>
            <w:r w:rsidRPr="003720B7">
              <w:rPr>
                <w:rFonts w:eastAsia="Times New Roman" w:cs="Calibri"/>
                <w:b/>
                <w:bCs/>
                <w:color w:val="000000"/>
                <w:position w:val="1"/>
                <w:sz w:val="18"/>
                <w:szCs w:val="18"/>
                <w:u w:val="single"/>
              </w:rPr>
              <w:t>as of Jan. 2019</w:t>
            </w:r>
            <w:r w:rsidRPr="003720B7">
              <w:rPr>
                <w:rFonts w:eastAsia="Times New Roman" w:cs="Calibri"/>
                <w:color w:val="000000"/>
                <w:sz w:val="18"/>
                <w:szCs w:val="18"/>
                <w:u w:val="single"/>
              </w:rPr>
              <w:t>​</w:t>
            </w:r>
          </w:p>
          <w:p w14:paraId="27D5EBB1" w14:textId="2900E8D0" w:rsidR="00733E0A" w:rsidRPr="00915500" w:rsidRDefault="00733E0A" w:rsidP="0068203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0" w:firstLine="0"/>
              <w:textAlignment w:val="baseline"/>
              <w:rPr>
                <w:rFonts w:ascii="Arial" w:eastAsia="Times New Roman" w:hAnsi="Arial" w:cs="Arial"/>
                <w:color w:val="000000"/>
                <w:sz w:val="14"/>
                <w:szCs w:val="14"/>
              </w:rPr>
            </w:pPr>
            <w:r w:rsidRPr="003720B7">
              <w:rPr>
                <w:rFonts w:eastAsia="Times New Roman" w:cs="Calibri"/>
                <w:color w:val="000000"/>
                <w:position w:val="1"/>
                <w:sz w:val="18"/>
                <w:szCs w:val="18"/>
              </w:rPr>
              <w:t>Stacking with CVAP grant</w:t>
            </w:r>
            <w:r w:rsidRPr="000F6390">
              <w:rPr>
                <w:rFonts w:eastAsia="Times New Roman" w:cs="Calibri"/>
                <w:color w:val="000000"/>
                <w:position w:val="1"/>
                <w:sz w:val="18"/>
                <w:szCs w:val="18"/>
              </w:rPr>
              <w:t xml:space="preserve"> </w:t>
            </w:r>
            <w:r w:rsidRPr="003720B7">
              <w:rPr>
                <w:rFonts w:eastAsia="Times New Roman" w:cs="Calibri"/>
                <w:color w:val="000000"/>
                <w:position w:val="1"/>
                <w:sz w:val="18"/>
                <w:szCs w:val="18"/>
              </w:rPr>
              <w:t>not permitted (retroactive)</w:t>
            </w:r>
            <w:r w:rsidRPr="003720B7">
              <w:rPr>
                <w:rFonts w:eastAsia="Times New Roman" w:cs="Calibri"/>
                <w:color w:val="000000"/>
                <w:sz w:val="18"/>
                <w:szCs w:val="18"/>
              </w:rPr>
              <w:t>​</w:t>
            </w:r>
          </w:p>
        </w:tc>
        <w:tc>
          <w:tcPr>
            <w:tcW w:w="4860" w:type="dxa"/>
            <w:vMerge/>
            <w:tcBorders>
              <w:top w:val="single" w:sz="6" w:space="0" w:color="D1D1D1"/>
              <w:left w:val="single" w:sz="6" w:space="0" w:color="757575"/>
              <w:bottom w:val="single" w:sz="6" w:space="0" w:color="000000"/>
              <w:right w:val="single" w:sz="6" w:space="0" w:color="757575"/>
            </w:tcBorders>
            <w:vAlign w:val="center"/>
            <w:hideMark/>
          </w:tcPr>
          <w:p w14:paraId="54BFB28D" w14:textId="77777777" w:rsidR="00733E0A" w:rsidRPr="003720B7" w:rsidRDefault="00733E0A">
            <w:pPr>
              <w:spacing w:line="240" w:lineRule="auto"/>
              <w:rPr>
                <w:rFonts w:ascii="Arial" w:eastAsia="Times New Roman" w:hAnsi="Arial" w:cs="Arial"/>
                <w:color w:val="000000"/>
                <w:sz w:val="21"/>
                <w:szCs w:val="21"/>
              </w:rPr>
            </w:pPr>
          </w:p>
        </w:tc>
      </w:tr>
    </w:tbl>
    <w:p w14:paraId="3893F5DB" w14:textId="77777777" w:rsidR="00F310DB" w:rsidRPr="009B2CF7" w:rsidRDefault="00F310DB" w:rsidP="00F310DB">
      <w:pPr>
        <w:pStyle w:val="NoSpacing"/>
        <w:rPr>
          <w:sz w:val="18"/>
          <w:szCs w:val="18"/>
        </w:rPr>
      </w:pPr>
      <w:r w:rsidRPr="009B2CF7">
        <w:rPr>
          <w:sz w:val="18"/>
          <w:szCs w:val="18"/>
        </w:rPr>
        <w:t>PEVs = plug-in EVs.  FPL = Federal Poverty Level.  ZEMs = zero-emission motorcycles.  UDDS = Urban Dynamometer Driving Schedule.  HOV = high-occupancy-vehicle.  FCEVs = fuel-cell EVs.  CVAP = Clean Vehicle Assistance Program.  MSRP = manufacturer suggested retail price. </w:t>
      </w:r>
    </w:p>
    <w:p w14:paraId="1F4BA5BB" w14:textId="77777777" w:rsidR="00F310DB" w:rsidRPr="009B2CF7" w:rsidRDefault="00F310DB" w:rsidP="00F310DB">
      <w:pPr>
        <w:pStyle w:val="NoSpacing"/>
        <w:rPr>
          <w:sz w:val="18"/>
          <w:szCs w:val="18"/>
        </w:rPr>
      </w:pPr>
      <w:r w:rsidRPr="009B2CF7">
        <w:rPr>
          <w:sz w:val="18"/>
          <w:szCs w:val="18"/>
        </w:rPr>
        <w:t xml:space="preserve">§ A second rebate can be approved for a FCEV if the first rebate was for a PEV.  </w:t>
      </w:r>
    </w:p>
    <w:p w14:paraId="3421C23D" w14:textId="77777777" w:rsidR="00F310DB" w:rsidRPr="009B2CF7" w:rsidRDefault="00F310DB" w:rsidP="00F310DB">
      <w:pPr>
        <w:pStyle w:val="NoSpacing"/>
        <w:rPr>
          <w:sz w:val="18"/>
          <w:szCs w:val="18"/>
        </w:rPr>
      </w:pPr>
      <w:r w:rsidRPr="009B2CF7">
        <w:rPr>
          <w:sz w:val="18"/>
          <w:szCs w:val="18"/>
        </w:rPr>
        <w:t xml:space="preserve">‡ COVID exemptions on application window effectively delayed implementation until 4/15/2021.  </w:t>
      </w:r>
    </w:p>
    <w:p w14:paraId="0E2566B2" w14:textId="014AE926" w:rsidR="00F310DB" w:rsidRPr="009B2CF7" w:rsidRDefault="00F310DB" w:rsidP="00F310DB">
      <w:pPr>
        <w:pStyle w:val="NoSpacing"/>
        <w:rPr>
          <w:sz w:val="18"/>
          <w:szCs w:val="18"/>
        </w:rPr>
      </w:pPr>
      <w:r w:rsidRPr="009B2CF7">
        <w:rPr>
          <w:sz w:val="18"/>
          <w:szCs w:val="18"/>
        </w:rPr>
        <w:t>† Change due to $500 decrease in standard rebate amounts (</w:t>
      </w:r>
      <w:r w:rsidR="00AB71BE">
        <w:rPr>
          <w:sz w:val="18"/>
          <w:szCs w:val="18"/>
        </w:rPr>
        <w:t xml:space="preserve">see </w:t>
      </w:r>
      <w:r w:rsidR="00731A7A">
        <w:rPr>
          <w:sz w:val="18"/>
          <w:szCs w:val="18"/>
        </w:rPr>
        <w:t xml:space="preserve">Table </w:t>
      </w:r>
      <w:r w:rsidR="00AB71BE">
        <w:rPr>
          <w:sz w:val="18"/>
          <w:szCs w:val="18"/>
        </w:rPr>
        <w:t>8</w:t>
      </w:r>
      <w:r w:rsidRPr="009B2CF7">
        <w:rPr>
          <w:sz w:val="18"/>
          <w:szCs w:val="18"/>
        </w:rPr>
        <w:t xml:space="preserve">).  </w:t>
      </w:r>
    </w:p>
    <w:p w14:paraId="0281AD14" w14:textId="24FE683F" w:rsidR="00F310DB" w:rsidRDefault="00F310DB" w:rsidP="002D56A8">
      <w:pPr>
        <w:pStyle w:val="NoSpacing"/>
        <w:rPr>
          <w:sz w:val="18"/>
          <w:szCs w:val="18"/>
        </w:rPr>
      </w:pPr>
      <w:r w:rsidRPr="009B2CF7">
        <w:rPr>
          <w:sz w:val="18"/>
          <w:szCs w:val="18"/>
        </w:rPr>
        <w:t>* Large Vehicles include minivans, pickups, and SUVs; Cars include all other light-duty vehicle classes (e.g., hatchbacks, sedans, wagons, and two-seaters).  </w:t>
      </w:r>
    </w:p>
    <w:p w14:paraId="1D6640E1" w14:textId="0A8C06E5" w:rsidR="0014145A" w:rsidRPr="007933B8" w:rsidRDefault="0014145A" w:rsidP="007933B8">
      <w:pPr>
        <w:pStyle w:val="SummaryofResults"/>
        <w:spacing w:before="120" w:after="240"/>
        <w:rPr>
          <w:bCs/>
          <w:sz w:val="18"/>
          <w:szCs w:val="18"/>
          <w:lang w:val="en-US"/>
        </w:rPr>
      </w:pPr>
      <w:r w:rsidRPr="004B3F1A">
        <w:rPr>
          <w:b/>
          <w:sz w:val="18"/>
          <w:szCs w:val="18"/>
          <w:lang w:val="en-US"/>
        </w:rPr>
        <w:t xml:space="preserve">Source: </w:t>
      </w:r>
      <w:r w:rsidRPr="00B40920">
        <w:rPr>
          <w:bCs/>
          <w:sz w:val="18"/>
          <w:szCs w:val="18"/>
          <w:lang w:val="en-US"/>
        </w:rPr>
        <w:t>Adapted from</w:t>
      </w:r>
      <w:r>
        <w:rPr>
          <w:b/>
          <w:sz w:val="18"/>
          <w:szCs w:val="18"/>
          <w:lang w:val="en-US"/>
        </w:rPr>
        <w:t xml:space="preserve"> </w:t>
      </w:r>
      <w:r w:rsidR="007A6BE9" w:rsidRPr="007A6BE9">
        <w:rPr>
          <w:rFonts w:cs="Calibri"/>
          <w:bCs/>
          <w:sz w:val="18"/>
          <w:szCs w:val="18"/>
          <w:lang w:val="en-US"/>
        </w:rPr>
        <w:t>(B. D. H. Williams, 2025)</w:t>
      </w:r>
      <w:r w:rsidRPr="008A5C59">
        <w:rPr>
          <w:bCs/>
          <w:sz w:val="18"/>
          <w:szCs w:val="18"/>
          <w:lang w:val="en-US"/>
        </w:rPr>
        <w:t>.</w:t>
      </w:r>
    </w:p>
    <w:p w14:paraId="0485820D" w14:textId="5E4B6CCE" w:rsidR="000725D6" w:rsidRPr="003A15C4" w:rsidRDefault="343DD806" w:rsidP="187DA56C">
      <w:pPr>
        <w:pStyle w:val="Heading2"/>
        <w:rPr>
          <w:sz w:val="30"/>
          <w:szCs w:val="30"/>
        </w:rPr>
      </w:pPr>
      <w:bookmarkStart w:id="54" w:name="_Toc227069793"/>
      <w:r w:rsidRPr="7ACA0E52">
        <w:rPr>
          <w:sz w:val="30"/>
          <w:szCs w:val="30"/>
        </w:rPr>
        <w:lastRenderedPageBreak/>
        <w:t>Comparisons to Previous Research &amp; Reporting</w:t>
      </w:r>
      <w:bookmarkEnd w:id="54"/>
    </w:p>
    <w:p w14:paraId="77E5F087" w14:textId="2BAF4397" w:rsidR="005E309C" w:rsidRPr="00F736EA" w:rsidRDefault="3AD8A298" w:rsidP="7ACA0E52">
      <w:r>
        <w:t>As described in the introduction, the results of this study should be expected to differ from other EV impacts assessments</w:t>
      </w:r>
      <w:r w:rsidR="43200359">
        <w:t>, including previous studies of CVRP.</w:t>
      </w:r>
      <w:r w:rsidR="0FA703E0">
        <w:t xml:space="preserve"> </w:t>
      </w:r>
      <w:r w:rsidR="43200359">
        <w:t>E</w:t>
      </w:r>
      <w:r>
        <w:t xml:space="preserve">ach study’s goals and scope differ, as do the nature, quality, and vintage of the data available at the time. Indeed, the contributions of this work </w:t>
      </w:r>
      <w:r w:rsidR="65B9F26E">
        <w:t>include using an increasingly case-specific methodology</w:t>
      </w:r>
      <w:r w:rsidR="00D8297A">
        <w:t xml:space="preserve"> and </w:t>
      </w:r>
      <w:r w:rsidR="00932871">
        <w:t xml:space="preserve">illustrating </w:t>
      </w:r>
      <w:r w:rsidR="00F64F43">
        <w:t>how results vary across different methodological approaches that have been implemented in prior studies of EV subsidy impacts</w:t>
      </w:r>
      <w:r>
        <w:t xml:space="preserve">. Further, care should be taken when comparing results over time as the performance and types of vehicles on the market </w:t>
      </w:r>
      <w:r w:rsidR="00B82386">
        <w:t>has</w:t>
      </w:r>
      <w:r>
        <w:t xml:space="preserve"> evolv</w:t>
      </w:r>
      <w:r w:rsidR="00B82386">
        <w:t>ed</w:t>
      </w:r>
      <w:r w:rsidR="00E80D85">
        <w:t xml:space="preserve"> (</w:t>
      </w:r>
      <w:r w:rsidR="004E7B09">
        <w:t xml:space="preserve">see </w:t>
      </w:r>
      <w:r w:rsidR="00E80D85">
        <w:t>Appendix C)</w:t>
      </w:r>
      <w:r>
        <w:t xml:space="preserve"> and program eligibility changes</w:t>
      </w:r>
      <w:r w:rsidR="004E7B09">
        <w:t xml:space="preserve"> </w:t>
      </w:r>
      <w:r w:rsidR="06A1E10C">
        <w:t xml:space="preserve">(see Program </w:t>
      </w:r>
      <w:r w:rsidR="24C991D9">
        <w:t xml:space="preserve">&amp; Market </w:t>
      </w:r>
      <w:r w:rsidR="06A1E10C">
        <w:t>Context above)</w:t>
      </w:r>
      <w:r>
        <w:t xml:space="preserve"> alter the mix of vehicles and consumers. </w:t>
      </w:r>
    </w:p>
    <w:p w14:paraId="44648049" w14:textId="14A6131D" w:rsidR="004D1EA2" w:rsidRPr="003A15C4" w:rsidRDefault="7BDD560A" w:rsidP="187DA56C">
      <w:pPr>
        <w:pStyle w:val="Heading2"/>
        <w:rPr>
          <w:sz w:val="30"/>
          <w:szCs w:val="30"/>
        </w:rPr>
      </w:pPr>
      <w:bookmarkStart w:id="55" w:name="_Toc227069794"/>
      <w:r w:rsidRPr="7ACA0E52">
        <w:rPr>
          <w:sz w:val="30"/>
          <w:szCs w:val="30"/>
        </w:rPr>
        <w:t xml:space="preserve">Limitations and </w:t>
      </w:r>
      <w:r w:rsidR="0020101D">
        <w:rPr>
          <w:sz w:val="30"/>
          <w:szCs w:val="30"/>
        </w:rPr>
        <w:t>Opportunities for Future Research</w:t>
      </w:r>
      <w:bookmarkEnd w:id="55"/>
    </w:p>
    <w:p w14:paraId="72D4A7BD" w14:textId="6EF2BBC2" w:rsidR="00B64346" w:rsidRDefault="2A9AF24F" w:rsidP="004D1EA2">
      <w:r>
        <w:t>N</w:t>
      </w:r>
      <w:r w:rsidR="49093834">
        <w:t xml:space="preserve">ext steps for this and related </w:t>
      </w:r>
      <w:r w:rsidR="004C4440">
        <w:t xml:space="preserve">research </w:t>
      </w:r>
      <w:r w:rsidR="49093834">
        <w:t>include ongoing opportunit</w:t>
      </w:r>
      <w:r>
        <w:t>ies</w:t>
      </w:r>
      <w:r w:rsidR="49093834">
        <w:t xml:space="preserve"> for further refinement</w:t>
      </w:r>
      <w:r w:rsidR="00A248B4">
        <w:t xml:space="preserve"> using additional participant-specific, </w:t>
      </w:r>
      <w:r w:rsidR="000E5FD4">
        <w:t>time-variant, or otherwise more detailed inputs</w:t>
      </w:r>
      <w:r w:rsidR="49093834">
        <w:t>. For example</w:t>
      </w:r>
      <w:r>
        <w:t>, future work could incorporate</w:t>
      </w:r>
      <w:r w:rsidR="3FA6BA58">
        <w:t xml:space="preserve"> </w:t>
      </w:r>
      <w:r w:rsidR="24C5417E">
        <w:t xml:space="preserve">increasingly </w:t>
      </w:r>
      <w:r w:rsidR="3FA6BA58">
        <w:t>case-specific</w:t>
      </w:r>
      <w:r w:rsidR="7E10E5DC">
        <w:t xml:space="preserve"> VMT and</w:t>
      </w:r>
      <w:r w:rsidR="3FA6BA58">
        <w:t xml:space="preserve"> </w:t>
      </w:r>
      <w:r w:rsidR="72A19DE3">
        <w:t>consider marginal/induced grid emissions</w:t>
      </w:r>
      <w:r>
        <w:t xml:space="preserve">. Missing values of </w:t>
      </w:r>
      <w:r w:rsidR="002D7BC8">
        <w:t xml:space="preserve">rebate influence and counterfactual behaviors </w:t>
      </w:r>
      <w:r w:rsidR="24C5417E">
        <w:t xml:space="preserve">could be addressed with </w:t>
      </w:r>
      <w:r w:rsidR="00E04557">
        <w:t xml:space="preserve">statistical </w:t>
      </w:r>
      <w:r w:rsidR="00D070E8">
        <w:t>modeling</w:t>
      </w:r>
      <w:r w:rsidR="00DC5B22">
        <w:t xml:space="preserve"> rather than cohort assignment</w:t>
      </w:r>
      <w:r w:rsidR="3FA6BA58">
        <w:t>.</w:t>
      </w:r>
      <w:r w:rsidR="004B6607" w:rsidRPr="001E5E83">
        <w:rPr>
          <w:rStyle w:val="FootnoteReference"/>
        </w:rPr>
        <w:footnoteReference w:id="18"/>
      </w:r>
      <w:r w:rsidR="3FA6BA58">
        <w:t xml:space="preserve"> Prioritization of these further refinements could be based on a Monte Carlo analysis of inputs and their impacts </w:t>
      </w:r>
      <w:r w:rsidR="00C01335">
        <w:t>(</w:t>
      </w:r>
      <w:r w:rsidR="00D71252" w:rsidRPr="2F1055DC">
        <w:rPr>
          <w:rFonts w:cs="Calibri"/>
        </w:rPr>
        <w:t xml:space="preserve">e.g., </w:t>
      </w:r>
      <w:r w:rsidR="00C01335">
        <w:rPr>
          <w:rFonts w:cs="Calibri"/>
        </w:rPr>
        <w:t>[</w:t>
      </w:r>
      <w:r w:rsidR="00FD2EAE" w:rsidRPr="00FD2EAE">
        <w:rPr>
          <w:rFonts w:cs="Calibri"/>
        </w:rPr>
        <w:t>B. Williams &amp; DeShazo, 2014</w:t>
      </w:r>
      <w:r w:rsidR="00C01335">
        <w:t>])</w:t>
      </w:r>
      <w:r w:rsidR="3FA6BA58">
        <w:t xml:space="preserve">. </w:t>
      </w:r>
    </w:p>
    <w:p w14:paraId="21DEF749" w14:textId="07FD9741" w:rsidR="00BC7FAC" w:rsidRDefault="24C5417E" w:rsidP="004D1EA2">
      <w:r>
        <w:t>Additional opportunities for next steps are highlighted by the sensitivity analysis</w:t>
      </w:r>
      <w:r w:rsidR="008E06C3">
        <w:t xml:space="preserve"> (Appendix B)</w:t>
      </w:r>
      <w:r w:rsidR="00FB6E57">
        <w:t>, which assess</w:t>
      </w:r>
      <w:r w:rsidR="006B3461">
        <w:t>es</w:t>
      </w:r>
      <w:r w:rsidR="00FB6E57">
        <w:t xml:space="preserve"> the potential impact of uncertainty</w:t>
      </w:r>
      <w:r>
        <w:t xml:space="preserve">. </w:t>
      </w:r>
      <w:r w:rsidR="0036234A">
        <w:t>For example,</w:t>
      </w:r>
      <w:r w:rsidR="00117688">
        <w:t xml:space="preserve"> absent </w:t>
      </w:r>
      <w:r w:rsidR="001D06D1">
        <w:t>publicly available</w:t>
      </w:r>
      <w:r w:rsidR="00117688">
        <w:t xml:space="preserve"> </w:t>
      </w:r>
      <w:r w:rsidR="00A72E02">
        <w:t xml:space="preserve">empirical data </w:t>
      </w:r>
      <w:r w:rsidR="00117688">
        <w:t xml:space="preserve">about the lifespan of EVs in the </w:t>
      </w:r>
      <w:r w:rsidR="00411F41">
        <w:t>U</w:t>
      </w:r>
      <w:r w:rsidR="005C08EA">
        <w:t>.</w:t>
      </w:r>
      <w:r w:rsidR="00411F41">
        <w:t>S</w:t>
      </w:r>
      <w:r w:rsidR="005C08EA">
        <w:t>.</w:t>
      </w:r>
      <w:r w:rsidR="00411F41">
        <w:t>,</w:t>
      </w:r>
      <w:r w:rsidR="0036234A">
        <w:t xml:space="preserve"> </w:t>
      </w:r>
      <w:r w:rsidR="0036234A">
        <w:rPr>
          <w:rFonts w:eastAsia="Calibri"/>
          <w:color w:val="000000"/>
          <w:u w:color="000000"/>
          <w14:textOutline w14:w="0" w14:cap="flat" w14:cmpd="sng" w14:algn="ctr">
            <w14:noFill/>
            <w14:prstDash w14:val="solid"/>
            <w14:bevel/>
          </w14:textOutline>
        </w:rPr>
        <w:t xml:space="preserve">the results </w:t>
      </w:r>
      <w:r w:rsidR="00002517">
        <w:rPr>
          <w:rFonts w:eastAsia="Calibri"/>
          <w:color w:val="000000"/>
          <w:u w:color="000000"/>
          <w14:textOutline w14:w="0" w14:cap="flat" w14:cmpd="sng" w14:algn="ctr">
            <w14:noFill/>
            <w14:prstDash w14:val="solid"/>
            <w14:bevel/>
          </w14:textOutline>
        </w:rPr>
        <w:t xml:space="preserve">of </w:t>
      </w:r>
      <w:r w:rsidR="0036234A">
        <w:rPr>
          <w:rFonts w:eastAsia="Calibri"/>
          <w:color w:val="000000"/>
          <w:u w:color="000000"/>
          <w14:textOutline w14:w="0" w14:cap="flat" w14:cmpd="sng" w14:algn="ctr">
            <w14:noFill/>
            <w14:prstDash w14:val="solid"/>
            <w14:bevel/>
          </w14:textOutline>
        </w:rPr>
        <w:t xml:space="preserve">this study are based on a </w:t>
      </w:r>
      <w:r w:rsidR="0036234A" w:rsidRPr="00794939">
        <w:rPr>
          <w:rFonts w:eastAsia="Calibri"/>
          <w:color w:val="000000"/>
          <w:u w:color="000000"/>
          <w14:textOutline w14:w="0" w14:cap="flat" w14:cmpd="sng" w14:algn="ctr">
            <w14:noFill/>
            <w14:prstDash w14:val="solid"/>
            <w14:bevel/>
          </w14:textOutline>
        </w:rPr>
        <w:t xml:space="preserve">conservative quantification period of 100k miles. </w:t>
      </w:r>
      <w:r w:rsidR="00CA54EE">
        <w:rPr>
          <w:rFonts w:eastAsia="Calibri"/>
          <w:color w:val="000000"/>
          <w:u w:color="000000"/>
          <w14:textOutline w14:w="0" w14:cap="flat" w14:cmpd="sng" w14:algn="ctr">
            <w14:noFill/>
            <w14:prstDash w14:val="solid"/>
            <w14:bevel/>
          </w14:textOutline>
        </w:rPr>
        <w:t xml:space="preserve">The impact of </w:t>
      </w:r>
      <w:r w:rsidR="00906CDD">
        <w:rPr>
          <w:rFonts w:eastAsia="Calibri"/>
          <w:color w:val="000000"/>
          <w:u w:color="000000"/>
          <w14:textOutline w14:w="0" w14:cap="flat" w14:cmpd="sng" w14:algn="ctr">
            <w14:noFill/>
            <w14:prstDash w14:val="solid"/>
            <w14:bevel/>
          </w14:textOutline>
        </w:rPr>
        <w:t>this uncertainty is substantial: w</w:t>
      </w:r>
      <w:r w:rsidR="0036234A" w:rsidRPr="00794939">
        <w:rPr>
          <w:rFonts w:eastAsia="Calibri"/>
          <w:color w:val="000000"/>
          <w:u w:color="000000"/>
          <w14:textOutline w14:w="0" w14:cap="flat" w14:cmpd="sng" w14:algn="ctr">
            <w14:noFill/>
            <w14:prstDash w14:val="solid"/>
            <w14:bevel/>
          </w14:textOutline>
        </w:rPr>
        <w:t>hen using another common mileage assumption of 150k miles</w:t>
      </w:r>
      <w:r w:rsidR="0036234A">
        <w:rPr>
          <w:rFonts w:eastAsia="Calibri"/>
          <w:color w:val="000000"/>
          <w:u w:color="000000"/>
          <w14:textOutline w14:w="0" w14:cap="flat" w14:cmpd="sng" w14:algn="ctr">
            <w14:noFill/>
            <w14:prstDash w14:val="solid"/>
            <w14:bevel/>
          </w14:textOutline>
        </w:rPr>
        <w:t>,</w:t>
      </w:r>
      <w:r w:rsidR="0036234A" w:rsidRPr="00794939">
        <w:rPr>
          <w:rFonts w:eastAsia="Calibri"/>
          <w:color w:val="000000"/>
          <w:u w:color="000000"/>
          <w14:textOutline w14:w="0" w14:cap="flat" w14:cmpd="sng" w14:algn="ctr">
            <w14:noFill/>
            <w14:prstDash w14:val="solid"/>
            <w14:bevel/>
          </w14:textOutline>
        </w:rPr>
        <w:t xml:space="preserve"> costs decrease </w:t>
      </w:r>
      <w:r w:rsidR="0036234A">
        <w:rPr>
          <w:rFonts w:eastAsia="Calibri"/>
          <w:color w:val="000000"/>
          <w:u w:color="000000"/>
          <w14:textOutline w14:w="0" w14:cap="flat" w14:cmpd="sng" w14:algn="ctr">
            <w14:noFill/>
            <w14:prstDash w14:val="solid"/>
            <w14:bevel/>
          </w14:textOutline>
        </w:rPr>
        <w:t>34</w:t>
      </w:r>
      <w:r w:rsidR="0036234A" w:rsidRPr="00794939">
        <w:rPr>
          <w:rFonts w:eastAsia="Calibri"/>
          <w:color w:val="000000"/>
          <w:u w:color="000000"/>
          <w14:textOutline w14:w="0" w14:cap="flat" w14:cmpd="sng" w14:algn="ctr">
            <w14:noFill/>
            <w14:prstDash w14:val="solid"/>
            <w14:bevel/>
          </w14:textOutline>
        </w:rPr>
        <w:t xml:space="preserve">%. </w:t>
      </w:r>
      <w:r w:rsidR="229F8691">
        <w:t xml:space="preserve">The analysis </w:t>
      </w:r>
      <w:r w:rsidR="0036234A">
        <w:t xml:space="preserve">also </w:t>
      </w:r>
      <w:r w:rsidR="229F8691">
        <w:t>shows that emission reduction estimates are sensitive to deviations from assumed fuel consumption rates of the baseline</w:t>
      </w:r>
      <w:r w:rsidR="2E86DEE1">
        <w:t xml:space="preserve"> vehicles</w:t>
      </w:r>
      <w:r w:rsidR="229F8691">
        <w:t xml:space="preserve">. Therefore, accuracy of the reduction estimate relies on the accuracy of these assumptions. </w:t>
      </w:r>
      <w:r w:rsidR="296F314F">
        <w:t xml:space="preserve">As larger electric vehicle classes like pickup trucks become more prominent, </w:t>
      </w:r>
      <w:r w:rsidR="00114B0B">
        <w:t xml:space="preserve">including </w:t>
      </w:r>
      <w:r w:rsidR="296F314F">
        <w:t xml:space="preserve">class-specific baselines for comparison </w:t>
      </w:r>
      <w:r w:rsidR="00A86C1D">
        <w:t xml:space="preserve">may </w:t>
      </w:r>
      <w:r w:rsidR="296F314F">
        <w:t xml:space="preserve">be </w:t>
      </w:r>
      <w:r w:rsidR="00F37B2B">
        <w:t>increasingly important</w:t>
      </w:r>
      <w:r w:rsidR="296F314F">
        <w:t xml:space="preserve">. </w:t>
      </w:r>
      <w:r w:rsidR="0076313E">
        <w:t>R</w:t>
      </w:r>
      <w:r w:rsidR="00501609">
        <w:t>e</w:t>
      </w:r>
      <w:r w:rsidR="0076313E">
        <w:t>l</w:t>
      </w:r>
      <w:r w:rsidR="00501609">
        <w:t>a</w:t>
      </w:r>
      <w:r w:rsidR="0076313E">
        <w:t>tedly</w:t>
      </w:r>
      <w:r w:rsidR="00501609">
        <w:t>,</w:t>
      </w:r>
      <w:r w:rsidR="00312766">
        <w:t xml:space="preserve"> </w:t>
      </w:r>
      <w:r w:rsidR="00D54872">
        <w:t xml:space="preserve">expansion and refinement of </w:t>
      </w:r>
      <w:r w:rsidR="00312766">
        <w:t xml:space="preserve">the </w:t>
      </w:r>
      <w:r w:rsidR="00CB5E51">
        <w:t>counterfactual analysis</w:t>
      </w:r>
      <w:r w:rsidR="00BC7FAC">
        <w:t xml:space="preserve"> </w:t>
      </w:r>
      <w:r w:rsidR="00217456">
        <w:t>c</w:t>
      </w:r>
      <w:r w:rsidR="00BC7FAC">
        <w:t>ould improve understanding of emissions that might otherwise have been produced.</w:t>
      </w:r>
      <w:r w:rsidR="00501609">
        <w:t xml:space="preserve"> </w:t>
      </w:r>
      <w:r w:rsidR="007073CD">
        <w:t>For example, p</w:t>
      </w:r>
      <w:r w:rsidR="005517CE">
        <w:t xml:space="preserve">lanned </w:t>
      </w:r>
      <w:r w:rsidR="003A1F2E">
        <w:t>annual reporting o</w:t>
      </w:r>
      <w:r w:rsidR="00FE1058">
        <w:t>n</w:t>
      </w:r>
      <w:r w:rsidR="003A1F2E">
        <w:t xml:space="preserve"> the final year of CVRP (2023 purchases/leases) will incorporate more </w:t>
      </w:r>
      <w:r w:rsidR="00F32B3B">
        <w:t xml:space="preserve">detailed </w:t>
      </w:r>
      <w:r w:rsidR="005517CE">
        <w:t xml:space="preserve">counterfactual </w:t>
      </w:r>
      <w:r w:rsidR="00F32B3B">
        <w:t xml:space="preserve">survey data </w:t>
      </w:r>
      <w:r w:rsidR="00DB78C9">
        <w:t xml:space="preserve">that describes the specific models </w:t>
      </w:r>
      <w:r w:rsidR="005832AF">
        <w:t>that EVs replaced</w:t>
      </w:r>
      <w:r w:rsidR="00713221">
        <w:t xml:space="preserve">. It will also expand the sensitivity analysis of </w:t>
      </w:r>
      <w:r w:rsidR="008A5589">
        <w:t xml:space="preserve">detailed </w:t>
      </w:r>
      <w:r w:rsidR="00713221">
        <w:t xml:space="preserve">counterfactual reductions. </w:t>
      </w:r>
      <w:r w:rsidR="004E665D">
        <w:t>E</w:t>
      </w:r>
      <w:r w:rsidR="00CD6CC4">
        <w:t xml:space="preserve">xplored in </w:t>
      </w:r>
      <w:r w:rsidR="00327E6D">
        <w:t xml:space="preserve">prior </w:t>
      </w:r>
      <w:r w:rsidR="00CD6CC4">
        <w:t xml:space="preserve">sensitivity </w:t>
      </w:r>
      <w:r w:rsidR="00877587">
        <w:t xml:space="preserve">analysis </w:t>
      </w:r>
      <w:r w:rsidR="008647D4" w:rsidRPr="008647D4">
        <w:rPr>
          <w:rFonts w:cs="Calibri"/>
        </w:rPr>
        <w:t>(Pallonetti et al., 2024)</w:t>
      </w:r>
      <w:r w:rsidR="00CD6CC4">
        <w:t xml:space="preserve"> is the potential impact of survey biases</w:t>
      </w:r>
      <w:r w:rsidR="004E0ABA">
        <w:t xml:space="preserve">, </w:t>
      </w:r>
      <w:r w:rsidR="00D1212A">
        <w:t>a limitation of all surveys</w:t>
      </w:r>
      <w:r w:rsidR="004E0ABA">
        <w:t xml:space="preserve">. </w:t>
      </w:r>
      <w:r w:rsidR="00CA504F">
        <w:t xml:space="preserve">Biases </w:t>
      </w:r>
      <w:r w:rsidR="004E0ABA">
        <w:t xml:space="preserve">may be further explored, </w:t>
      </w:r>
      <w:r w:rsidR="00FE39A6">
        <w:t>with</w:t>
      </w:r>
      <w:r w:rsidR="00BC4AA1">
        <w:t xml:space="preserve"> respect to how they</w:t>
      </w:r>
      <w:r w:rsidR="00D1212A">
        <w:t xml:space="preserve"> may affect estimates of rebate influence and counterfactual </w:t>
      </w:r>
      <w:r w:rsidR="00395FE1">
        <w:t>behaviors</w:t>
      </w:r>
      <w:r w:rsidR="00D1212A">
        <w:t>.</w:t>
      </w:r>
    </w:p>
    <w:p w14:paraId="7244095E" w14:textId="21D24A35" w:rsidR="00ED6CB0" w:rsidRPr="003571DD" w:rsidRDefault="005C4DF0" w:rsidP="0066008A">
      <w:pPr>
        <w:rPr>
          <w:rFonts w:eastAsia="Calibri"/>
          <w:color w:val="000000"/>
          <w14:textOutline w14:w="0" w14:cap="flat" w14:cmpd="sng" w14:algn="ctr">
            <w14:noFill/>
            <w14:prstDash w14:val="solid"/>
            <w14:bevel/>
          </w14:textOutline>
        </w:rPr>
      </w:pPr>
      <w:r>
        <w:lastRenderedPageBreak/>
        <w:t>The results are also sensitive to the</w:t>
      </w:r>
      <w:r w:rsidR="00CB3C9D">
        <w:t xml:space="preserve"> </w:t>
      </w:r>
      <w:r w:rsidR="001C0B16">
        <w:t>scope of th</w:t>
      </w:r>
      <w:r w:rsidR="00FA44FD">
        <w:t>e</w:t>
      </w:r>
      <w:r w:rsidR="001C0B16">
        <w:t xml:space="preserve"> analysis</w:t>
      </w:r>
      <w:r w:rsidR="00CB3C9D">
        <w:t xml:space="preserve"> and how the boundaries are defined</w:t>
      </w:r>
      <w:r w:rsidR="001D335F">
        <w:t>.</w:t>
      </w:r>
      <w:r w:rsidR="00EA722D">
        <w:t xml:space="preserve"> </w:t>
      </w:r>
      <w:r w:rsidR="00EA722D" w:rsidRPr="00FE7679">
        <w:t xml:space="preserve">Positive spillover and market </w:t>
      </w:r>
      <w:r w:rsidR="00EA722D">
        <w:t xml:space="preserve">(e.g., network) </w:t>
      </w:r>
      <w:r w:rsidR="00EA722D" w:rsidRPr="00FE7679">
        <w:t xml:space="preserve">effects </w:t>
      </w:r>
      <w:r w:rsidR="00EA722D">
        <w:t xml:space="preserve">from influenced adoption and other second-order impacts </w:t>
      </w:r>
      <w:r w:rsidR="00EA722D" w:rsidRPr="00FE7679">
        <w:t xml:space="preserve">are not analyzed; including these </w:t>
      </w:r>
      <w:r w:rsidR="00EA722D">
        <w:t xml:space="preserve">unmeasured impacts </w:t>
      </w:r>
      <w:r w:rsidR="00EA722D" w:rsidRPr="00FE7679">
        <w:t>would increase the benefits attributed to the program</w:t>
      </w:r>
      <w:r w:rsidR="00F17C02">
        <w:t xml:space="preserve"> </w:t>
      </w:r>
      <w:r w:rsidR="00015DC3" w:rsidRPr="00015DC3">
        <w:rPr>
          <w:rFonts w:cs="Calibri"/>
        </w:rPr>
        <w:t>(Violette &amp; Rathbun, 2017; Chakraborty et al., 2022)</w:t>
      </w:r>
      <w:r w:rsidR="00EA722D" w:rsidRPr="00FE7679">
        <w:t>.</w:t>
      </w:r>
      <w:r w:rsidR="5A97A4B4">
        <w:t xml:space="preserve"> </w:t>
      </w:r>
      <w:r w:rsidR="003571DD">
        <w:rPr>
          <w:rStyle w:val="Heading1Char"/>
          <w:rFonts w:eastAsia="Calibri"/>
          <w:sz w:val="22"/>
          <w:szCs w:val="22"/>
        </w:rPr>
        <w:t xml:space="preserve">Prior economic studies </w:t>
      </w:r>
      <w:r w:rsidR="00015DC3" w:rsidRPr="00015DC3">
        <w:rPr>
          <w:rFonts w:cs="Calibri"/>
        </w:rPr>
        <w:t>(Gillingham &amp; Stock, 2018; Sheldon et al., 2023)</w:t>
      </w:r>
      <w:r w:rsidR="003571DD">
        <w:rPr>
          <w:rStyle w:val="Heading1Char"/>
          <w:rFonts w:eastAsia="Calibri"/>
          <w:sz w:val="22"/>
          <w:szCs w:val="22"/>
        </w:rPr>
        <w:t xml:space="preserve"> have discussed that while EV subsidies fall on the higher-cost end of various types of GHG reduction policies, they have many benefits outside of direct emission reductions (i.e., “dynamic” or “network effects”) that can justify policies that appear to have high costs when these long-run effects are unaccounted for. Dynamic effects related to CVRP’s EV incentives </w:t>
      </w:r>
      <w:r w:rsidR="00A93D02">
        <w:t>include the benefits of increased volume for producers (economies of scale, learning-by-doing, supply-chain creation), consumers (awareness, information spillovers, learning-by-doing, and adoption network effects) and society (positive externalities)</w:t>
      </w:r>
      <w:r w:rsidR="00BF0250">
        <w:t xml:space="preserve"> </w:t>
      </w:r>
      <w:r w:rsidR="00823966" w:rsidRPr="00823966">
        <w:rPr>
          <w:rFonts w:cs="Calibri"/>
        </w:rPr>
        <w:t>(B. Williams &amp; Searles, 2017; Gillingham &amp; Stock, 2018)</w:t>
      </w:r>
      <w:r w:rsidR="00A93D02">
        <w:t>.</w:t>
      </w:r>
      <w:r w:rsidR="00BD44C1">
        <w:t xml:space="preserve"> </w:t>
      </w:r>
      <w:r w:rsidR="003571DD">
        <w:rPr>
          <w:rStyle w:val="Heading1Char"/>
          <w:rFonts w:eastAsia="Calibri"/>
          <w:sz w:val="22"/>
          <w:szCs w:val="22"/>
        </w:rPr>
        <w:t xml:space="preserve">Furthermore, </w:t>
      </w:r>
      <w:r w:rsidR="00A719CF">
        <w:rPr>
          <w:rStyle w:val="Heading1Char"/>
          <w:rFonts w:eastAsia="Calibri"/>
          <w:sz w:val="22"/>
          <w:szCs w:val="22"/>
        </w:rPr>
        <w:t xml:space="preserve">Gillingham and Stock (2018) highlight </w:t>
      </w:r>
      <w:r w:rsidR="003571DD">
        <w:rPr>
          <w:rStyle w:val="Heading1Char"/>
          <w:rFonts w:eastAsia="Calibri"/>
          <w:sz w:val="22"/>
          <w:szCs w:val="22"/>
        </w:rPr>
        <w:t xml:space="preserve">that electric vehicle and other more costly technology diffusion policies are the scalable technologies </w:t>
      </w:r>
      <w:r w:rsidR="001C1477">
        <w:rPr>
          <w:rStyle w:val="Heading1Char"/>
          <w:rFonts w:eastAsia="Calibri"/>
          <w:sz w:val="22"/>
          <w:szCs w:val="22"/>
        </w:rPr>
        <w:t xml:space="preserve">in </w:t>
      </w:r>
      <w:r w:rsidR="004D2EF9">
        <w:rPr>
          <w:rStyle w:val="Heading1Char"/>
          <w:rFonts w:eastAsia="Calibri"/>
          <w:sz w:val="22"/>
          <w:szCs w:val="22"/>
        </w:rPr>
        <w:t xml:space="preserve">focus for </w:t>
      </w:r>
      <w:r w:rsidR="00741246">
        <w:rPr>
          <w:rStyle w:val="Heading1Char"/>
          <w:rFonts w:eastAsia="Calibri"/>
          <w:sz w:val="22"/>
          <w:szCs w:val="22"/>
        </w:rPr>
        <w:t xml:space="preserve">transitioning to </w:t>
      </w:r>
      <w:r w:rsidR="003571DD">
        <w:rPr>
          <w:rStyle w:val="Heading1Char"/>
          <w:rFonts w:eastAsia="Calibri"/>
          <w:sz w:val="22"/>
          <w:szCs w:val="22"/>
        </w:rPr>
        <w:t xml:space="preserve">a low-carbon economy. These </w:t>
      </w:r>
      <w:r w:rsidR="00741246">
        <w:rPr>
          <w:rStyle w:val="Heading1Char"/>
          <w:rFonts w:eastAsia="Calibri"/>
          <w:sz w:val="22"/>
          <w:szCs w:val="22"/>
        </w:rPr>
        <w:t xml:space="preserve">long-run </w:t>
      </w:r>
      <w:r w:rsidR="003571DD">
        <w:rPr>
          <w:rStyle w:val="Heading1Char"/>
          <w:rFonts w:eastAsia="Calibri"/>
          <w:sz w:val="22"/>
          <w:szCs w:val="22"/>
        </w:rPr>
        <w:t xml:space="preserve">benefits are well-documented as being important but difficult to quantify </w:t>
      </w:r>
      <w:r w:rsidR="00860B25" w:rsidRPr="00860B25">
        <w:rPr>
          <w:rFonts w:cs="Calibri"/>
        </w:rPr>
        <w:t>(Gillingham &amp; Stock, 2018; Sarode et al., 2023)</w:t>
      </w:r>
      <w:r w:rsidR="003571DD">
        <w:rPr>
          <w:rStyle w:val="Heading1Char"/>
          <w:rFonts w:eastAsia="Calibri"/>
          <w:sz w:val="22"/>
          <w:szCs w:val="22"/>
        </w:rPr>
        <w:t xml:space="preserve">. </w:t>
      </w:r>
    </w:p>
    <w:p w14:paraId="4B99B898" w14:textId="729FA26E" w:rsidR="00DC3F26" w:rsidRDefault="008F50FB" w:rsidP="0066008A">
      <w:r>
        <w:rPr>
          <w:rFonts w:eastAsia="Calibri"/>
          <w:color w:val="000000"/>
          <w:u w:color="000000"/>
          <w14:textOutline w14:w="0" w14:cap="flat" w14:cmpd="sng" w14:algn="ctr">
            <w14:noFill/>
            <w14:prstDash w14:val="solid"/>
            <w14:bevel/>
          </w14:textOutline>
        </w:rPr>
        <w:t>I</w:t>
      </w:r>
      <w:r w:rsidR="00A21D9B">
        <w:rPr>
          <w:rFonts w:eastAsia="Calibri"/>
          <w:color w:val="000000"/>
          <w:u w:color="000000"/>
          <w14:textOutline w14:w="0" w14:cap="flat" w14:cmpd="sng" w14:algn="ctr">
            <w14:noFill/>
            <w14:prstDash w14:val="solid"/>
            <w14:bevel/>
          </w14:textOutline>
        </w:rPr>
        <w:t xml:space="preserve">n addition to unaccounted for long-run impacts, important aspects </w:t>
      </w:r>
      <w:r w:rsidR="006B7149">
        <w:rPr>
          <w:rFonts w:eastAsia="Calibri"/>
          <w:color w:val="000000"/>
          <w:u w:color="000000"/>
          <w14:textOutline w14:w="0" w14:cap="flat" w14:cmpd="sng" w14:algn="ctr">
            <w14:noFill/>
            <w14:prstDash w14:val="solid"/>
            <w14:bevel/>
          </w14:textOutline>
        </w:rPr>
        <w:t xml:space="preserve">of </w:t>
      </w:r>
      <w:r w:rsidR="00A21D9B">
        <w:rPr>
          <w:rFonts w:eastAsia="Calibri"/>
          <w:color w:val="000000"/>
          <w:u w:color="000000"/>
          <w14:textOutline w14:w="0" w14:cap="flat" w14:cmpd="sng" w14:algn="ctr">
            <w14:noFill/>
            <w14:prstDash w14:val="solid"/>
            <w14:bevel/>
          </w14:textOutline>
        </w:rPr>
        <w:t xml:space="preserve">CVRP </w:t>
      </w:r>
      <w:r w:rsidR="006B7149">
        <w:rPr>
          <w:rFonts w:eastAsia="Calibri"/>
          <w:color w:val="000000"/>
          <w:u w:color="000000"/>
          <w14:textOutline w14:w="0" w14:cap="flat" w14:cmpd="sng" w14:algn="ctr">
            <w14:noFill/>
            <w14:prstDash w14:val="solid"/>
            <w14:bevel/>
          </w14:textOutline>
        </w:rPr>
        <w:t xml:space="preserve">that are outside the scope of this work </w:t>
      </w:r>
      <w:r w:rsidR="00A21D9B">
        <w:rPr>
          <w:rFonts w:eastAsia="Calibri"/>
          <w:color w:val="000000"/>
          <w:u w:color="000000"/>
          <w14:textOutline w14:w="0" w14:cap="flat" w14:cmpd="sng" w14:algn="ctr">
            <w14:noFill/>
            <w14:prstDash w14:val="solid"/>
            <w14:bevel/>
          </w14:textOutline>
        </w:rPr>
        <w:t xml:space="preserve">are </w:t>
      </w:r>
      <w:r w:rsidR="006D44CC">
        <w:rPr>
          <w:rFonts w:eastAsia="Calibri"/>
          <w:color w:val="000000"/>
          <w:u w:color="000000"/>
          <w14:textOutline w14:w="0" w14:cap="flat" w14:cmpd="sng" w14:algn="ctr">
            <w14:noFill/>
            <w14:prstDash w14:val="solid"/>
            <w14:bevel/>
          </w14:textOutline>
        </w:rPr>
        <w:t xml:space="preserve">the impact of </w:t>
      </w:r>
      <w:r w:rsidR="00A21D9B">
        <w:rPr>
          <w:rFonts w:eastAsia="Calibri"/>
          <w:color w:val="000000"/>
          <w:u w:color="000000"/>
          <w14:textOutline w14:w="0" w14:cap="flat" w14:cmpd="sng" w14:algn="ctr">
            <w14:noFill/>
            <w14:prstDash w14:val="solid"/>
            <w14:bevel/>
          </w14:textOutline>
        </w:rPr>
        <w:t>its equity components. For example, the Increased Rebate for income-qualified participants</w:t>
      </w:r>
      <w:r w:rsidR="00D16558">
        <w:rPr>
          <w:rFonts w:eastAsia="Calibri"/>
          <w:color w:val="000000"/>
          <w:u w:color="000000"/>
          <w14:textOutline w14:w="0" w14:cap="flat" w14:cmpd="sng" w14:algn="ctr">
            <w14:noFill/>
            <w14:prstDash w14:val="solid"/>
            <w14:bevel/>
          </w14:textOutline>
        </w:rPr>
        <w:t xml:space="preserve">, designed for inclusion, </w:t>
      </w:r>
      <w:r w:rsidR="00A21D9B">
        <w:rPr>
          <w:rFonts w:eastAsia="Calibri"/>
          <w:color w:val="000000"/>
          <w:u w:color="000000"/>
          <w14:textOutline w14:w="0" w14:cap="flat" w14:cmpd="sng" w14:algn="ctr">
            <w14:noFill/>
            <w14:prstDash w14:val="solid"/>
            <w14:bevel/>
          </w14:textOutline>
        </w:rPr>
        <w:t xml:space="preserve">has many benefits but tempers short-run cost-effectiveness metrics. As discussed in previous reporting </w:t>
      </w:r>
      <w:r w:rsidR="003958D5" w:rsidRPr="003958D5">
        <w:rPr>
          <w:rFonts w:cs="Calibri"/>
        </w:rPr>
        <w:t>(Pallonetti et al., 2024; B. D. H. Williams, 2025)</w:t>
      </w:r>
      <w:r w:rsidR="00A21D9B">
        <w:rPr>
          <w:rFonts w:eastAsia="Calibri"/>
          <w:color w:val="000000"/>
          <w:u w:color="000000"/>
          <w14:textOutline w14:w="0" w14:cap="flat" w14:cmpd="sng" w14:algn="ctr">
            <w14:noFill/>
            <w14:prstDash w14:val="solid"/>
            <w14:bevel/>
          </w14:textOutline>
        </w:rPr>
        <w:t xml:space="preserve">, this implies that </w:t>
      </w:r>
      <w:r w:rsidR="00A21D9B" w:rsidRPr="2F1055DC">
        <w:rPr>
          <w:rStyle w:val="Heading1Char"/>
          <w:rFonts w:eastAsia="Calibri"/>
          <w:sz w:val="22"/>
          <w:szCs w:val="22"/>
        </w:rPr>
        <w:t>a</w:t>
      </w:r>
      <w:r w:rsidR="00A21D9B">
        <w:t xml:space="preserve"> more nuanced, wholistic approach that considers market segments and program goals is warranted to evaluate program success. </w:t>
      </w:r>
    </w:p>
    <w:p w14:paraId="3DBD85BD" w14:textId="6AE7E52B" w:rsidR="00657589" w:rsidRDefault="001D335F" w:rsidP="0066008A">
      <w:pPr>
        <w:rPr>
          <w:rStyle w:val="Bold"/>
        </w:rPr>
      </w:pPr>
      <w:r>
        <w:t xml:space="preserve">Other </w:t>
      </w:r>
      <w:r w:rsidR="5A97A4B4">
        <w:t>example</w:t>
      </w:r>
      <w:r>
        <w:t>s</w:t>
      </w:r>
      <w:r w:rsidR="5A97A4B4">
        <w:t xml:space="preserve"> </w:t>
      </w:r>
      <w:r w:rsidR="00ED6CB0">
        <w:t>of</w:t>
      </w:r>
      <w:r w:rsidR="00741246">
        <w:t xml:space="preserve"> potential</w:t>
      </w:r>
      <w:r w:rsidR="00ED6CB0">
        <w:t xml:space="preserve"> scope expansions</w:t>
      </w:r>
      <w:r w:rsidR="00A10CE1">
        <w:t xml:space="preserve"> for future research</w:t>
      </w:r>
      <w:r w:rsidR="00ED6CB0">
        <w:t xml:space="preserve"> </w:t>
      </w:r>
      <w:r w:rsidR="0D525BCA">
        <w:t>include:</w:t>
      </w:r>
      <w:r w:rsidR="167B8A08">
        <w:t xml:space="preserve"> </w:t>
      </w:r>
      <w:r w:rsidR="24C5417E">
        <w:t xml:space="preserve">quantification of other vehicle pollutants </w:t>
      </w:r>
      <w:r w:rsidR="00DC345B">
        <w:t>and</w:t>
      </w:r>
      <w:r w:rsidR="24C5417E">
        <w:t xml:space="preserve"> vehicle life-cycle emissions impacts</w:t>
      </w:r>
      <w:r w:rsidR="00660540">
        <w:t>,</w:t>
      </w:r>
      <w:r w:rsidR="24C5417E">
        <w:t xml:space="preserve"> including those related to vehicle or battery production, maintenance and disposal; assessment of</w:t>
      </w:r>
      <w:r w:rsidR="0D525BCA">
        <w:t xml:space="preserve"> </w:t>
      </w:r>
      <w:r w:rsidR="5A97A4B4">
        <w:t>travel-</w:t>
      </w:r>
      <w:r w:rsidR="0D525BCA">
        <w:t>behavior effects and/or household-level impacts such as vehicle substitution for lengthy trips</w:t>
      </w:r>
      <w:r w:rsidR="2571C7CE">
        <w:t>;</w:t>
      </w:r>
      <w:r w:rsidR="0D525BCA">
        <w:t xml:space="preserve"> </w:t>
      </w:r>
      <w:r w:rsidR="24C5417E">
        <w:t>and</w:t>
      </w:r>
      <w:r w:rsidR="00562B9F">
        <w:t xml:space="preserve"> further</w:t>
      </w:r>
      <w:r w:rsidR="24C5417E">
        <w:t xml:space="preserve"> review of the literature</w:t>
      </w:r>
      <w:r w:rsidR="740C5B4B">
        <w:t xml:space="preserve"> </w:t>
      </w:r>
      <w:r w:rsidR="0D525BCA">
        <w:t xml:space="preserve">to </w:t>
      </w:r>
      <w:r w:rsidR="2571C7CE">
        <w:t xml:space="preserve">enrich </w:t>
      </w:r>
      <w:r w:rsidR="0D525BCA">
        <w:t xml:space="preserve">understanding of </w:t>
      </w:r>
      <w:r w:rsidR="740C5B4B">
        <w:t xml:space="preserve">program </w:t>
      </w:r>
      <w:r w:rsidR="0D525BCA">
        <w:t>influence, attribution, and cost-effectiveness.</w:t>
      </w:r>
      <w:r w:rsidR="7CF77AEB">
        <w:t xml:space="preserve"> </w:t>
      </w:r>
    </w:p>
    <w:p w14:paraId="166DCD9A" w14:textId="6ACFED4C" w:rsidR="007A3301" w:rsidRPr="003A15C4" w:rsidRDefault="12AB38CF" w:rsidP="003F648B">
      <w:pPr>
        <w:pStyle w:val="Heading"/>
        <w:spacing w:before="0"/>
        <w:rPr>
          <w:rStyle w:val="Heading1Char"/>
          <w:rFonts w:eastAsia="Arial Unicode MS"/>
        </w:rPr>
      </w:pPr>
      <w:bookmarkStart w:id="56" w:name="_Toc227069795"/>
      <w:r w:rsidRPr="7ACA0E52">
        <w:rPr>
          <w:rStyle w:val="Heading1Char"/>
        </w:rPr>
        <w:t xml:space="preserve">5. </w:t>
      </w:r>
      <w:r w:rsidR="5B0B5281" w:rsidRPr="7ACA0E52">
        <w:rPr>
          <w:rStyle w:val="Heading1Char"/>
        </w:rPr>
        <w:t>Summary</w:t>
      </w:r>
      <w:bookmarkEnd w:id="56"/>
    </w:p>
    <w:p w14:paraId="43972EF2" w14:textId="2EB7DA2F" w:rsidR="00A40C4A" w:rsidRDefault="006D5F67" w:rsidP="00A40C4A">
      <w:r>
        <w:t>This report</w:t>
      </w:r>
      <w:r w:rsidR="1BCC073B">
        <w:t xml:space="preserve"> </w:t>
      </w:r>
      <w:r w:rsidR="00C57A4B">
        <w:t>build</w:t>
      </w:r>
      <w:r>
        <w:t>s</w:t>
      </w:r>
      <w:r w:rsidR="00C57A4B">
        <w:t xml:space="preserve"> on</w:t>
      </w:r>
      <w:r w:rsidR="00CD06FA">
        <w:t xml:space="preserve"> CARB’s Funding Plans for Clean Transportation Incentives </w:t>
      </w:r>
      <w:r w:rsidR="00C01335">
        <w:t>(</w:t>
      </w:r>
      <w:r w:rsidR="00CD06FA">
        <w:t xml:space="preserve">e.g., </w:t>
      </w:r>
      <w:r w:rsidR="00C01335">
        <w:t>[</w:t>
      </w:r>
      <w:r w:rsidR="004B07EA" w:rsidRPr="004B07EA">
        <w:rPr>
          <w:rFonts w:cs="Calibri"/>
        </w:rPr>
        <w:t>CARB, 2017b</w:t>
      </w:r>
      <w:r w:rsidR="00CD06FA">
        <w:t>]</w:t>
      </w:r>
      <w:r w:rsidR="00C01335">
        <w:t>)</w:t>
      </w:r>
      <w:r w:rsidR="00CD06FA">
        <w:t xml:space="preserve"> and</w:t>
      </w:r>
      <w:r w:rsidR="00C57A4B">
        <w:t xml:space="preserve"> </w:t>
      </w:r>
      <w:r w:rsidR="00461139">
        <w:t xml:space="preserve">previous work by </w:t>
      </w:r>
      <w:r w:rsidR="00333358">
        <w:t>CSE</w:t>
      </w:r>
      <w:r w:rsidR="00461139">
        <w:t xml:space="preserve"> </w:t>
      </w:r>
      <w:r w:rsidR="00FD2EAE" w:rsidRPr="00FD2EAE">
        <w:rPr>
          <w:rFonts w:cs="Calibri"/>
        </w:rPr>
        <w:t>(Pallonetti et al., 2023, 2024; Pallonetti &amp; Williams, 2022a, 2022b; B. Williams &amp; Pallonetti, 2022)</w:t>
      </w:r>
      <w:r w:rsidR="00632233">
        <w:t xml:space="preserve"> </w:t>
      </w:r>
      <w:r w:rsidR="00CC48A0">
        <w:t xml:space="preserve">to </w:t>
      </w:r>
      <w:r w:rsidR="1BCC073B">
        <w:t>create a more detailed</w:t>
      </w:r>
      <w:r w:rsidR="004D0DF1">
        <w:t xml:space="preserve"> and</w:t>
      </w:r>
      <w:r w:rsidR="1BCC073B">
        <w:t xml:space="preserve"> context-specific </w:t>
      </w:r>
      <w:r w:rsidR="00D51189">
        <w:t>li</w:t>
      </w:r>
      <w:r w:rsidR="00A450B4">
        <w:t>fe-of-program accounting</w:t>
      </w:r>
      <w:r w:rsidR="1BCC073B">
        <w:t xml:space="preserve"> of </w:t>
      </w:r>
      <w:r w:rsidR="009647A0">
        <w:t>CVRP</w:t>
      </w:r>
      <w:r w:rsidR="00312E55">
        <w:t>’s</w:t>
      </w:r>
      <w:r w:rsidR="009647A0">
        <w:t xml:space="preserve"> </w:t>
      </w:r>
      <w:r w:rsidR="00312E55">
        <w:t xml:space="preserve">GHG </w:t>
      </w:r>
      <w:r w:rsidR="1BCC073B">
        <w:t>impacts and cost-effectiveness</w:t>
      </w:r>
      <w:r w:rsidR="33011331">
        <w:t>.</w:t>
      </w:r>
      <w:r w:rsidR="00F13846">
        <w:t xml:space="preserve"> Emissions are estimated using disaggregated data from nearly 600,000 approved CVRP rebate applications for plug-in hybrid electric vehicles (PHEVs), all-battery electric vehicles (BEVs), and fuel-cell electric vehicles (FCEVs)</w:t>
      </w:r>
      <w:r w:rsidR="001F2325">
        <w:t>,</w:t>
      </w:r>
      <w:r w:rsidR="00F13846">
        <w:t xml:space="preserve"> as well as from over 100,000 survey responses weighted to represent project participants.</w:t>
      </w:r>
      <w:r w:rsidR="0088291F">
        <w:t xml:space="preserve"> </w:t>
      </w:r>
      <w:r w:rsidR="000234FC">
        <w:t xml:space="preserve">Results are quantified </w:t>
      </w:r>
      <w:r w:rsidR="008D5E06">
        <w:t xml:space="preserve">at </w:t>
      </w:r>
      <w:r w:rsidR="0095082C">
        <w:t xml:space="preserve">various </w:t>
      </w:r>
      <w:r w:rsidR="008D5E06">
        <w:t>levels</w:t>
      </w:r>
      <w:r w:rsidR="0095082C" w:rsidRPr="0095082C">
        <w:t xml:space="preserve"> to </w:t>
      </w:r>
      <w:r w:rsidR="0095082C" w:rsidRPr="0095082C">
        <w:lastRenderedPageBreak/>
        <w:t xml:space="preserve">illustrate how </w:t>
      </w:r>
      <w:r w:rsidR="00601A15">
        <w:t xml:space="preserve">they </w:t>
      </w:r>
      <w:r w:rsidR="0095082C" w:rsidRPr="0095082C">
        <w:t>vary across different methodological approaches that have been implemented in prior studies of EV subsidy impacts.</w:t>
      </w:r>
    </w:p>
    <w:p w14:paraId="19F0CD89" w14:textId="6174C858" w:rsidR="00A40C4A" w:rsidRDefault="008D2023" w:rsidP="00A40C4A">
      <w:r>
        <w:t>Compared to new gasoline vehicles, GHG emission r</w:t>
      </w:r>
      <w:r w:rsidRPr="00785702">
        <w:t>eduction</w:t>
      </w:r>
      <w:r>
        <w:t>s associated</w:t>
      </w:r>
      <w:r w:rsidRPr="00785702">
        <w:t xml:space="preserve"> </w:t>
      </w:r>
      <w:r>
        <w:t xml:space="preserve">with </w:t>
      </w:r>
      <w:r w:rsidR="00E932F5">
        <w:t xml:space="preserve">all </w:t>
      </w:r>
      <w:r>
        <w:t xml:space="preserve">rebated EVs </w:t>
      </w:r>
      <w:r w:rsidRPr="00785702">
        <w:t xml:space="preserve">over the first year of ownership </w:t>
      </w:r>
      <w:r>
        <w:t xml:space="preserve">average </w:t>
      </w:r>
      <w:r w:rsidR="00F97A68">
        <w:t>2.2</w:t>
      </w:r>
      <w:r w:rsidR="00D81552">
        <w:t>–</w:t>
      </w:r>
      <w:r w:rsidR="00AB1E07">
        <w:t>3.6</w:t>
      </w:r>
      <w:r>
        <w:t xml:space="preserve"> </w:t>
      </w:r>
      <w:r w:rsidRPr="00785702">
        <w:t xml:space="preserve">metric tons of </w:t>
      </w:r>
      <w:r>
        <w:t>carbon-dioxide</w:t>
      </w:r>
      <w:r w:rsidRPr="00785702">
        <w:t xml:space="preserve">-equivalent emissions </w:t>
      </w:r>
      <w:r>
        <w:t>per vehicle, depending on the EV technology type.</w:t>
      </w:r>
      <w:r w:rsidR="1BCC073B" w:rsidRPr="00785702">
        <w:t xml:space="preserve"> </w:t>
      </w:r>
      <w:r w:rsidR="000428A3">
        <w:t>Over 100</w:t>
      </w:r>
      <w:r w:rsidR="00231A05">
        <w:t>,000 miles</w:t>
      </w:r>
      <w:r w:rsidR="00BE393C">
        <w:t xml:space="preserve"> of driving</w:t>
      </w:r>
      <w:r w:rsidR="00231A05">
        <w:t xml:space="preserve">, </w:t>
      </w:r>
      <w:r w:rsidR="003E773C">
        <w:t xml:space="preserve">an estimated total of </w:t>
      </w:r>
      <w:r w:rsidR="00AB1E07">
        <w:t>15.5</w:t>
      </w:r>
      <w:r w:rsidR="00BE393C">
        <w:t>M metric tons of carbon-dioxide</w:t>
      </w:r>
      <w:r w:rsidR="00BE393C" w:rsidRPr="00A40C4A">
        <w:rPr>
          <w:rFonts w:cs="Calibri"/>
        </w:rPr>
        <w:t>-equivalent</w:t>
      </w:r>
      <w:r w:rsidR="00BE393C">
        <w:rPr>
          <w:rFonts w:cs="Calibri"/>
        </w:rPr>
        <w:t xml:space="preserve"> emissions </w:t>
      </w:r>
      <w:r w:rsidR="00542F08">
        <w:rPr>
          <w:rFonts w:cs="Calibri"/>
        </w:rPr>
        <w:t>are estimated to</w:t>
      </w:r>
      <w:r w:rsidR="003E773C">
        <w:rPr>
          <w:rFonts w:cs="Calibri"/>
        </w:rPr>
        <w:t xml:space="preserve"> be </w:t>
      </w:r>
      <w:r w:rsidR="00BE393C">
        <w:rPr>
          <w:rFonts w:cs="Calibri"/>
        </w:rPr>
        <w:t>saved</w:t>
      </w:r>
      <w:r w:rsidR="00231A05">
        <w:t xml:space="preserve">. </w:t>
      </w:r>
      <w:r w:rsidR="1BCC073B" w:rsidRPr="00785702">
        <w:t xml:space="preserve">Comparing </w:t>
      </w:r>
      <w:r w:rsidR="1BCC073B" w:rsidRPr="00A40C4A">
        <w:rPr>
          <w:rFonts w:cs="Calibri"/>
        </w:rPr>
        <w:t>rebate costs to rebated-vehicle emissions benefits over a 100,000-mile quantification period produces CO</w:t>
      </w:r>
      <w:r w:rsidR="1BCC073B" w:rsidRPr="00A40C4A">
        <w:rPr>
          <w:rFonts w:cs="Calibri"/>
          <w:vertAlign w:val="subscript"/>
        </w:rPr>
        <w:t>2</w:t>
      </w:r>
      <w:r w:rsidR="1BCC073B" w:rsidRPr="00A40C4A">
        <w:rPr>
          <w:rFonts w:cs="Calibri"/>
        </w:rPr>
        <w:t xml:space="preserve">e abatement costs </w:t>
      </w:r>
      <w:r w:rsidR="006F5977">
        <w:rPr>
          <w:rFonts w:cs="Calibri"/>
        </w:rPr>
        <w:t xml:space="preserve">averaging </w:t>
      </w:r>
      <w:r w:rsidR="1BCC073B" w:rsidRPr="00A40C4A">
        <w:rPr>
          <w:rFonts w:cs="Calibri"/>
          <w:spacing w:val="-2"/>
        </w:rPr>
        <w:t>$</w:t>
      </w:r>
      <w:r w:rsidR="00351EA4">
        <w:rPr>
          <w:rFonts w:cs="Calibri"/>
          <w:spacing w:val="-2"/>
        </w:rPr>
        <w:t>93</w:t>
      </w:r>
      <w:r w:rsidR="00351EA4" w:rsidRPr="00A40C4A">
        <w:rPr>
          <w:rFonts w:cs="Calibri"/>
          <w:spacing w:val="-2"/>
        </w:rPr>
        <w:t xml:space="preserve"> </w:t>
      </w:r>
      <w:r w:rsidR="1BCC073B" w:rsidRPr="00A40C4A">
        <w:rPr>
          <w:rFonts w:cs="Calibri"/>
        </w:rPr>
        <w:t xml:space="preserve">per metric ton. </w:t>
      </w:r>
      <w:r w:rsidR="00AF317A">
        <w:rPr>
          <w:rFonts w:cs="Calibri"/>
        </w:rPr>
        <w:t xml:space="preserve">Approximately </w:t>
      </w:r>
      <w:r w:rsidR="00AF317A">
        <w:t>90% of reductions are associated with “</w:t>
      </w:r>
      <w:r w:rsidR="00AF317A" w:rsidRPr="2F1055DC">
        <w:rPr>
          <w:i/>
          <w:iCs/>
        </w:rPr>
        <w:t>Rebate-</w:t>
      </w:r>
      <w:r w:rsidR="00AF317A">
        <w:rPr>
          <w:i/>
          <w:iCs/>
        </w:rPr>
        <w:t>Important</w:t>
      </w:r>
      <w:r w:rsidR="00AF317A">
        <w:t xml:space="preserve">” participants (those who stated the rebate was at least moderately important in making it possible for them to acquire their EV). </w:t>
      </w:r>
      <w:r w:rsidR="00917CB3">
        <w:t xml:space="preserve">Further, </w:t>
      </w:r>
      <w:r w:rsidR="00917CB3">
        <w:rPr>
          <w:rFonts w:cs="Calibri"/>
        </w:rPr>
        <w:t>a</w:t>
      </w:r>
      <w:r w:rsidR="1BCC073B" w:rsidRPr="00A40C4A">
        <w:rPr>
          <w:rFonts w:cs="Calibri"/>
        </w:rPr>
        <w:t>pproximately</w:t>
      </w:r>
      <w:r w:rsidR="1BCC073B" w:rsidRPr="00785702">
        <w:t xml:space="preserve"> </w:t>
      </w:r>
      <w:r w:rsidR="00CB1664">
        <w:t>50</w:t>
      </w:r>
      <w:r w:rsidR="1BCC073B">
        <w:t xml:space="preserve">% </w:t>
      </w:r>
      <w:r w:rsidR="1BCC073B" w:rsidRPr="00785702">
        <w:t xml:space="preserve">of </w:t>
      </w:r>
      <w:r w:rsidR="2162A5E2">
        <w:t xml:space="preserve">the </w:t>
      </w:r>
      <w:r w:rsidR="1BCC073B">
        <w:t xml:space="preserve">rebated reductions </w:t>
      </w:r>
      <w:r w:rsidR="00CB1664">
        <w:t>over the life of the project</w:t>
      </w:r>
      <w:r w:rsidR="00A10E90">
        <w:t xml:space="preserve"> </w:t>
      </w:r>
      <w:r w:rsidR="1BCC073B" w:rsidRPr="00785702">
        <w:t>are associated with “</w:t>
      </w:r>
      <w:r w:rsidR="1BCC073B" w:rsidRPr="2F1055DC">
        <w:rPr>
          <w:i/>
          <w:iCs/>
        </w:rPr>
        <w:t>Rebate-Essential</w:t>
      </w:r>
      <w:r w:rsidR="1BCC073B" w:rsidRPr="00785702">
        <w:t xml:space="preserve">” participants who were </w:t>
      </w:r>
      <w:r w:rsidR="00917CB3">
        <w:t xml:space="preserve">even more </w:t>
      </w:r>
      <w:r w:rsidR="1BCC073B" w:rsidRPr="00785702">
        <w:t>highly influenced by the rebate</w:t>
      </w:r>
      <w:r w:rsidR="009230DE">
        <w:t>,</w:t>
      </w:r>
      <w:r w:rsidR="009230DE" w:rsidRPr="009230DE">
        <w:t xml:space="preserve"> </w:t>
      </w:r>
      <w:r w:rsidR="009230DE">
        <w:t>stating they would not have acquired their EV without it</w:t>
      </w:r>
      <w:r w:rsidR="1BCC073B" w:rsidRPr="00785702">
        <w:t xml:space="preserve">. </w:t>
      </w:r>
      <w:r w:rsidR="1BCC073B">
        <w:t xml:space="preserve">This metric can help to isolate the impacts that are </w:t>
      </w:r>
      <w:r w:rsidR="1BCC073B" w:rsidRPr="00C651E7">
        <w:t>attributable</w:t>
      </w:r>
      <w:r w:rsidR="1BCC073B">
        <w:t xml:space="preserve"> to the program. </w:t>
      </w:r>
      <w:r w:rsidR="2162A5E2" w:rsidRPr="2F1055DC">
        <w:rPr>
          <w:i/>
          <w:iCs/>
        </w:rPr>
        <w:t>Rebate Essentiality</w:t>
      </w:r>
      <w:r w:rsidR="2162A5E2">
        <w:t xml:space="preserve"> was more frequent for recipients of CVRP’s Increased Rebate for consumers with lower household incomes</w:t>
      </w:r>
      <w:r w:rsidR="00AD6BEB">
        <w:t xml:space="preserve"> (65%)</w:t>
      </w:r>
      <w:r w:rsidR="2162A5E2">
        <w:t xml:space="preserve"> and FCEV rebates</w:t>
      </w:r>
      <w:r w:rsidR="00AD6BEB">
        <w:t xml:space="preserve"> (71%)</w:t>
      </w:r>
      <w:r w:rsidR="2162A5E2">
        <w:t xml:space="preserve">. </w:t>
      </w:r>
      <w:r w:rsidR="1BCC073B">
        <w:t xml:space="preserve">Cost-effectiveness of </w:t>
      </w:r>
      <w:r w:rsidR="1BCC073B" w:rsidRPr="2F1055DC">
        <w:rPr>
          <w:i/>
          <w:iCs/>
        </w:rPr>
        <w:t>Rebate-Essential</w:t>
      </w:r>
      <w:r w:rsidR="1BCC073B" w:rsidRPr="004F36FA">
        <w:t xml:space="preserve"> </w:t>
      </w:r>
      <w:r w:rsidR="1BCC073B">
        <w:t xml:space="preserve">reductions range from </w:t>
      </w:r>
      <w:r w:rsidR="00A57099">
        <w:t>$</w:t>
      </w:r>
      <w:r w:rsidR="00E06B50">
        <w:t>172</w:t>
      </w:r>
      <w:r w:rsidR="00A57099">
        <w:t>–</w:t>
      </w:r>
      <w:r w:rsidR="00CF7981">
        <w:t>410</w:t>
      </w:r>
      <w:r w:rsidR="005E26CC">
        <w:t xml:space="preserve"> </w:t>
      </w:r>
      <w:r w:rsidR="00A57099">
        <w:t>per ton for PHEVs and FCEVs, respectively, and average $</w:t>
      </w:r>
      <w:r w:rsidR="00CF7981">
        <w:t>166</w:t>
      </w:r>
      <w:r w:rsidR="00A57099">
        <w:t xml:space="preserve"> and $</w:t>
      </w:r>
      <w:r w:rsidR="00CF7981">
        <w:t>299</w:t>
      </w:r>
      <w:r w:rsidR="00A57099">
        <w:t xml:space="preserve"> </w:t>
      </w:r>
      <w:r w:rsidR="2D7882D9">
        <w:t>per ton for Standard and Increased Rebates, respectively</w:t>
      </w:r>
      <w:r w:rsidR="1BCC073B">
        <w:t xml:space="preserve">. </w:t>
      </w:r>
    </w:p>
    <w:p w14:paraId="0411E3B8" w14:textId="6509B1BB" w:rsidR="00E27570" w:rsidRDefault="00691A55" w:rsidP="00D86DC5">
      <w:r>
        <w:t>To improve evaluation of the impact and cost-effectiveness of the pro</w:t>
      </w:r>
      <w:r w:rsidR="00C1161A">
        <w:t>gram</w:t>
      </w:r>
      <w:r>
        <w:t xml:space="preserve"> specifically, the emission reductions that are directly attributable to CVRP can be estimated using s</w:t>
      </w:r>
      <w:r w:rsidR="004A3FB1">
        <w:t xml:space="preserve">elf-reported </w:t>
      </w:r>
      <w:r w:rsidR="00F37690">
        <w:t xml:space="preserve">data </w:t>
      </w:r>
      <w:r w:rsidR="009778DC">
        <w:t>detailing a variety of</w:t>
      </w:r>
      <w:r w:rsidR="00F37690">
        <w:t xml:space="preserve"> </w:t>
      </w:r>
      <w:r w:rsidR="004A3FB1">
        <w:t xml:space="preserve">counterfactual behaviors </w:t>
      </w:r>
      <w:r w:rsidR="00667977">
        <w:t xml:space="preserve">that enable </w:t>
      </w:r>
      <w:r w:rsidR="00907F12">
        <w:t>nuanced assessment of the vehicl</w:t>
      </w:r>
      <w:r w:rsidR="00460B37">
        <w:t xml:space="preserve">e </w:t>
      </w:r>
      <w:proofErr w:type="gramStart"/>
      <w:r w:rsidR="00460B37">
        <w:t>types</w:t>
      </w:r>
      <w:proofErr w:type="gramEnd"/>
      <w:r w:rsidR="00907F12">
        <w:t xml:space="preserve"> </w:t>
      </w:r>
      <w:r w:rsidR="004A3FB1">
        <w:t xml:space="preserve">participants would </w:t>
      </w:r>
      <w:r w:rsidR="00F62D15">
        <w:t xml:space="preserve">have </w:t>
      </w:r>
      <w:r w:rsidR="00907F12">
        <w:t xml:space="preserve">driven </w:t>
      </w:r>
      <w:r w:rsidR="00797A78">
        <w:t xml:space="preserve">in absence of the </w:t>
      </w:r>
      <w:r w:rsidR="00A604AE">
        <w:t>rebate</w:t>
      </w:r>
      <w:r w:rsidR="00797A78">
        <w:t>.</w:t>
      </w:r>
      <w:r w:rsidR="00A604AE">
        <w:t xml:space="preserve"> </w:t>
      </w:r>
      <w:r w:rsidR="003E7F46">
        <w:t xml:space="preserve">Indeed, </w:t>
      </w:r>
      <w:r w:rsidR="00865DF3">
        <w:t xml:space="preserve">no more than </w:t>
      </w:r>
      <w:r w:rsidR="00463284" w:rsidRPr="0013310D">
        <w:t>2</w:t>
      </w:r>
      <w:r w:rsidR="00463284">
        <w:t>6</w:t>
      </w:r>
      <w:r w:rsidR="003E7F46">
        <w:t xml:space="preserve">% of </w:t>
      </w:r>
      <w:r w:rsidR="00996518">
        <w:t xml:space="preserve">respondents </w:t>
      </w:r>
      <w:r w:rsidR="00865DF3">
        <w:t xml:space="preserve">in any group analyzed </w:t>
      </w:r>
      <w:r w:rsidR="00996518">
        <w:t xml:space="preserve">stated they would have </w:t>
      </w:r>
      <w:r w:rsidR="00E978A3">
        <w:t xml:space="preserve">otherwise </w:t>
      </w:r>
      <w:r w:rsidR="00FF1080">
        <w:t xml:space="preserve">bought a new gasoline vehicle instead </w:t>
      </w:r>
      <w:r w:rsidR="00896492">
        <w:t>(</w:t>
      </w:r>
      <w:r w:rsidR="00FF1080">
        <w:t xml:space="preserve">the </w:t>
      </w:r>
      <w:r w:rsidR="00E8285B">
        <w:t>typically assumed</w:t>
      </w:r>
      <w:r w:rsidR="00FF1080">
        <w:t xml:space="preserve"> baseline vehicle </w:t>
      </w:r>
      <w:r w:rsidR="008768A3">
        <w:t>used to calculate emission reductions</w:t>
      </w:r>
      <w:r w:rsidR="00896492">
        <w:t>)</w:t>
      </w:r>
      <w:r w:rsidR="008768A3">
        <w:t>.</w:t>
      </w:r>
      <w:r w:rsidR="00996518">
        <w:t xml:space="preserve"> </w:t>
      </w:r>
      <w:r w:rsidR="000441B9">
        <w:t xml:space="preserve">Estimating </w:t>
      </w:r>
      <w:r w:rsidR="00FB7A77">
        <w:t xml:space="preserve">GHG </w:t>
      </w:r>
      <w:r w:rsidR="000441B9">
        <w:t xml:space="preserve">reductions </w:t>
      </w:r>
      <w:r w:rsidR="00655427">
        <w:t xml:space="preserve">from BEVs and PHEVs </w:t>
      </w:r>
      <w:r w:rsidR="00FB7A77">
        <w:t xml:space="preserve">using </w:t>
      </w:r>
      <w:r w:rsidR="00B02C4F">
        <w:t xml:space="preserve">these detailed </w:t>
      </w:r>
      <w:r w:rsidR="006F0125">
        <w:t xml:space="preserve">counterfactual </w:t>
      </w:r>
      <w:r w:rsidR="00594E60">
        <w:t xml:space="preserve">survey data </w:t>
      </w:r>
      <w:r w:rsidR="00BC7AD4">
        <w:t xml:space="preserve">increases </w:t>
      </w:r>
      <w:r w:rsidR="00E107A2">
        <w:t xml:space="preserve">the </w:t>
      </w:r>
      <w:r w:rsidR="001F096B">
        <w:t>c</w:t>
      </w:r>
      <w:r w:rsidR="00DE7DA0">
        <w:t>ost</w:t>
      </w:r>
      <w:r w:rsidR="00BC7AD4">
        <w:t>s</w:t>
      </w:r>
      <w:r w:rsidR="001F096B">
        <w:t xml:space="preserve"> </w:t>
      </w:r>
      <w:r w:rsidR="00DE7DA0">
        <w:t>of reductions</w:t>
      </w:r>
      <w:r w:rsidR="00286136">
        <w:t xml:space="preserve"> </w:t>
      </w:r>
      <w:r w:rsidR="00E93521">
        <w:t>t</w:t>
      </w:r>
      <w:r w:rsidR="00EA1695">
        <w:t xml:space="preserve">o </w:t>
      </w:r>
      <w:r w:rsidR="00022223" w:rsidRPr="00F41E57">
        <w:rPr>
          <w:rFonts w:cs="Calibri"/>
          <w:spacing w:val="-2"/>
        </w:rPr>
        <w:t>$</w:t>
      </w:r>
      <w:r w:rsidR="00BD74CB">
        <w:rPr>
          <w:rFonts w:cs="Calibri"/>
          <w:spacing w:val="-2"/>
        </w:rPr>
        <w:t>332</w:t>
      </w:r>
      <w:r w:rsidR="001C7B16">
        <w:rPr>
          <w:rFonts w:cs="Calibri"/>
          <w:spacing w:val="-2"/>
        </w:rPr>
        <w:t>–</w:t>
      </w:r>
      <w:r w:rsidR="005D1C00">
        <w:rPr>
          <w:rFonts w:cs="Calibri"/>
          <w:spacing w:val="-2"/>
        </w:rPr>
        <w:t>428</w:t>
      </w:r>
      <w:r w:rsidR="00710FF5">
        <w:rPr>
          <w:rFonts w:cs="Calibri"/>
          <w:spacing w:val="-2"/>
        </w:rPr>
        <w:t xml:space="preserve"> </w:t>
      </w:r>
      <w:r w:rsidR="00446A9D">
        <w:rPr>
          <w:rFonts w:cs="Calibri"/>
          <w:spacing w:val="-2"/>
        </w:rPr>
        <w:t xml:space="preserve">per ton </w:t>
      </w:r>
      <w:r w:rsidR="00710FF5">
        <w:rPr>
          <w:rFonts w:cs="Calibri"/>
          <w:spacing w:val="-2"/>
        </w:rPr>
        <w:t>for Standard Rebates</w:t>
      </w:r>
      <w:r w:rsidR="00754CF4">
        <w:rPr>
          <w:rFonts w:cs="Calibri"/>
          <w:spacing w:val="-2"/>
        </w:rPr>
        <w:t>,</w:t>
      </w:r>
      <w:r w:rsidR="00022223" w:rsidRPr="00F41E57">
        <w:rPr>
          <w:rFonts w:cs="Calibri"/>
          <w:spacing w:val="-2"/>
        </w:rPr>
        <w:t xml:space="preserve"> $</w:t>
      </w:r>
      <w:r w:rsidR="005D1C00">
        <w:rPr>
          <w:rFonts w:cs="Calibri"/>
          <w:spacing w:val="-2"/>
        </w:rPr>
        <w:t>548</w:t>
      </w:r>
      <w:r w:rsidR="00D3454D">
        <w:rPr>
          <w:rFonts w:cs="Calibri"/>
          <w:spacing w:val="-2"/>
        </w:rPr>
        <w:t>–</w:t>
      </w:r>
      <w:r w:rsidR="005D1C00">
        <w:rPr>
          <w:rFonts w:cs="Calibri"/>
          <w:spacing w:val="-2"/>
        </w:rPr>
        <w:t>667</w:t>
      </w:r>
      <w:r w:rsidR="00591AB2">
        <w:t xml:space="preserve"> </w:t>
      </w:r>
      <w:r w:rsidR="007B69F9">
        <w:t xml:space="preserve">for </w:t>
      </w:r>
      <w:r w:rsidR="00591AB2">
        <w:t>Increased Rebate</w:t>
      </w:r>
      <w:r w:rsidR="00D82576">
        <w:t>s</w:t>
      </w:r>
      <w:r w:rsidR="00754CF4">
        <w:t>, and $</w:t>
      </w:r>
      <w:r w:rsidR="00611D70">
        <w:t>386 overall</w:t>
      </w:r>
      <w:r w:rsidR="00EA1695">
        <w:t xml:space="preserve">. </w:t>
      </w:r>
      <w:r w:rsidR="008A7474">
        <w:t xml:space="preserve">Costs increase </w:t>
      </w:r>
      <w:r w:rsidR="0031623F">
        <w:t xml:space="preserve">because </w:t>
      </w:r>
      <w:r w:rsidR="004D7ABE">
        <w:t xml:space="preserve">many </w:t>
      </w:r>
      <w:r w:rsidR="008E1B99">
        <w:t xml:space="preserve">participants </w:t>
      </w:r>
      <w:r w:rsidR="0083753B">
        <w:t>stat</w:t>
      </w:r>
      <w:r w:rsidR="00DB39BB">
        <w:t>e</w:t>
      </w:r>
      <w:r w:rsidR="0083753B">
        <w:t xml:space="preserve"> </w:t>
      </w:r>
      <w:r w:rsidR="00875DF3">
        <w:t xml:space="preserve">that in absence of the rebate, </w:t>
      </w:r>
      <w:r w:rsidR="00EA1644">
        <w:t xml:space="preserve">they </w:t>
      </w:r>
      <w:r w:rsidR="004D7ABE">
        <w:t xml:space="preserve">would have </w:t>
      </w:r>
      <w:r w:rsidR="00EA1644">
        <w:t xml:space="preserve">alternatively </w:t>
      </w:r>
      <w:r w:rsidR="004D7ABE">
        <w:t xml:space="preserve">been driving </w:t>
      </w:r>
      <w:r w:rsidR="004134B8">
        <w:t xml:space="preserve">cleaner vehicles than </w:t>
      </w:r>
      <w:r w:rsidR="00836493">
        <w:t>th</w:t>
      </w:r>
      <w:r w:rsidR="00512A41">
        <w:t>os</w:t>
      </w:r>
      <w:r w:rsidR="00836493">
        <w:t>e</w:t>
      </w:r>
      <w:r w:rsidR="00512A41">
        <w:t xml:space="preserve"> represented </w:t>
      </w:r>
      <w:r w:rsidR="00B155D5">
        <w:t xml:space="preserve">by </w:t>
      </w:r>
      <w:r w:rsidR="00EB70A1">
        <w:t xml:space="preserve">a </w:t>
      </w:r>
      <w:r w:rsidR="00836493">
        <w:t>base</w:t>
      </w:r>
      <w:r w:rsidR="00D205EB">
        <w:t>line</w:t>
      </w:r>
      <w:r w:rsidR="00836493">
        <w:t xml:space="preserve"> </w:t>
      </w:r>
      <w:r w:rsidR="00EB70A1">
        <w:t>new gasoline vehicle</w:t>
      </w:r>
      <w:r w:rsidR="00033DC9">
        <w:t xml:space="preserve">. </w:t>
      </w:r>
      <w:r w:rsidR="008A5589">
        <w:t>Detailed c</w:t>
      </w:r>
      <w:r w:rsidR="008D4365">
        <w:t xml:space="preserve">ounterfactual </w:t>
      </w:r>
      <w:r w:rsidR="00A2466A">
        <w:t xml:space="preserve">reductions </w:t>
      </w:r>
      <w:r w:rsidR="00546FB5">
        <w:t xml:space="preserve">reveal </w:t>
      </w:r>
      <w:r w:rsidR="0086199B">
        <w:t>variations</w:t>
      </w:r>
      <w:r w:rsidR="00737CBB">
        <w:t xml:space="preserve"> across </w:t>
      </w:r>
      <w:r w:rsidR="00A236D4">
        <w:t xml:space="preserve">participant </w:t>
      </w:r>
      <w:r w:rsidR="00737CBB">
        <w:t xml:space="preserve">groups </w:t>
      </w:r>
      <w:r w:rsidR="00487E46">
        <w:t>due to differences in</w:t>
      </w:r>
      <w:r w:rsidR="00737CBB" w:rsidRPr="00737CBB">
        <w:t xml:space="preserve"> </w:t>
      </w:r>
      <w:r w:rsidR="00737CBB">
        <w:t>counterfactual behaviors between them</w:t>
      </w:r>
      <w:r w:rsidR="008D4365">
        <w:t>. BEV</w:t>
      </w:r>
      <w:r w:rsidR="00C00492">
        <w:t xml:space="preserve">s are more cost-effective than PHEVs </w:t>
      </w:r>
      <w:r w:rsidR="00BA3909">
        <w:t>under this analysis</w:t>
      </w:r>
      <w:r w:rsidR="005A0B49">
        <w:t>, despite their higher rebate amounts</w:t>
      </w:r>
      <w:r w:rsidR="00B86DC2">
        <w:t>.</w:t>
      </w:r>
      <w:r w:rsidR="008D4365">
        <w:t xml:space="preserve"> </w:t>
      </w:r>
      <w:r w:rsidR="00B86DC2">
        <w:t xml:space="preserve">Also, </w:t>
      </w:r>
      <w:r w:rsidR="008D4365">
        <w:t>Increased Rebate results improve relative to Standard Rebates</w:t>
      </w:r>
      <w:r w:rsidR="00B86DC2">
        <w:t xml:space="preserve"> primarily </w:t>
      </w:r>
      <w:r w:rsidR="006872DD">
        <w:t xml:space="preserve">due to </w:t>
      </w:r>
      <w:r w:rsidR="00B86DC2">
        <w:t>their counterfactual vehicles less frequently being other EVs</w:t>
      </w:r>
      <w:r w:rsidR="008D4365">
        <w:t>.</w:t>
      </w:r>
    </w:p>
    <w:p w14:paraId="05D68B44" w14:textId="0D496079" w:rsidR="000D22E5" w:rsidRPr="00E11D73" w:rsidRDefault="008C6BF4" w:rsidP="00D86DC5">
      <w:r>
        <w:t xml:space="preserve">The substantial variance in results across the </w:t>
      </w:r>
      <w:r w:rsidR="00BB0CB3">
        <w:t xml:space="preserve">different </w:t>
      </w:r>
      <w:r>
        <w:t>quantification levels (all</w:t>
      </w:r>
      <w:r w:rsidR="002E68D5">
        <w:t xml:space="preserve"> rebated</w:t>
      </w:r>
      <w:r>
        <w:t>, rebate</w:t>
      </w:r>
      <w:r w:rsidR="002012EB">
        <w:t>-</w:t>
      </w:r>
      <w:r>
        <w:t xml:space="preserve">influenced, and </w:t>
      </w:r>
      <w:r w:rsidR="00870846">
        <w:t xml:space="preserve">detailed </w:t>
      </w:r>
      <w:r>
        <w:t>counterfactual</w:t>
      </w:r>
      <w:r w:rsidR="005C56B6">
        <w:t xml:space="preserve"> reductions</w:t>
      </w:r>
      <w:r>
        <w:t xml:space="preserve">) underscores the importance </w:t>
      </w:r>
      <w:r w:rsidR="0017057E">
        <w:t>of detailed and context-specific analysis of the influence of programs on consumer behavior when evaluating program impacts</w:t>
      </w:r>
      <w:r>
        <w:t xml:space="preserve">. The wide range of cost-effectiveness </w:t>
      </w:r>
      <w:r w:rsidR="008C241F">
        <w:t>across</w:t>
      </w:r>
      <w:r>
        <w:t xml:space="preserve"> counterfactual response groups, but relatively expensive overall costs per ton of </w:t>
      </w:r>
      <w:r w:rsidR="001B1A0B">
        <w:t xml:space="preserve">counterfactual </w:t>
      </w:r>
      <w:r w:rsidR="000B6FED">
        <w:t>reductions,</w:t>
      </w:r>
      <w:r>
        <w:t xml:space="preserve"> </w:t>
      </w:r>
      <w:r w:rsidR="0001318B">
        <w:t>highlights</w:t>
      </w:r>
      <w:r>
        <w:t xml:space="preserve"> an opportunity </w:t>
      </w:r>
      <w:r w:rsidR="00B2334B">
        <w:t xml:space="preserve">for programs to </w:t>
      </w:r>
      <w:r>
        <w:lastRenderedPageBreak/>
        <w:t xml:space="preserve">improve cost-effectiveness by targeting consumers that are most highly influenced by </w:t>
      </w:r>
      <w:r w:rsidR="00406A41">
        <w:t xml:space="preserve">incentives </w:t>
      </w:r>
      <w:r>
        <w:t xml:space="preserve">to transition to EVs from high-emitting alternatives. </w:t>
      </w:r>
      <w:r w:rsidR="00E27570">
        <w:t xml:space="preserve">Forthcoming reporting </w:t>
      </w:r>
      <w:r w:rsidR="00A85C98">
        <w:t xml:space="preserve">will evaluate in more detail </w:t>
      </w:r>
      <w:r w:rsidR="00E27570">
        <w:t xml:space="preserve">the GHG cost-effectiveness </w:t>
      </w:r>
      <w:r w:rsidR="00A85C98">
        <w:t xml:space="preserve">and counterfactual behaviors </w:t>
      </w:r>
      <w:r w:rsidR="00E27570">
        <w:t xml:space="preserve">of </w:t>
      </w:r>
      <w:r w:rsidR="00485495">
        <w:t xml:space="preserve">CVRP-rebated EVs </w:t>
      </w:r>
      <w:r w:rsidR="00E27570">
        <w:t>purchased in 2023</w:t>
      </w:r>
      <w:r w:rsidR="00485495">
        <w:t>.</w:t>
      </w:r>
      <w:r w:rsidR="00E27570">
        <w:t xml:space="preserve"> </w:t>
      </w:r>
      <w:r w:rsidR="00C97F64">
        <w:t xml:space="preserve">This study </w:t>
      </w:r>
      <w:r w:rsidR="00767D31">
        <w:t>can</w:t>
      </w:r>
      <w:r w:rsidR="00E27570">
        <w:t xml:space="preserve"> help inform other programs b</w:t>
      </w:r>
      <w:r w:rsidR="00781222">
        <w:t xml:space="preserve">y </w:t>
      </w:r>
      <w:r w:rsidR="00BE3BFB">
        <w:t xml:space="preserve">focusing on </w:t>
      </w:r>
      <w:r w:rsidR="00E27570">
        <w:t>the most recent consumer behaviors and equity-focused CVRP program design.</w:t>
      </w:r>
      <w:r w:rsidR="00E57A7B">
        <w:rPr>
          <w:rStyle w:val="Heading1Char"/>
          <w:rFonts w:eastAsia="Calibri"/>
          <w:sz w:val="22"/>
          <w:szCs w:val="22"/>
        </w:rPr>
        <w:t xml:space="preserve"> </w:t>
      </w:r>
      <w:r w:rsidR="00620AB1">
        <w:t xml:space="preserve">  </w:t>
      </w:r>
    </w:p>
    <w:p w14:paraId="0C12BD0D" w14:textId="7C3B7C92" w:rsidR="001862B1" w:rsidRPr="00E11D73" w:rsidRDefault="008138DE" w:rsidP="2F1055DC">
      <w:r>
        <w:rPr>
          <w:color w:val="auto"/>
        </w:rPr>
        <w:t xml:space="preserve">Because CVRP ran for roughly 13 years, it spanned both the burgeoning of the EV market and various program designs as it evolved to meet the needs of the developing EV landscape. </w:t>
      </w:r>
      <w:r w:rsidRPr="2F1055DC">
        <w:rPr>
          <w:color w:val="auto"/>
        </w:rPr>
        <w:t>The</w:t>
      </w:r>
      <w:r>
        <w:rPr>
          <w:color w:val="auto"/>
        </w:rPr>
        <w:t>refore, the</w:t>
      </w:r>
      <w:r w:rsidR="001862B1" w:rsidRPr="2F1055DC">
        <w:rPr>
          <w:color w:val="auto"/>
        </w:rPr>
        <w:t xml:space="preserve"> emission-reduction and cost-effectiveness results should be interpreted in the context of program design and market dynamics</w:t>
      </w:r>
      <w:r w:rsidR="00796AB6">
        <w:rPr>
          <w:color w:val="auto"/>
        </w:rPr>
        <w:t xml:space="preserve"> over time</w:t>
      </w:r>
      <w:r w:rsidR="001862B1" w:rsidRPr="2F1055DC">
        <w:rPr>
          <w:color w:val="auto"/>
        </w:rPr>
        <w:t xml:space="preserve">. For example, </w:t>
      </w:r>
      <w:r w:rsidR="00921B2E">
        <w:rPr>
          <w:color w:val="auto"/>
        </w:rPr>
        <w:t>Standard R</w:t>
      </w:r>
      <w:r w:rsidR="00D44A56">
        <w:rPr>
          <w:color w:val="auto"/>
        </w:rPr>
        <w:t>ebate amounts</w:t>
      </w:r>
      <w:r w:rsidR="00E134C7">
        <w:rPr>
          <w:color w:val="auto"/>
        </w:rPr>
        <w:t xml:space="preserve"> </w:t>
      </w:r>
      <w:r w:rsidR="00921B2E">
        <w:rPr>
          <w:color w:val="auto"/>
        </w:rPr>
        <w:t xml:space="preserve">decreased over time while Increased Rebates </w:t>
      </w:r>
      <w:r w:rsidR="00D376CA">
        <w:rPr>
          <w:color w:val="auto"/>
        </w:rPr>
        <w:t xml:space="preserve">(after their introduction in 2016) increased over time. </w:t>
      </w:r>
      <w:r w:rsidR="0039519E">
        <w:rPr>
          <w:color w:val="auto"/>
        </w:rPr>
        <w:t>Similarly</w:t>
      </w:r>
      <w:r w:rsidR="00D376CA">
        <w:rPr>
          <w:color w:val="auto"/>
        </w:rPr>
        <w:t xml:space="preserve">, </w:t>
      </w:r>
      <w:r w:rsidR="00D44A56">
        <w:rPr>
          <w:color w:val="auto"/>
        </w:rPr>
        <w:t xml:space="preserve">vehicle-based and consumer-income-based eligibility criteria </w:t>
      </w:r>
      <w:r w:rsidR="003C27B6">
        <w:rPr>
          <w:color w:val="auto"/>
        </w:rPr>
        <w:t xml:space="preserve">rolled out and became more stringent </w:t>
      </w:r>
      <w:r w:rsidR="00D44A56">
        <w:rPr>
          <w:color w:val="auto"/>
        </w:rPr>
        <w:t>over time.</w:t>
      </w:r>
      <w:r w:rsidR="0039519E">
        <w:rPr>
          <w:color w:val="auto"/>
        </w:rPr>
        <w:t xml:space="preserve"> The market also developed throughout the course of the program, with major </w:t>
      </w:r>
      <w:r w:rsidR="0026119E">
        <w:rPr>
          <w:color w:val="auto"/>
        </w:rPr>
        <w:t xml:space="preserve">changes </w:t>
      </w:r>
      <w:r w:rsidR="0039519E">
        <w:rPr>
          <w:color w:val="auto"/>
        </w:rPr>
        <w:t xml:space="preserve">including </w:t>
      </w:r>
      <w:r w:rsidR="003D610A">
        <w:rPr>
          <w:color w:val="auto"/>
        </w:rPr>
        <w:t>drastic increases in BEV range and BEV popularity, as well as rapid proliferation of SUVs in recent years.</w:t>
      </w:r>
    </w:p>
    <w:p w14:paraId="0B58A88D" w14:textId="74FCCF97" w:rsidR="006E796C" w:rsidRDefault="7B85D2AC" w:rsidP="000E10EB">
      <w:r>
        <w:t xml:space="preserve">Various opportunities for </w:t>
      </w:r>
      <w:r w:rsidR="00807903">
        <w:t xml:space="preserve">future research </w:t>
      </w:r>
      <w:r>
        <w:t xml:space="preserve">have been identified. </w:t>
      </w:r>
      <w:r w:rsidR="00C75105">
        <w:t xml:space="preserve">This includes expanding the scope of analysis to attempt </w:t>
      </w:r>
      <w:r w:rsidR="001505E5">
        <w:t xml:space="preserve">to </w:t>
      </w:r>
      <w:r w:rsidR="000150B9">
        <w:t xml:space="preserve">include </w:t>
      </w:r>
      <w:r w:rsidR="001505E5">
        <w:t xml:space="preserve">important, but difficult to quantify, dynamic/long-term benefits. </w:t>
      </w:r>
      <w:r w:rsidR="65B2F38F">
        <w:t>The s</w:t>
      </w:r>
      <w:r>
        <w:t xml:space="preserve">ensitivity analysis </w:t>
      </w:r>
      <w:r w:rsidR="65B2F38F">
        <w:t xml:space="preserve">can be used to inform </w:t>
      </w:r>
      <w:r w:rsidR="00F24F3F">
        <w:t xml:space="preserve">other </w:t>
      </w:r>
      <w:r w:rsidR="65B2F38F">
        <w:t xml:space="preserve">impactful </w:t>
      </w:r>
      <w:r w:rsidR="009E0A39">
        <w:t xml:space="preserve">areas of </w:t>
      </w:r>
      <w:r w:rsidR="00B24F96">
        <w:t>focus</w:t>
      </w:r>
      <w:r w:rsidR="65B2F38F">
        <w:t>.</w:t>
      </w:r>
      <w:r>
        <w:t xml:space="preserve"> </w:t>
      </w:r>
      <w:r w:rsidR="1BCC073B">
        <w:t xml:space="preserve">The results are found to be particularly sensitive to baseline vehicle fuel efficiency and quantification period (i.e., total number of operational miles or VMT/year). Uncertainty in those and other inputs presents opportunities for </w:t>
      </w:r>
      <w:r w:rsidR="00A53EDA">
        <w:t>refinement in future work aiming to understand the emission benefits of EV</w:t>
      </w:r>
      <w:r w:rsidR="00BB0435">
        <w:t xml:space="preserve"> incentives</w:t>
      </w:r>
      <w:r w:rsidR="1BCC073B">
        <w:t>.</w:t>
      </w:r>
    </w:p>
    <w:p w14:paraId="2E8A61F0" w14:textId="2F4BD5DF" w:rsidR="007A3301" w:rsidRPr="003A15C4" w:rsidRDefault="7BDD560A" w:rsidP="00295DB9">
      <w:pPr>
        <w:pStyle w:val="Heading1"/>
      </w:pPr>
      <w:bookmarkStart w:id="57" w:name="_Toc227069796"/>
      <w:r w:rsidRPr="7ACA0E52">
        <w:t>Acknowledgements</w:t>
      </w:r>
      <w:bookmarkEnd w:id="57"/>
    </w:p>
    <w:p w14:paraId="0DDC1213" w14:textId="3EE9F8C5" w:rsidR="007A3301" w:rsidRPr="007A3301" w:rsidRDefault="6268DB47" w:rsidP="007A3301">
      <w:r>
        <w:t xml:space="preserve">This study was conducted by the Center for Sustainable Energy </w:t>
      </w:r>
      <w:r w:rsidR="65B2F38F">
        <w:t>on behalf of</w:t>
      </w:r>
      <w:r>
        <w:t xml:space="preserve"> CVRP and we thank CARB staff for the opportunity to contribute to the conversation. However, it does not necessarily represent the views of CARB. Nor does it represent a final determination. The authors thank </w:t>
      </w:r>
      <w:r w:rsidR="65B2F38F">
        <w:t>all who provided feedback on the report (and we invite additional feedback)</w:t>
      </w:r>
      <w:r w:rsidR="00C067FC">
        <w:t>, as well as</w:t>
      </w:r>
      <w:r w:rsidR="004150CF">
        <w:t xml:space="preserve"> </w:t>
      </w:r>
      <w:r w:rsidR="00AF7C3F">
        <w:t xml:space="preserve">those who </w:t>
      </w:r>
      <w:r w:rsidR="004150CF">
        <w:t>supported</w:t>
      </w:r>
      <w:r w:rsidR="005F70A8">
        <w:t xml:space="preserve"> this and</w:t>
      </w:r>
      <w:r w:rsidR="004150CF">
        <w:t xml:space="preserve"> prior works</w:t>
      </w:r>
      <w:r w:rsidR="65B2F38F">
        <w:t xml:space="preserve">. Particular thanks are due </w:t>
      </w:r>
      <w:r w:rsidR="00C3621D">
        <w:t xml:space="preserve">here </w:t>
      </w:r>
      <w:r w:rsidR="65B2F38F">
        <w:t>to</w:t>
      </w:r>
      <w:r w:rsidR="002F215D">
        <w:t xml:space="preserve"> </w:t>
      </w:r>
      <w:r w:rsidR="006538FB">
        <w:t>Luc R</w:t>
      </w:r>
      <w:r w:rsidR="00F34194">
        <w:t>ief</w:t>
      </w:r>
      <w:r w:rsidR="006538FB">
        <w:t xml:space="preserve">fel </w:t>
      </w:r>
      <w:r w:rsidR="002D4F6A">
        <w:t xml:space="preserve">and </w:t>
      </w:r>
      <w:r w:rsidR="00180D28">
        <w:t xml:space="preserve">Dee </w:t>
      </w:r>
      <w:proofErr w:type="spellStart"/>
      <w:r w:rsidR="00180D28">
        <w:t>Dee</w:t>
      </w:r>
      <w:proofErr w:type="spellEnd"/>
      <w:r w:rsidR="00180D28">
        <w:t xml:space="preserve"> Daniel </w:t>
      </w:r>
      <w:r>
        <w:t>for support</w:t>
      </w:r>
      <w:r w:rsidR="00164028">
        <w:t>ing the development of the codebase for this analysis</w:t>
      </w:r>
      <w:r>
        <w:t>.</w:t>
      </w:r>
      <w:r w:rsidR="00132003">
        <w:t xml:space="preserve"> The authors also thank Meridith Bartley, Dillman Delgado, </w:t>
      </w:r>
      <w:r w:rsidR="00081ED0">
        <w:t xml:space="preserve">Jaskirat Kaur, </w:t>
      </w:r>
      <w:r w:rsidR="00132003">
        <w:t xml:space="preserve">and Aria Gehrmann for </w:t>
      </w:r>
      <w:r w:rsidR="00861C4E">
        <w:t>their research assistance</w:t>
      </w:r>
      <w:r w:rsidR="00132003">
        <w:t>.</w:t>
      </w:r>
      <w:r w:rsidR="002B0CA7" w:rsidRPr="002B0CA7">
        <w:rPr>
          <w:rFonts w:eastAsia="Calibri" w:cs="Calibri"/>
          <w:sz w:val="20"/>
          <w:szCs w:val="20"/>
        </w:rPr>
        <w:t xml:space="preserve"> </w:t>
      </w:r>
      <w:r w:rsidR="002B0CA7" w:rsidRPr="7ACA0E52">
        <w:rPr>
          <w:rFonts w:eastAsia="Calibri" w:cs="Calibri"/>
          <w:sz w:val="20"/>
          <w:szCs w:val="20"/>
        </w:rPr>
        <w:t xml:space="preserve"> </w:t>
      </w:r>
    </w:p>
    <w:p w14:paraId="2E3C2541" w14:textId="77777777" w:rsidR="004003D6" w:rsidRDefault="004003D6">
      <w:pPr>
        <w:spacing w:after="0" w:line="240" w:lineRule="auto"/>
        <w:rPr>
          <w:rStyle w:val="Heading1Char"/>
        </w:rPr>
      </w:pPr>
      <w:r w:rsidRPr="7ACA0E52">
        <w:rPr>
          <w:rStyle w:val="Heading1Char"/>
        </w:rPr>
        <w:br w:type="page"/>
      </w:r>
    </w:p>
    <w:p w14:paraId="70BF486D" w14:textId="4962EC26" w:rsidR="007A3301" w:rsidRDefault="37BDF954" w:rsidP="00ED7A41">
      <w:pPr>
        <w:pStyle w:val="Heading1"/>
      </w:pPr>
      <w:bookmarkStart w:id="58" w:name="_Toc227069797"/>
      <w:bookmarkStart w:id="59" w:name="_Hlk119310913"/>
      <w:r>
        <w:lastRenderedPageBreak/>
        <w:t xml:space="preserve">Appendix A: </w:t>
      </w:r>
      <w:r w:rsidR="007E638E">
        <w:t xml:space="preserve">GHG </w:t>
      </w:r>
      <w:r w:rsidR="7BDD560A">
        <w:t>Input</w:t>
      </w:r>
      <w:r w:rsidR="68132EC1">
        <w:t xml:space="preserve"> Values</w:t>
      </w:r>
      <w:bookmarkEnd w:id="58"/>
    </w:p>
    <w:bookmarkEnd w:id="59"/>
    <w:p w14:paraId="0AF175DA" w14:textId="6F99D490" w:rsidR="007A3301" w:rsidRDefault="00E628B0" w:rsidP="007A3301">
      <w:pPr>
        <w:pStyle w:val="Body"/>
      </w:pPr>
      <w:r>
        <w:rPr>
          <w:rStyle w:val="Bold"/>
          <w:b w:val="0"/>
          <w:bCs w:val="0"/>
        </w:rPr>
        <w:t>Time-variant and s</w:t>
      </w:r>
      <w:r w:rsidR="68132EC1" w:rsidRPr="7ACA0E52">
        <w:rPr>
          <w:rStyle w:val="Bold"/>
          <w:b w:val="0"/>
          <w:bCs w:val="0"/>
        </w:rPr>
        <w:t>tate-specific or other best-available inputs tailored to the program are used to quantify emissions from each baseline and rebated vehicle.</w:t>
      </w:r>
      <w:r w:rsidR="621929E0" w:rsidRPr="7ACA0E52">
        <w:rPr>
          <w:rStyle w:val="Bold"/>
          <w:b w:val="0"/>
          <w:bCs w:val="0"/>
        </w:rPr>
        <w:t xml:space="preserve"> </w:t>
      </w:r>
      <w:r w:rsidR="621929E0">
        <w:t>Each are described further below.</w:t>
      </w:r>
    </w:p>
    <w:p w14:paraId="7073572A" w14:textId="23E2C9DD" w:rsidR="00822943" w:rsidRDefault="621929E0" w:rsidP="00CF11AE">
      <w:pPr>
        <w:pStyle w:val="Heading2"/>
      </w:pPr>
      <w:bookmarkStart w:id="60" w:name="_Toc227069798"/>
      <w:r>
        <w:t>Carbon Intensity of Fuels</w:t>
      </w:r>
      <w:bookmarkEnd w:id="60"/>
    </w:p>
    <w:p w14:paraId="5661C929" w14:textId="2CA12EEA" w:rsidR="00BB3AED" w:rsidRDefault="0E45665D" w:rsidP="006F44F5">
      <w:r>
        <w:t xml:space="preserve">Consistent with </w:t>
      </w:r>
      <w:r w:rsidR="00FD2EAE" w:rsidRPr="00FD2EAE">
        <w:rPr>
          <w:rFonts w:cs="Calibri"/>
        </w:rPr>
        <w:t>(CARB, 2017b)</w:t>
      </w:r>
      <w:r>
        <w:t xml:space="preserve">, </w:t>
      </w:r>
      <w:r w:rsidR="1F0AD60B">
        <w:t xml:space="preserve">emissions are </w:t>
      </w:r>
      <w:r>
        <w:t>calculat</w:t>
      </w:r>
      <w:r w:rsidR="1F0AD60B">
        <w:t>ed</w:t>
      </w:r>
      <w:r>
        <w:t xml:space="preserve"> us</w:t>
      </w:r>
      <w:r w:rsidR="1F0AD60B">
        <w:t>ing</w:t>
      </w:r>
      <w:r>
        <w:t xml:space="preserve"> statewide average fuel carbon intensity (CI) values from California’s Low Carbon Fuel Standard (LCFS) regulation </w:t>
      </w:r>
      <w:r w:rsidR="00CD5735" w:rsidRPr="00CD5735">
        <w:rPr>
          <w:rFonts w:cs="Calibri"/>
        </w:rPr>
        <w:t>(CARB, 2020b, 2025a, 2025b)</w:t>
      </w:r>
      <w:r>
        <w:t xml:space="preserve">. These values account for </w:t>
      </w:r>
      <w:r w:rsidR="65B2F38F">
        <w:t>carbon-dioxide-equivalent (</w:t>
      </w:r>
      <w:r>
        <w:t>CO</w:t>
      </w:r>
      <w:r w:rsidRPr="2F1055DC">
        <w:rPr>
          <w:vertAlign w:val="subscript"/>
        </w:rPr>
        <w:t>2</w:t>
      </w:r>
      <w:r>
        <w:t>e</w:t>
      </w:r>
      <w:r w:rsidR="65B2F38F">
        <w:t>)</w:t>
      </w:r>
      <w:r>
        <w:t xml:space="preserve"> emi</w:t>
      </w:r>
      <w:r w:rsidR="65B2F38F">
        <w:t xml:space="preserve">ssions </w:t>
      </w:r>
      <w:r>
        <w:t>over the entire well-to-wheels fuel cycle</w:t>
      </w:r>
      <w:r w:rsidR="00871ABF">
        <w:t xml:space="preserve"> for gasoline, hydrogen, and electric</w:t>
      </w:r>
      <w:r w:rsidR="008F2F28">
        <w:t>ity</w:t>
      </w:r>
      <w:r w:rsidR="00DF4CF5">
        <w:t>—</w:t>
      </w:r>
      <w:r>
        <w:t xml:space="preserve">including upstream (e.g., fuel production and distribution) and combustion emissions. </w:t>
      </w:r>
      <w:r w:rsidR="5730B634">
        <w:t xml:space="preserve">The values used in this work, detailed in Table A1, </w:t>
      </w:r>
      <w:r w:rsidR="001818F2">
        <w:t xml:space="preserve">all </w:t>
      </w:r>
      <w:r w:rsidR="2E5F7701">
        <w:t>represent the California transportation fuel pool</w:t>
      </w:r>
      <w:r w:rsidR="5730B634">
        <w:t xml:space="preserve">. </w:t>
      </w:r>
    </w:p>
    <w:p w14:paraId="282D430F" w14:textId="3E2A4398" w:rsidR="00E12E36" w:rsidRPr="00B90CFD" w:rsidRDefault="015F4E45" w:rsidP="00E36781">
      <w:pPr>
        <w:pStyle w:val="TableFigureNumber0"/>
        <w:rPr>
          <w:b/>
          <w:bCs/>
          <w:color w:val="0579BD"/>
        </w:rPr>
      </w:pPr>
      <w:r w:rsidRPr="00B90CFD">
        <w:rPr>
          <w:color w:val="0579BD"/>
        </w:rPr>
        <w:t>TABLE A1</w:t>
      </w:r>
    </w:p>
    <w:p w14:paraId="54F43D2A" w14:textId="33348576" w:rsidR="00E12E36" w:rsidRDefault="1C7C6EA3" w:rsidP="00DC0498">
      <w:pPr>
        <w:pStyle w:val="TableFigureheader"/>
        <w:spacing w:after="120"/>
      </w:pPr>
      <w:r>
        <w:t>Fuel Life-Cycle Carbon Intensity Values and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710"/>
        <w:gridCol w:w="6282"/>
      </w:tblGrid>
      <w:tr w:rsidR="006F44F5" w:rsidRPr="00A10071" w14:paraId="1B19BA44" w14:textId="77777777" w:rsidTr="7ACA0E52">
        <w:trPr>
          <w:jc w:val="center"/>
        </w:trPr>
        <w:tc>
          <w:tcPr>
            <w:tcW w:w="1255" w:type="dxa"/>
            <w:shd w:val="clear" w:color="auto" w:fill="3C3A4C"/>
          </w:tcPr>
          <w:p w14:paraId="181EA530" w14:textId="77777777" w:rsidR="006F44F5" w:rsidRPr="003A15C4" w:rsidRDefault="0E45665D" w:rsidP="00153335">
            <w:pPr>
              <w:pStyle w:val="Tabletext"/>
              <w:rPr>
                <w:rFonts w:cs="Calibri"/>
                <w:b/>
                <w:color w:val="FFFFFF" w:themeColor="background1"/>
              </w:rPr>
            </w:pPr>
            <w:r w:rsidRPr="7ACA0E52">
              <w:rPr>
                <w:rFonts w:cs="Calibri"/>
                <w:b/>
                <w:bCs/>
                <w:color w:val="FFFFFF" w:themeColor="background1"/>
              </w:rPr>
              <w:t>Fuel</w:t>
            </w:r>
          </w:p>
        </w:tc>
        <w:tc>
          <w:tcPr>
            <w:tcW w:w="1710" w:type="dxa"/>
            <w:shd w:val="clear" w:color="auto" w:fill="3C3A4C"/>
            <w:vAlign w:val="center"/>
          </w:tcPr>
          <w:p w14:paraId="6AB3DF0D" w14:textId="35037111" w:rsidR="006F44F5" w:rsidRPr="003A15C4" w:rsidDel="005A122E" w:rsidRDefault="0E45665D" w:rsidP="00153335">
            <w:pPr>
              <w:pStyle w:val="Tabletext"/>
              <w:jc w:val="left"/>
              <w:rPr>
                <w:rFonts w:cs="Calibri"/>
                <w:b/>
                <w:color w:val="FFFFFF" w:themeColor="background1"/>
              </w:rPr>
            </w:pPr>
            <w:r w:rsidRPr="7ACA0E52">
              <w:rPr>
                <w:rFonts w:cs="Calibri"/>
                <w:b/>
                <w:bCs/>
                <w:color w:val="FFFFFF" w:themeColor="background1"/>
              </w:rPr>
              <w:t xml:space="preserve">Carbon </w:t>
            </w:r>
            <w:r w:rsidR="00574ABF">
              <w:rPr>
                <w:rFonts w:cs="Calibri"/>
                <w:b/>
                <w:bCs/>
                <w:color w:val="FFFFFF" w:themeColor="background1"/>
              </w:rPr>
              <w:t>I</w:t>
            </w:r>
            <w:r w:rsidRPr="7ACA0E52">
              <w:rPr>
                <w:rFonts w:cs="Calibri"/>
                <w:b/>
                <w:bCs/>
                <w:color w:val="FFFFFF" w:themeColor="background1"/>
              </w:rPr>
              <w:t>ntensity</w:t>
            </w:r>
          </w:p>
        </w:tc>
        <w:tc>
          <w:tcPr>
            <w:tcW w:w="6282" w:type="dxa"/>
            <w:shd w:val="clear" w:color="auto" w:fill="3C3A4C"/>
            <w:vAlign w:val="center"/>
          </w:tcPr>
          <w:p w14:paraId="1180F3E8" w14:textId="053A19B5" w:rsidR="006F44F5" w:rsidRPr="009F6BA8" w:rsidRDefault="0E45665D" w:rsidP="00153335">
            <w:pPr>
              <w:pStyle w:val="Tabletext"/>
              <w:rPr>
                <w:rFonts w:cs="Calibri"/>
                <w:b/>
                <w:bCs/>
                <w:color w:val="FFFFFF" w:themeColor="background1"/>
              </w:rPr>
            </w:pPr>
            <w:proofErr w:type="gramStart"/>
            <w:r w:rsidRPr="7ACA0E52">
              <w:rPr>
                <w:rFonts w:cs="Calibri"/>
                <w:b/>
                <w:bCs/>
                <w:color w:val="FFFFFF" w:themeColor="background1"/>
              </w:rPr>
              <w:t>Detail</w:t>
            </w:r>
            <w:proofErr w:type="gramEnd"/>
            <w:r w:rsidRPr="7ACA0E52">
              <w:rPr>
                <w:rFonts w:cs="Calibri"/>
                <w:b/>
                <w:bCs/>
                <w:color w:val="FFFFFF" w:themeColor="background1"/>
              </w:rPr>
              <w:t xml:space="preserve"> and </w:t>
            </w:r>
            <w:r w:rsidR="00574ABF">
              <w:rPr>
                <w:rFonts w:cs="Calibri"/>
                <w:b/>
                <w:bCs/>
                <w:color w:val="FFFFFF" w:themeColor="background1"/>
              </w:rPr>
              <w:t>S</w:t>
            </w:r>
            <w:r w:rsidRPr="7ACA0E52">
              <w:rPr>
                <w:rFonts w:cs="Calibri"/>
                <w:b/>
                <w:bCs/>
                <w:color w:val="FFFFFF" w:themeColor="background1"/>
              </w:rPr>
              <w:t>ources</w:t>
            </w:r>
          </w:p>
        </w:tc>
      </w:tr>
      <w:tr w:rsidR="006F44F5" w:rsidRPr="00147F98" w14:paraId="77A69EF0" w14:textId="77777777" w:rsidTr="7ACA0E52">
        <w:trPr>
          <w:jc w:val="center"/>
        </w:trPr>
        <w:tc>
          <w:tcPr>
            <w:tcW w:w="1255" w:type="dxa"/>
          </w:tcPr>
          <w:p w14:paraId="450B71E8" w14:textId="77777777" w:rsidR="006F44F5" w:rsidRPr="006F44F5" w:rsidRDefault="0E45665D" w:rsidP="7ACA0E52">
            <w:pPr>
              <w:pStyle w:val="Tabletext"/>
              <w:rPr>
                <w:rFonts w:cs="Calibri"/>
              </w:rPr>
            </w:pPr>
            <w:r w:rsidRPr="7ACA0E52">
              <w:rPr>
                <w:rFonts w:cs="Calibri"/>
              </w:rPr>
              <w:t xml:space="preserve">Gasoline </w:t>
            </w:r>
          </w:p>
        </w:tc>
        <w:tc>
          <w:tcPr>
            <w:tcW w:w="1710" w:type="dxa"/>
            <w:vAlign w:val="center"/>
          </w:tcPr>
          <w:p w14:paraId="631DBBC1" w14:textId="21F0ECAE" w:rsidR="006F44F5" w:rsidRPr="006F44F5" w:rsidRDefault="0E45665D" w:rsidP="7ACA0E52">
            <w:pPr>
              <w:pStyle w:val="Tabletext"/>
              <w:jc w:val="left"/>
              <w:rPr>
                <w:rFonts w:cs="Calibri"/>
              </w:rPr>
            </w:pPr>
            <w:r w:rsidRPr="7ACA0E52">
              <w:rPr>
                <w:rFonts w:cs="Calibri"/>
              </w:rPr>
              <w:t>1</w:t>
            </w:r>
            <w:r w:rsidR="00DA2317">
              <w:rPr>
                <w:rFonts w:cs="Calibri"/>
              </w:rPr>
              <w:t>1,</w:t>
            </w:r>
            <w:r w:rsidR="00D311E1">
              <w:rPr>
                <w:rFonts w:cs="Calibri"/>
              </w:rPr>
              <w:t>485</w:t>
            </w:r>
            <w:r w:rsidRPr="7ACA0E52">
              <w:rPr>
                <w:rFonts w:cs="Calibri"/>
              </w:rPr>
              <w:t xml:space="preserve"> gCO</w:t>
            </w:r>
            <w:r w:rsidRPr="7ACA0E52">
              <w:rPr>
                <w:rFonts w:cs="Calibri"/>
                <w:vertAlign w:val="subscript"/>
              </w:rPr>
              <w:t>2</w:t>
            </w:r>
            <w:r w:rsidRPr="7ACA0E52">
              <w:rPr>
                <w:rFonts w:cs="Calibri"/>
              </w:rPr>
              <w:t>e/gal</w:t>
            </w:r>
          </w:p>
        </w:tc>
        <w:tc>
          <w:tcPr>
            <w:tcW w:w="6282" w:type="dxa"/>
            <w:vAlign w:val="center"/>
          </w:tcPr>
          <w:p w14:paraId="06B8B93A" w14:textId="2060908E" w:rsidR="006F44F5" w:rsidRPr="006F44F5" w:rsidRDefault="0E45665D" w:rsidP="7ACA0E52">
            <w:pPr>
              <w:pStyle w:val="Tabletext"/>
              <w:rPr>
                <w:rFonts w:cs="Calibri"/>
              </w:rPr>
            </w:pPr>
            <w:r w:rsidRPr="7ACA0E52">
              <w:rPr>
                <w:rFonts w:cs="Calibri"/>
              </w:rPr>
              <w:t>LCFS</w:t>
            </w:r>
            <w:r w:rsidR="00BF671E">
              <w:rPr>
                <w:rFonts w:cs="Calibri"/>
              </w:rPr>
              <w:t xml:space="preserve"> baseline</w:t>
            </w:r>
            <w:r w:rsidR="009D34C0">
              <w:rPr>
                <w:rFonts w:cs="Calibri"/>
              </w:rPr>
              <w:t xml:space="preserve"> </w:t>
            </w:r>
            <w:r w:rsidR="00CD5735" w:rsidRPr="00CD5735">
              <w:rPr>
                <w:rFonts w:cs="Calibri"/>
              </w:rPr>
              <w:t>(CARB, 2025b)</w:t>
            </w:r>
            <w:r w:rsidRPr="7ACA0E52">
              <w:rPr>
                <w:rFonts w:cs="Calibri"/>
              </w:rPr>
              <w:t xml:space="preserve">, </w:t>
            </w:r>
            <w:r w:rsidR="00BB0452">
              <w:rPr>
                <w:rFonts w:cs="Calibri"/>
              </w:rPr>
              <w:t xml:space="preserve">using </w:t>
            </w:r>
            <w:r w:rsidRPr="7ACA0E52">
              <w:rPr>
                <w:rFonts w:cs="Calibri"/>
              </w:rPr>
              <w:t>conver</w:t>
            </w:r>
            <w:r w:rsidR="00BB0452">
              <w:rPr>
                <w:rFonts w:cs="Calibri"/>
              </w:rPr>
              <w:t>sion</w:t>
            </w:r>
            <w:r w:rsidRPr="7ACA0E52">
              <w:rPr>
                <w:rFonts w:cs="Calibri"/>
              </w:rPr>
              <w:t xml:space="preserve"> from </w:t>
            </w:r>
            <w:r w:rsidR="00FD2EAE" w:rsidRPr="00FD2EAE">
              <w:rPr>
                <w:rFonts w:cs="Calibri"/>
              </w:rPr>
              <w:t>(CARB, 2020b)</w:t>
            </w:r>
          </w:p>
        </w:tc>
      </w:tr>
      <w:tr w:rsidR="006F44F5" w:rsidRPr="009D774D" w14:paraId="28686458" w14:textId="77777777" w:rsidTr="7ACA0E52">
        <w:trPr>
          <w:jc w:val="center"/>
        </w:trPr>
        <w:tc>
          <w:tcPr>
            <w:tcW w:w="1255" w:type="dxa"/>
            <w:tcBorders>
              <w:bottom w:val="single" w:sz="4" w:space="0" w:color="auto"/>
            </w:tcBorders>
            <w:vAlign w:val="center"/>
          </w:tcPr>
          <w:p w14:paraId="4E2C5838" w14:textId="77777777" w:rsidR="006F44F5" w:rsidRPr="003A15C4" w:rsidRDefault="0E45665D" w:rsidP="00153335">
            <w:pPr>
              <w:pStyle w:val="Tabletext"/>
              <w:jc w:val="left"/>
              <w:rPr>
                <w:rFonts w:cs="Calibri"/>
              </w:rPr>
            </w:pPr>
            <w:r w:rsidRPr="7ACA0E52">
              <w:rPr>
                <w:rFonts w:cs="Calibri"/>
              </w:rPr>
              <w:t xml:space="preserve">Electricity </w:t>
            </w:r>
          </w:p>
        </w:tc>
        <w:tc>
          <w:tcPr>
            <w:tcW w:w="1710" w:type="dxa"/>
            <w:tcBorders>
              <w:bottom w:val="single" w:sz="4" w:space="0" w:color="auto"/>
            </w:tcBorders>
            <w:vAlign w:val="center"/>
          </w:tcPr>
          <w:p w14:paraId="16414014" w14:textId="79A4AB54" w:rsidR="006F44F5" w:rsidRPr="003A15C4" w:rsidRDefault="00D311E1" w:rsidP="00153335">
            <w:pPr>
              <w:pStyle w:val="Tabletext"/>
              <w:jc w:val="left"/>
              <w:rPr>
                <w:rFonts w:cs="Calibri"/>
              </w:rPr>
            </w:pPr>
            <w:r>
              <w:rPr>
                <w:rFonts w:cs="Calibri"/>
              </w:rPr>
              <w:t>252–</w:t>
            </w:r>
            <w:r w:rsidR="007C561E">
              <w:rPr>
                <w:rFonts w:cs="Calibri"/>
              </w:rPr>
              <w:t>379</w:t>
            </w:r>
            <w:r w:rsidR="00E24CC9">
              <w:rPr>
                <w:rFonts w:cs="Calibri"/>
              </w:rPr>
              <w:t xml:space="preserve"> </w:t>
            </w:r>
            <w:r w:rsidR="0E45665D" w:rsidRPr="7ACA0E52">
              <w:rPr>
                <w:rFonts w:cs="Calibri"/>
              </w:rPr>
              <w:t>gCO</w:t>
            </w:r>
            <w:r w:rsidR="0E45665D" w:rsidRPr="7ACA0E52">
              <w:rPr>
                <w:rFonts w:cs="Calibri"/>
                <w:vertAlign w:val="subscript"/>
              </w:rPr>
              <w:t>2</w:t>
            </w:r>
            <w:r w:rsidR="0E45665D" w:rsidRPr="7ACA0E52">
              <w:rPr>
                <w:rFonts w:cs="Calibri"/>
              </w:rPr>
              <w:t>e/kWh</w:t>
            </w:r>
          </w:p>
        </w:tc>
        <w:tc>
          <w:tcPr>
            <w:tcW w:w="6282" w:type="dxa"/>
            <w:tcBorders>
              <w:bottom w:val="single" w:sz="4" w:space="0" w:color="auto"/>
            </w:tcBorders>
            <w:vAlign w:val="center"/>
          </w:tcPr>
          <w:p w14:paraId="6043E9AC" w14:textId="669A0E96" w:rsidR="006F44F5" w:rsidRPr="008A58AF" w:rsidRDefault="0E45665D" w:rsidP="00153335">
            <w:pPr>
              <w:pStyle w:val="Tabletext"/>
              <w:rPr>
                <w:rFonts w:cs="Calibri"/>
              </w:rPr>
            </w:pPr>
            <w:r w:rsidRPr="7ACA0E52">
              <w:rPr>
                <w:rFonts w:cs="Calibri"/>
              </w:rPr>
              <w:t>LCFS annual update</w:t>
            </w:r>
            <w:r w:rsidR="00563EF8">
              <w:rPr>
                <w:rFonts w:cs="Calibri"/>
              </w:rPr>
              <w:t>s</w:t>
            </w:r>
            <w:r w:rsidR="00CD6534">
              <w:rPr>
                <w:rFonts w:cs="Calibri"/>
              </w:rPr>
              <w:t xml:space="preserve"> for data years </w:t>
            </w:r>
            <w:r w:rsidR="00073C07">
              <w:rPr>
                <w:rFonts w:cs="Calibri"/>
              </w:rPr>
              <w:t xml:space="preserve">spanning </w:t>
            </w:r>
            <w:r w:rsidR="00157610">
              <w:rPr>
                <w:rFonts w:cs="Calibri"/>
              </w:rPr>
              <w:t>2015–</w:t>
            </w:r>
            <w:r w:rsidR="00846C06">
              <w:rPr>
                <w:rFonts w:cs="Calibri"/>
              </w:rPr>
              <w:t>2023</w:t>
            </w:r>
            <w:r w:rsidR="00842FC4">
              <w:rPr>
                <w:rFonts w:cs="Calibri"/>
              </w:rPr>
              <w:t xml:space="preserve"> </w:t>
            </w:r>
            <w:r w:rsidR="00CD5735" w:rsidRPr="00CD5735">
              <w:rPr>
                <w:rFonts w:cs="Calibri"/>
              </w:rPr>
              <w:t>(CARB, 2025a)</w:t>
            </w:r>
            <w:r w:rsidRPr="7ACA0E52">
              <w:rPr>
                <w:rFonts w:cs="Calibri"/>
              </w:rPr>
              <w:t xml:space="preserve">, </w:t>
            </w:r>
            <w:r w:rsidR="00E33B8B">
              <w:rPr>
                <w:rFonts w:cs="Calibri"/>
              </w:rPr>
              <w:t xml:space="preserve">using </w:t>
            </w:r>
            <w:r w:rsidRPr="7ACA0E52">
              <w:rPr>
                <w:rFonts w:cs="Calibri"/>
              </w:rPr>
              <w:t>conver</w:t>
            </w:r>
            <w:r w:rsidR="004C08C0">
              <w:rPr>
                <w:rFonts w:cs="Calibri"/>
              </w:rPr>
              <w:t>sion</w:t>
            </w:r>
            <w:r w:rsidRPr="7ACA0E52">
              <w:rPr>
                <w:rFonts w:cs="Calibri"/>
              </w:rPr>
              <w:t xml:space="preserve"> from</w:t>
            </w:r>
            <w:r w:rsidR="56F39647" w:rsidRPr="7ACA0E52">
              <w:rPr>
                <w:rFonts w:cs="Calibri"/>
              </w:rPr>
              <w:t xml:space="preserve"> </w:t>
            </w:r>
            <w:r w:rsidR="00FD2EAE" w:rsidRPr="00FD2EAE">
              <w:rPr>
                <w:rFonts w:cs="Calibri"/>
              </w:rPr>
              <w:t>(CARB, 2020b)</w:t>
            </w:r>
            <w:r w:rsidR="00073C07">
              <w:t xml:space="preserve">, see Figure </w:t>
            </w:r>
            <w:r w:rsidR="0063369B">
              <w:t>A1</w:t>
            </w:r>
            <w:r w:rsidR="00073C07">
              <w:t xml:space="preserve"> for</w:t>
            </w:r>
            <w:r w:rsidR="00912272">
              <w:t xml:space="preserve"> annual </w:t>
            </w:r>
            <w:r w:rsidR="00073C07">
              <w:t>detail</w:t>
            </w:r>
            <w:r w:rsidR="002D4964">
              <w:t xml:space="preserve">. 2023 value used </w:t>
            </w:r>
            <w:r w:rsidR="005A31A0">
              <w:t xml:space="preserve">for 2023 and later, as a conservatism </w:t>
            </w:r>
            <w:r w:rsidR="00C60FE6">
              <w:t>(</w:t>
            </w:r>
            <w:r w:rsidR="005A31A0">
              <w:t xml:space="preserve">the rate of </w:t>
            </w:r>
            <w:r w:rsidR="00564D74">
              <w:t xml:space="preserve">expected </w:t>
            </w:r>
            <w:r w:rsidR="005A31A0">
              <w:t xml:space="preserve">future </w:t>
            </w:r>
            <w:r w:rsidR="00564D74">
              <w:t xml:space="preserve">decreases </w:t>
            </w:r>
            <w:r w:rsidR="005A31A0">
              <w:t>is unknown</w:t>
            </w:r>
            <w:r w:rsidR="00C60FE6">
              <w:t>)</w:t>
            </w:r>
            <w:r w:rsidR="00CC62DC">
              <w:t>.</w:t>
            </w:r>
          </w:p>
        </w:tc>
      </w:tr>
      <w:tr w:rsidR="006F44F5" w:rsidRPr="009D774D" w14:paraId="65559739" w14:textId="77777777" w:rsidTr="7ACA0E52">
        <w:trPr>
          <w:jc w:val="center"/>
        </w:trPr>
        <w:tc>
          <w:tcPr>
            <w:tcW w:w="1255" w:type="dxa"/>
            <w:tcBorders>
              <w:bottom w:val="single" w:sz="4" w:space="0" w:color="auto"/>
            </w:tcBorders>
            <w:vAlign w:val="center"/>
          </w:tcPr>
          <w:p w14:paraId="47DE5D48" w14:textId="77777777" w:rsidR="006F44F5" w:rsidRPr="003A15C4" w:rsidRDefault="0E45665D" w:rsidP="00153335">
            <w:pPr>
              <w:pStyle w:val="Tabletext"/>
              <w:jc w:val="left"/>
              <w:rPr>
                <w:rFonts w:cs="Calibri"/>
              </w:rPr>
            </w:pPr>
            <w:r w:rsidRPr="7ACA0E52">
              <w:rPr>
                <w:rFonts w:cs="Calibri"/>
              </w:rPr>
              <w:t xml:space="preserve">Hydrogen </w:t>
            </w:r>
          </w:p>
        </w:tc>
        <w:tc>
          <w:tcPr>
            <w:tcW w:w="1710" w:type="dxa"/>
            <w:tcBorders>
              <w:bottom w:val="single" w:sz="4" w:space="0" w:color="auto"/>
            </w:tcBorders>
            <w:vAlign w:val="center"/>
          </w:tcPr>
          <w:p w14:paraId="38AD80C7" w14:textId="77777777" w:rsidR="006F44F5" w:rsidRPr="003A15C4" w:rsidRDefault="0E45665D" w:rsidP="00153335">
            <w:pPr>
              <w:pStyle w:val="Tabletext"/>
              <w:jc w:val="left"/>
              <w:rPr>
                <w:rFonts w:cs="Calibri"/>
              </w:rPr>
            </w:pPr>
            <w:r w:rsidRPr="7ACA0E52">
              <w:rPr>
                <w:rFonts w:cs="Calibri"/>
              </w:rPr>
              <w:t>13,393 gCO</w:t>
            </w:r>
            <w:r w:rsidRPr="7ACA0E52">
              <w:rPr>
                <w:rFonts w:cs="Calibri"/>
                <w:vertAlign w:val="subscript"/>
              </w:rPr>
              <w:t>2</w:t>
            </w:r>
            <w:r w:rsidRPr="7ACA0E52">
              <w:rPr>
                <w:rFonts w:cs="Calibri"/>
              </w:rPr>
              <w:t>e/kg</w:t>
            </w:r>
          </w:p>
        </w:tc>
        <w:tc>
          <w:tcPr>
            <w:tcW w:w="6282" w:type="dxa"/>
            <w:tcBorders>
              <w:bottom w:val="single" w:sz="4" w:space="0" w:color="auto"/>
            </w:tcBorders>
            <w:vAlign w:val="center"/>
          </w:tcPr>
          <w:p w14:paraId="7332222A" w14:textId="0D761A10" w:rsidR="006F44F5" w:rsidRPr="006F44F5" w:rsidRDefault="0E45665D" w:rsidP="00153335">
            <w:pPr>
              <w:pStyle w:val="Tabletext"/>
              <w:rPr>
                <w:rFonts w:cs="Calibri"/>
              </w:rPr>
            </w:pPr>
            <w:r w:rsidRPr="7ACA0E52">
              <w:rPr>
                <w:rFonts w:cs="Calibri"/>
              </w:rPr>
              <w:t>SB 1505-compliant 33% renewable mix, converted from</w:t>
            </w:r>
            <w:r w:rsidR="56F39647" w:rsidRPr="7ACA0E52">
              <w:rPr>
                <w:rFonts w:cs="Calibri"/>
              </w:rPr>
              <w:t xml:space="preserve"> </w:t>
            </w:r>
            <w:r w:rsidR="00FD2EAE" w:rsidRPr="00FD2EAE">
              <w:rPr>
                <w:rFonts w:cs="Calibri"/>
              </w:rPr>
              <w:t>(CARB, 2020b)</w:t>
            </w:r>
          </w:p>
        </w:tc>
      </w:tr>
    </w:tbl>
    <w:p w14:paraId="0D88A1B6" w14:textId="77777777" w:rsidR="00291C93" w:rsidRDefault="00291C93" w:rsidP="00AC696C">
      <w:pPr>
        <w:spacing w:after="0" w:line="240" w:lineRule="auto"/>
      </w:pPr>
      <w:bookmarkStart w:id="61" w:name="_Hlk119310916"/>
    </w:p>
    <w:p w14:paraId="07FCF295" w14:textId="79D16737" w:rsidR="00291C93" w:rsidRPr="00B90CFD" w:rsidRDefault="0026056E" w:rsidP="00E36781">
      <w:pPr>
        <w:pStyle w:val="TableFigureNumber0"/>
        <w:keepNext/>
        <w:rPr>
          <w:b/>
          <w:bCs/>
          <w:color w:val="0579BD"/>
        </w:rPr>
      </w:pPr>
      <w:r w:rsidRPr="00B90CFD">
        <w:rPr>
          <w:color w:val="0579BD"/>
        </w:rPr>
        <w:lastRenderedPageBreak/>
        <w:t xml:space="preserve">FIGURE </w:t>
      </w:r>
      <w:r w:rsidR="00291C93" w:rsidRPr="00B90CFD">
        <w:rPr>
          <w:color w:val="0579BD"/>
        </w:rPr>
        <w:t>A1</w:t>
      </w:r>
    </w:p>
    <w:p w14:paraId="0DF304B7" w14:textId="5BFF0D88" w:rsidR="00291C93" w:rsidRDefault="00315DE0" w:rsidP="004C08C0">
      <w:pPr>
        <w:pStyle w:val="TableFigureheader"/>
        <w:keepNext/>
        <w:spacing w:after="120"/>
      </w:pPr>
      <w:r>
        <w:t xml:space="preserve">Electricity </w:t>
      </w:r>
      <w:r w:rsidR="00291C93">
        <w:t xml:space="preserve">Life-Cycle Carbon Intensity </w:t>
      </w:r>
    </w:p>
    <w:p w14:paraId="3225E049" w14:textId="74CE3AEC" w:rsidR="00C3719E" w:rsidRDefault="5B84C834" w:rsidP="00B61477">
      <w:pPr>
        <w:pStyle w:val="TableFigureheader"/>
        <w:spacing w:after="120"/>
      </w:pPr>
      <w:r>
        <w:rPr>
          <w:noProof/>
        </w:rPr>
        <w:drawing>
          <wp:inline distT="0" distB="0" distL="0" distR="0" wp14:anchorId="5E102100" wp14:editId="1C255B0A">
            <wp:extent cx="4983480" cy="2986894"/>
            <wp:effectExtent l="0" t="0" r="7620" b="4445"/>
            <wp:docPr id="1017023513" name="drawing" descr="Line chart displaying the carbon intensity of electricity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3513" name="drawing" descr="Line chart displaying the carbon intensity of electricity by year."/>
                    <pic:cNvPicPr/>
                  </pic:nvPicPr>
                  <pic:blipFill>
                    <a:blip r:embed="rId30">
                      <a:extLst>
                        <a:ext uri="{28A0092B-C50C-407E-A947-70E740481C1C}">
                          <a14:useLocalDpi xmlns:a14="http://schemas.microsoft.com/office/drawing/2010/main"/>
                        </a:ext>
                      </a:extLst>
                    </a:blip>
                    <a:stretch>
                      <a:fillRect/>
                    </a:stretch>
                  </pic:blipFill>
                  <pic:spPr>
                    <a:xfrm>
                      <a:off x="0" y="0"/>
                      <a:ext cx="4985571" cy="2988147"/>
                    </a:xfrm>
                    <a:prstGeom prst="rect">
                      <a:avLst/>
                    </a:prstGeom>
                  </pic:spPr>
                </pic:pic>
              </a:graphicData>
            </a:graphic>
          </wp:inline>
        </w:drawing>
      </w:r>
      <w:r w:rsidR="007732DA">
        <w:tab/>
      </w:r>
    </w:p>
    <w:p w14:paraId="32DB069B" w14:textId="75E375AA" w:rsidR="00822943" w:rsidRDefault="621929E0" w:rsidP="00CF11AE">
      <w:pPr>
        <w:pStyle w:val="Heading2"/>
      </w:pPr>
      <w:bookmarkStart w:id="62" w:name="_Toc227069799"/>
      <w:r>
        <w:t>Fuel Consumption Rate</w:t>
      </w:r>
      <w:bookmarkEnd w:id="62"/>
    </w:p>
    <w:bookmarkEnd w:id="61"/>
    <w:p w14:paraId="54ED52EB" w14:textId="51C871D2" w:rsidR="00B96F52" w:rsidRDefault="0E45665D" w:rsidP="00F67316">
      <w:r>
        <w:t>Rebated</w:t>
      </w:r>
      <w:r w:rsidR="00CA70D8">
        <w:t xml:space="preserve"> </w:t>
      </w:r>
      <w:r>
        <w:t xml:space="preserve">vehicle fuel consumption rates are </w:t>
      </w:r>
      <w:r w:rsidR="6EAF6964">
        <w:t>converted</w:t>
      </w:r>
      <w:r w:rsidR="37465D1A">
        <w:t xml:space="preserve"> for each rebated vehicle</w:t>
      </w:r>
      <w:r w:rsidR="6EAF6964">
        <w:t xml:space="preserve"> from </w:t>
      </w:r>
      <w:r>
        <w:t xml:space="preserve">the model- and model-year-specific combined city/highway </w:t>
      </w:r>
      <w:r w:rsidR="6EAF6964">
        <w:t xml:space="preserve">fuel economy </w:t>
      </w:r>
      <w:r>
        <w:t xml:space="preserve">ratings from the EPA </w:t>
      </w:r>
      <w:r w:rsidR="00FD2EAE" w:rsidRPr="00FD2EAE">
        <w:rPr>
          <w:rFonts w:cs="Calibri"/>
        </w:rPr>
        <w:t>(US Department of Energy &amp; US Environmental Protection Agency, 2024)</w:t>
      </w:r>
      <w:r>
        <w:t>.</w:t>
      </w:r>
      <w:r w:rsidR="0AAE9FED">
        <w:t xml:space="preserve"> </w:t>
      </w:r>
      <w:r w:rsidR="00766F60">
        <w:t>As</w:t>
      </w:r>
      <w:r w:rsidR="00766F60" w:rsidRPr="000A5A8B">
        <w:t xml:space="preserve"> </w:t>
      </w:r>
      <w:r w:rsidR="00766F60">
        <w:t xml:space="preserve">displayed </w:t>
      </w:r>
      <w:r w:rsidR="00766F60" w:rsidRPr="000A5A8B">
        <w:t xml:space="preserve">in </w:t>
      </w:r>
      <w:r w:rsidR="00766F60">
        <w:t xml:space="preserve">Figure </w:t>
      </w:r>
      <w:r w:rsidR="00766F60" w:rsidRPr="000A5A8B">
        <w:rPr>
          <w:color w:val="auto"/>
        </w:rPr>
        <w:t>A2</w:t>
      </w:r>
      <w:r w:rsidR="00766F60">
        <w:rPr>
          <w:color w:val="auto"/>
        </w:rPr>
        <w:t xml:space="preserve">, </w:t>
      </w:r>
      <w:r w:rsidR="00766F60">
        <w:t>a</w:t>
      </w:r>
      <w:r w:rsidR="00BD7B05" w:rsidRPr="000A5A8B">
        <w:t xml:space="preserve">verages of the model-specific EV fuel </w:t>
      </w:r>
      <w:r w:rsidR="00BD7B05">
        <w:t xml:space="preserve">efficiency </w:t>
      </w:r>
      <w:r w:rsidR="00BD7B05" w:rsidRPr="000A5A8B">
        <w:t xml:space="preserve">rates </w:t>
      </w:r>
      <w:r w:rsidR="00DA7C4E">
        <w:t>tended to gradually increase over time</w:t>
      </w:r>
      <w:r w:rsidR="00766F60">
        <w:t xml:space="preserve"> through </w:t>
      </w:r>
      <w:r w:rsidR="00C63EAC">
        <w:t>2018 for BEVs and 2020 for PHEVs</w:t>
      </w:r>
      <w:r w:rsidR="00696E91">
        <w:t xml:space="preserve">. </w:t>
      </w:r>
      <w:r w:rsidR="008938EE">
        <w:t xml:space="preserve">Afterwards, average </w:t>
      </w:r>
      <w:r w:rsidR="00A234E8">
        <w:t xml:space="preserve">BEV efficiency declined </w:t>
      </w:r>
      <w:proofErr w:type="gramStart"/>
      <w:r w:rsidR="00A234E8">
        <w:t>modestly</w:t>
      </w:r>
      <w:proofErr w:type="gramEnd"/>
      <w:r w:rsidR="00A234E8">
        <w:t xml:space="preserve"> </w:t>
      </w:r>
      <w:r w:rsidR="008938EE">
        <w:t>and PHEV efficiency declined substantially</w:t>
      </w:r>
      <w:r w:rsidR="00173BBA">
        <w:rPr>
          <w:color w:val="auto"/>
        </w:rPr>
        <w:t>.</w:t>
      </w:r>
      <w:r w:rsidR="008938EE">
        <w:rPr>
          <w:color w:val="auto"/>
        </w:rPr>
        <w:t xml:space="preserve"> </w:t>
      </w:r>
      <w:r w:rsidR="00E02200">
        <w:rPr>
          <w:color w:val="auto"/>
        </w:rPr>
        <w:t>T</w:t>
      </w:r>
      <w:r w:rsidR="00906883">
        <w:rPr>
          <w:color w:val="auto"/>
        </w:rPr>
        <w:t xml:space="preserve">here were </w:t>
      </w:r>
      <w:r w:rsidR="00E02200">
        <w:rPr>
          <w:color w:val="auto"/>
        </w:rPr>
        <w:t xml:space="preserve">only a </w:t>
      </w:r>
      <w:r w:rsidR="00906883">
        <w:rPr>
          <w:color w:val="auto"/>
        </w:rPr>
        <w:t xml:space="preserve">few </w:t>
      </w:r>
      <w:r w:rsidR="00BE5C73">
        <w:rPr>
          <w:color w:val="auto"/>
        </w:rPr>
        <w:t xml:space="preserve">distinct </w:t>
      </w:r>
      <w:r w:rsidR="00374075">
        <w:rPr>
          <w:color w:val="auto"/>
        </w:rPr>
        <w:t>FCEV models,</w:t>
      </w:r>
      <w:r w:rsidR="00BE5C73">
        <w:rPr>
          <w:color w:val="auto"/>
        </w:rPr>
        <w:t xml:space="preserve"> so</w:t>
      </w:r>
      <w:r w:rsidR="00374075">
        <w:rPr>
          <w:color w:val="auto"/>
        </w:rPr>
        <w:t xml:space="preserve"> </w:t>
      </w:r>
      <w:r w:rsidR="009E4CCE">
        <w:rPr>
          <w:color w:val="auto"/>
        </w:rPr>
        <w:t xml:space="preserve">average </w:t>
      </w:r>
      <w:r w:rsidR="008938EE" w:rsidRPr="008938EE">
        <w:rPr>
          <w:color w:val="auto"/>
        </w:rPr>
        <w:t xml:space="preserve">FCEV </w:t>
      </w:r>
      <w:r w:rsidR="00906883">
        <w:rPr>
          <w:color w:val="auto"/>
        </w:rPr>
        <w:t xml:space="preserve">efficiency </w:t>
      </w:r>
      <w:r w:rsidR="008938EE">
        <w:rPr>
          <w:color w:val="auto"/>
        </w:rPr>
        <w:t xml:space="preserve">fluctuated </w:t>
      </w:r>
      <w:r w:rsidR="008938EE" w:rsidRPr="008938EE">
        <w:rPr>
          <w:color w:val="auto"/>
        </w:rPr>
        <w:t>as models were discontinued</w:t>
      </w:r>
      <w:r w:rsidR="00220167">
        <w:rPr>
          <w:color w:val="auto"/>
        </w:rPr>
        <w:t xml:space="preserve"> or </w:t>
      </w:r>
      <w:r w:rsidR="008938EE" w:rsidRPr="008938EE">
        <w:rPr>
          <w:color w:val="auto"/>
        </w:rPr>
        <w:t xml:space="preserve">released (e.g., </w:t>
      </w:r>
      <w:r w:rsidR="00B668F8">
        <w:rPr>
          <w:color w:val="auto"/>
        </w:rPr>
        <w:t>the steep increase after 2014 wa</w:t>
      </w:r>
      <w:r w:rsidR="00354AE3">
        <w:rPr>
          <w:color w:val="auto"/>
        </w:rPr>
        <w:t>s due to the release of a new, more efficient model</w:t>
      </w:r>
      <w:r w:rsidR="008938EE" w:rsidRPr="008938EE">
        <w:rPr>
          <w:color w:val="auto"/>
        </w:rPr>
        <w:t>).</w:t>
      </w:r>
    </w:p>
    <w:p w14:paraId="6331B5A7" w14:textId="45DC11B1" w:rsidR="00BF671E" w:rsidRPr="00B61477" w:rsidRDefault="2B8AE3E3" w:rsidP="00B61477">
      <w:pPr>
        <w:rPr>
          <w:color w:val="auto"/>
        </w:rPr>
      </w:pPr>
      <w:r>
        <w:rPr>
          <w:rFonts w:cs="Calibri"/>
        </w:rPr>
        <w:t>Following the approach in</w:t>
      </w:r>
      <w:r w:rsidR="0E45665D" w:rsidRPr="006F44F5">
        <w:rPr>
          <w:rFonts w:cs="Calibri"/>
        </w:rPr>
        <w:t xml:space="preserve"> </w:t>
      </w:r>
      <w:r w:rsidR="00FD2EAE" w:rsidRPr="00FD2EAE">
        <w:rPr>
          <w:rFonts w:cs="Calibri"/>
        </w:rPr>
        <w:t>(CARB, 2017b)</w:t>
      </w:r>
      <w:r w:rsidR="0E45665D" w:rsidRPr="006F44F5">
        <w:rPr>
          <w:rFonts w:cs="Calibri"/>
        </w:rPr>
        <w:t>, the</w:t>
      </w:r>
      <w:r w:rsidR="0E45665D" w:rsidRPr="005577CD">
        <w:t xml:space="preserve"> baseline vehicle </w:t>
      </w:r>
      <w:r w:rsidR="0E45665D">
        <w:t xml:space="preserve">that EV emissions are compared to </w:t>
      </w:r>
      <w:r w:rsidR="00DB4D4F">
        <w:t>for</w:t>
      </w:r>
      <w:r w:rsidR="00EC392B">
        <w:t xml:space="preserve"> all</w:t>
      </w:r>
      <w:r w:rsidR="00783E03">
        <w:t xml:space="preserve"> rebated and </w:t>
      </w:r>
      <w:r w:rsidR="007D2F61">
        <w:t>rebate</w:t>
      </w:r>
      <w:r w:rsidR="00B23BF2">
        <w:t xml:space="preserve"> </w:t>
      </w:r>
      <w:r w:rsidR="007D2F61">
        <w:t xml:space="preserve">influenced </w:t>
      </w:r>
      <w:r w:rsidR="00D832C5">
        <w:t>emission reductions</w:t>
      </w:r>
      <w:r w:rsidR="00EC392B" w:rsidRPr="001E5E83">
        <w:rPr>
          <w:rStyle w:val="FootnoteReference"/>
        </w:rPr>
        <w:footnoteReference w:id="19"/>
      </w:r>
      <w:r w:rsidR="00D832C5">
        <w:t xml:space="preserve"> </w:t>
      </w:r>
      <w:r w:rsidR="0E45665D" w:rsidRPr="005577CD">
        <w:t xml:space="preserve">is a new gasoline vehicle. </w:t>
      </w:r>
      <w:r w:rsidR="7ADB32D7">
        <w:t>T</w:t>
      </w:r>
      <w:r w:rsidR="0E45665D">
        <w:t>he baseline</w:t>
      </w:r>
      <w:r w:rsidR="00B23BF2">
        <w:t xml:space="preserve"> </w:t>
      </w:r>
      <w:r w:rsidR="0E45665D" w:rsidRPr="005577CD">
        <w:t>vehicle fuel consumption rates</w:t>
      </w:r>
      <w:r w:rsidR="0E45665D">
        <w:t xml:space="preserve"> </w:t>
      </w:r>
      <w:r w:rsidR="0E45665D" w:rsidRPr="005577CD">
        <w:t>are model-year-specific</w:t>
      </w:r>
      <w:r w:rsidR="00A6467C">
        <w:t xml:space="preserve"> </w:t>
      </w:r>
      <w:r w:rsidR="0E45665D">
        <w:t xml:space="preserve">and </w:t>
      </w:r>
      <w:r w:rsidR="37465D1A">
        <w:t>produced by calculating</w:t>
      </w:r>
      <w:r w:rsidR="0E45665D">
        <w:t xml:space="preserve"> </w:t>
      </w:r>
      <w:r w:rsidR="0E45665D" w:rsidRPr="005577CD">
        <w:t>California</w:t>
      </w:r>
      <w:r w:rsidR="0E45665D">
        <w:t xml:space="preserve"> </w:t>
      </w:r>
      <w:r w:rsidR="0E45665D" w:rsidRPr="005577CD">
        <w:t>sales-weighted average</w:t>
      </w:r>
      <w:r w:rsidR="0E45665D">
        <w:t xml:space="preserve">s based on the EPA ratings for the </w:t>
      </w:r>
      <w:r w:rsidR="5DE1177F">
        <w:t xml:space="preserve">75 </w:t>
      </w:r>
      <w:r w:rsidR="0E45665D">
        <w:t>top</w:t>
      </w:r>
      <w:r w:rsidR="00B23BF2">
        <w:t xml:space="preserve"> </w:t>
      </w:r>
      <w:r w:rsidR="0E45665D" w:rsidRPr="00E13489">
        <w:t xml:space="preserve">selling new </w:t>
      </w:r>
      <w:r w:rsidR="297AAF8C">
        <w:t xml:space="preserve">light-duty </w:t>
      </w:r>
      <w:r w:rsidR="0E45665D" w:rsidRPr="00E13489">
        <w:t xml:space="preserve">gasoline </w:t>
      </w:r>
      <w:r w:rsidR="1B90B55B">
        <w:t>vehicle</w:t>
      </w:r>
      <w:r w:rsidR="005B5CE4">
        <w:t xml:space="preserve"> (including conventional hybrid)</w:t>
      </w:r>
      <w:r w:rsidR="1B90B55B">
        <w:t xml:space="preserve"> </w:t>
      </w:r>
      <w:r w:rsidR="0E45665D" w:rsidRPr="00E13489">
        <w:t>models each MY</w:t>
      </w:r>
      <w:r w:rsidR="0E45665D">
        <w:t>.</w:t>
      </w:r>
      <w:r w:rsidR="006F44F5" w:rsidRPr="001E5E83">
        <w:rPr>
          <w:rStyle w:val="FootnoteReference"/>
        </w:rPr>
        <w:footnoteReference w:id="20"/>
      </w:r>
      <w:r w:rsidR="1F0AD60B">
        <w:t xml:space="preserve"> </w:t>
      </w:r>
      <w:r w:rsidR="3C39665D">
        <w:t>Vehicles within each MY were assessed at the model</w:t>
      </w:r>
      <w:r w:rsidR="000356C7">
        <w:t xml:space="preserve"> </w:t>
      </w:r>
      <w:r w:rsidR="3C39665D">
        <w:t xml:space="preserve">level and </w:t>
      </w:r>
      <w:r w:rsidR="3C39665D">
        <w:lastRenderedPageBreak/>
        <w:t xml:space="preserve">vehicle classes that were not </w:t>
      </w:r>
      <w:r w:rsidR="3DF061E0">
        <w:t>well</w:t>
      </w:r>
      <w:r w:rsidR="000356C7">
        <w:t xml:space="preserve"> </w:t>
      </w:r>
      <w:r w:rsidR="3C39665D">
        <w:t>represented in the rebate data (i.e., pickup trucks) were excluded.</w:t>
      </w:r>
      <w:r w:rsidR="3C39665D" w:rsidRPr="00E13489">
        <w:t xml:space="preserve"> </w:t>
      </w:r>
      <w:r w:rsidR="0AAE9FED">
        <w:t xml:space="preserve">For models with multiple trims or series with varying fuel efficiency within a given MY, the most efficient (and </w:t>
      </w:r>
      <w:r w:rsidR="0AAE9FED" w:rsidRPr="000A5A8B">
        <w:t>therefore most conservative) fuel economy value was used in the sales</w:t>
      </w:r>
      <w:r w:rsidR="000356C7">
        <w:t xml:space="preserve"> </w:t>
      </w:r>
      <w:r w:rsidR="0AAE9FED" w:rsidRPr="000A5A8B">
        <w:t>weighting calculations.</w:t>
      </w:r>
      <w:r w:rsidR="00405BA8">
        <w:rPr>
          <w:color w:val="auto"/>
        </w:rPr>
        <w:t xml:space="preserve"> </w:t>
      </w:r>
      <w:r w:rsidR="00A43323">
        <w:rPr>
          <w:color w:val="auto"/>
        </w:rPr>
        <w:t>Averages of</w:t>
      </w:r>
      <w:r w:rsidR="3CEC9301" w:rsidRPr="000A5A8B">
        <w:t xml:space="preserve"> the model-year-specific baseline vehicle rates </w:t>
      </w:r>
      <w:r w:rsidR="00F93150">
        <w:t xml:space="preserve">tended to gradually increase over time, </w:t>
      </w:r>
      <w:r w:rsidR="008B3F57">
        <w:t>as</w:t>
      </w:r>
      <w:r w:rsidR="166D2E13" w:rsidRPr="000A5A8B">
        <w:t xml:space="preserve"> </w:t>
      </w:r>
      <w:r w:rsidR="00160131">
        <w:t xml:space="preserve">displayed </w:t>
      </w:r>
      <w:r w:rsidR="3CEC9301" w:rsidRPr="000A5A8B">
        <w:t xml:space="preserve">in </w:t>
      </w:r>
      <w:r w:rsidR="00B61E37">
        <w:rPr>
          <w:color w:val="auto"/>
        </w:rPr>
        <w:t>Figure A3</w:t>
      </w:r>
      <w:r w:rsidR="000909C3">
        <w:rPr>
          <w:color w:val="auto"/>
        </w:rPr>
        <w:t xml:space="preserve"> and detailed in Table A2</w:t>
      </w:r>
      <w:r w:rsidR="3CEC9301" w:rsidRPr="000A5A8B">
        <w:rPr>
          <w:color w:val="auto"/>
        </w:rPr>
        <w:t>.</w:t>
      </w:r>
    </w:p>
    <w:p w14:paraId="5B44839E" w14:textId="21AF29FC" w:rsidR="0045669E" w:rsidRPr="00B90CFD" w:rsidRDefault="0045669E" w:rsidP="00E36781">
      <w:pPr>
        <w:pStyle w:val="TableFigureNumber0"/>
        <w:keepNext/>
        <w:rPr>
          <w:b/>
          <w:bCs/>
          <w:color w:val="0579BD"/>
        </w:rPr>
      </w:pPr>
      <w:r w:rsidRPr="00B90CFD">
        <w:rPr>
          <w:color w:val="0579BD"/>
        </w:rPr>
        <w:lastRenderedPageBreak/>
        <w:t>Figure A2</w:t>
      </w:r>
    </w:p>
    <w:p w14:paraId="6E7A31DE" w14:textId="380414B1" w:rsidR="0045669E" w:rsidRDefault="0045669E" w:rsidP="0077174F">
      <w:pPr>
        <w:pStyle w:val="TableFigureheader"/>
        <w:keepNext/>
        <w:spacing w:after="120"/>
      </w:pPr>
      <w:r>
        <w:t xml:space="preserve">Rebated EV Fuel Efficiency Over Time </w:t>
      </w:r>
    </w:p>
    <w:p w14:paraId="6C1A09A7" w14:textId="660C51A9" w:rsidR="00400DA2" w:rsidRDefault="7D437221" w:rsidP="0045669E">
      <w:pPr>
        <w:pStyle w:val="TableFigureheader"/>
        <w:spacing w:after="120"/>
      </w:pPr>
      <w:r>
        <w:rPr>
          <w:noProof/>
        </w:rPr>
        <w:drawing>
          <wp:inline distT="0" distB="0" distL="0" distR="0" wp14:anchorId="0614BDC5" wp14:editId="7508B2FE">
            <wp:extent cx="3905612" cy="2340864"/>
            <wp:effectExtent l="0" t="0" r="0" b="2540"/>
            <wp:docPr id="1082169334" name="drawing" descr="Line chart displaying the fuel efficiency (mi/kWh) of BEVs and PHEVs by purchas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69334" name="drawing" descr="Line chart displaying the fuel efficiency (mi/kWh) of BEVs and PHEVs by purchase year."/>
                    <pic:cNvPicPr/>
                  </pic:nvPicPr>
                  <pic:blipFill>
                    <a:blip r:embed="rId31">
                      <a:extLst>
                        <a:ext uri="{28A0092B-C50C-407E-A947-70E740481C1C}">
                          <a14:useLocalDpi xmlns:a14="http://schemas.microsoft.com/office/drawing/2010/main"/>
                        </a:ext>
                      </a:extLst>
                    </a:blip>
                    <a:stretch>
                      <a:fillRect/>
                    </a:stretch>
                  </pic:blipFill>
                  <pic:spPr>
                    <a:xfrm>
                      <a:off x="0" y="0"/>
                      <a:ext cx="3905612" cy="2340864"/>
                    </a:xfrm>
                    <a:prstGeom prst="rect">
                      <a:avLst/>
                    </a:prstGeom>
                  </pic:spPr>
                </pic:pic>
              </a:graphicData>
            </a:graphic>
          </wp:inline>
        </w:drawing>
      </w:r>
      <w:r w:rsidR="219AA905" w:rsidRPr="3C55F4E7">
        <w:rPr>
          <w:noProof/>
        </w:rPr>
        <w:t xml:space="preserve"> </w:t>
      </w:r>
      <w:r w:rsidR="42384625" w:rsidRPr="3C55F4E7">
        <w:rPr>
          <w:noProof/>
        </w:rPr>
        <w:t xml:space="preserve"> </w:t>
      </w:r>
      <w:r w:rsidR="052F389D">
        <w:rPr>
          <w:noProof/>
        </w:rPr>
        <w:drawing>
          <wp:inline distT="0" distB="0" distL="0" distR="0" wp14:anchorId="2B48FDB7" wp14:editId="191D5B3A">
            <wp:extent cx="3905612" cy="2340864"/>
            <wp:effectExtent l="0" t="0" r="0" b="2540"/>
            <wp:docPr id="452622314" name="drawing" descr="Line chart displaying the fuel efficiency (MPG) of PHEVs by purchas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22314" name="drawing" descr="Line chart displaying the fuel efficiency (MPG) of PHEVs by purchase year."/>
                    <pic:cNvPicPr/>
                  </pic:nvPicPr>
                  <pic:blipFill>
                    <a:blip r:embed="rId32">
                      <a:extLst>
                        <a:ext uri="{28A0092B-C50C-407E-A947-70E740481C1C}">
                          <a14:useLocalDpi xmlns:a14="http://schemas.microsoft.com/office/drawing/2010/main"/>
                        </a:ext>
                      </a:extLst>
                    </a:blip>
                    <a:stretch>
                      <a:fillRect/>
                    </a:stretch>
                  </pic:blipFill>
                  <pic:spPr>
                    <a:xfrm>
                      <a:off x="0" y="0"/>
                      <a:ext cx="3905612" cy="2340864"/>
                    </a:xfrm>
                    <a:prstGeom prst="rect">
                      <a:avLst/>
                    </a:prstGeom>
                  </pic:spPr>
                </pic:pic>
              </a:graphicData>
            </a:graphic>
          </wp:inline>
        </w:drawing>
      </w:r>
      <w:r w:rsidR="68390B2C">
        <w:rPr>
          <w:noProof/>
        </w:rPr>
        <w:drawing>
          <wp:inline distT="0" distB="0" distL="0" distR="0" wp14:anchorId="12EFB719" wp14:editId="26AA5E38">
            <wp:extent cx="3905615" cy="2340864"/>
            <wp:effectExtent l="0" t="0" r="0" b="2540"/>
            <wp:docPr id="343444553" name="drawing" descr="Line chart displaying the fuel efficiency (mi/kg) of FCEVs by purchas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44553" name="drawing" descr="Line chart displaying the fuel efficiency (mi/kg) of FCEVs by purchase year."/>
                    <pic:cNvPicPr/>
                  </pic:nvPicPr>
                  <pic:blipFill>
                    <a:blip r:embed="rId33">
                      <a:extLst>
                        <a:ext uri="{28A0092B-C50C-407E-A947-70E740481C1C}">
                          <a14:useLocalDpi xmlns:a14="http://schemas.microsoft.com/office/drawing/2010/main"/>
                        </a:ext>
                      </a:extLst>
                    </a:blip>
                    <a:stretch>
                      <a:fillRect/>
                    </a:stretch>
                  </pic:blipFill>
                  <pic:spPr>
                    <a:xfrm>
                      <a:off x="0" y="0"/>
                      <a:ext cx="3905615" cy="2340864"/>
                    </a:xfrm>
                    <a:prstGeom prst="rect">
                      <a:avLst/>
                    </a:prstGeom>
                  </pic:spPr>
                </pic:pic>
              </a:graphicData>
            </a:graphic>
          </wp:inline>
        </w:drawing>
      </w:r>
    </w:p>
    <w:p w14:paraId="4952BF40" w14:textId="77777777" w:rsidR="006041E0" w:rsidRPr="003A15C4" w:rsidRDefault="006041E0" w:rsidP="006041E0">
      <w:pPr>
        <w:pStyle w:val="SummaryofResults"/>
        <w:rPr>
          <w:lang w:val="en-US"/>
        </w:rPr>
      </w:pPr>
      <w:r w:rsidRPr="003A15C4">
        <w:rPr>
          <w:b/>
          <w:lang w:val="en-US"/>
        </w:rPr>
        <w:t>Note</w:t>
      </w:r>
      <w:r w:rsidRPr="003A15C4">
        <w:rPr>
          <w:lang w:val="en-US"/>
        </w:rPr>
        <w:t>: Fuel efficiency values converted from fuel consumption rates (e.g., gallons/mile) used in GHG calculations.</w:t>
      </w:r>
    </w:p>
    <w:p w14:paraId="72374A65" w14:textId="3ADB13A8" w:rsidR="00BF671E" w:rsidRPr="00B90CFD" w:rsidRDefault="00BF671E" w:rsidP="00E36781">
      <w:pPr>
        <w:pStyle w:val="TableFigureNumber0"/>
        <w:keepNext/>
        <w:rPr>
          <w:b/>
          <w:bCs/>
          <w:color w:val="0579BD"/>
        </w:rPr>
      </w:pPr>
      <w:r w:rsidRPr="00B90CFD">
        <w:rPr>
          <w:color w:val="0579BD"/>
        </w:rPr>
        <w:lastRenderedPageBreak/>
        <w:t>Figure A</w:t>
      </w:r>
      <w:r w:rsidR="0045669E" w:rsidRPr="00B90CFD">
        <w:rPr>
          <w:color w:val="0579BD"/>
        </w:rPr>
        <w:t>3</w:t>
      </w:r>
    </w:p>
    <w:p w14:paraId="4E2DEF3D" w14:textId="5779BC0A" w:rsidR="00BF671E" w:rsidRDefault="00BF671E" w:rsidP="00400DA2">
      <w:pPr>
        <w:pStyle w:val="TableFigureheader"/>
        <w:keepNext/>
        <w:spacing w:after="120"/>
      </w:pPr>
      <w:r>
        <w:t>Baseline MPG Average</w:t>
      </w:r>
      <w:r w:rsidR="008E5C11">
        <w:t xml:space="preserve"> Over Time</w:t>
      </w:r>
    </w:p>
    <w:p w14:paraId="68F408BC" w14:textId="2AC42EDD" w:rsidR="00A87709" w:rsidRDefault="75168FCE" w:rsidP="0CA92697">
      <w:pPr>
        <w:spacing w:after="0" w:line="240" w:lineRule="auto"/>
      </w:pPr>
      <w:r>
        <w:rPr>
          <w:noProof/>
        </w:rPr>
        <w:drawing>
          <wp:inline distT="0" distB="0" distL="0" distR="0" wp14:anchorId="0F73ADA0" wp14:editId="56B2CDE5">
            <wp:extent cx="5059680" cy="3032564"/>
            <wp:effectExtent l="0" t="0" r="7620" b="0"/>
            <wp:docPr id="454987753" name="drawing" descr="Line chart displaying the fuel efficiency (MPG) of baseline gasoline vehicles by purchase year. Values are also detailed in Tabl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87753" name="drawing" descr="Line chart displaying the fuel efficiency (MPG) of baseline gasoline vehicles by purchase year. Values are also detailed in Table A2."/>
                    <pic:cNvPicPr/>
                  </pic:nvPicPr>
                  <pic:blipFill>
                    <a:blip r:embed="rId34">
                      <a:extLst>
                        <a:ext uri="{28A0092B-C50C-407E-A947-70E740481C1C}">
                          <a14:useLocalDpi xmlns:a14="http://schemas.microsoft.com/office/drawing/2010/main"/>
                        </a:ext>
                      </a:extLst>
                    </a:blip>
                    <a:stretch>
                      <a:fillRect/>
                    </a:stretch>
                  </pic:blipFill>
                  <pic:spPr>
                    <a:xfrm>
                      <a:off x="0" y="0"/>
                      <a:ext cx="5068252" cy="3037702"/>
                    </a:xfrm>
                    <a:prstGeom prst="rect">
                      <a:avLst/>
                    </a:prstGeom>
                  </pic:spPr>
                </pic:pic>
              </a:graphicData>
            </a:graphic>
          </wp:inline>
        </w:drawing>
      </w:r>
    </w:p>
    <w:p w14:paraId="59DE2235" w14:textId="3D2A5AB5" w:rsidR="00F431B4" w:rsidRPr="00B90CFD" w:rsidRDefault="00F431B4" w:rsidP="00E36781">
      <w:pPr>
        <w:pStyle w:val="TableFigureNumber0"/>
        <w:rPr>
          <w:color w:val="0579BD"/>
        </w:rPr>
      </w:pPr>
      <w:r w:rsidRPr="00B90CFD">
        <w:rPr>
          <w:color w:val="0579BD"/>
        </w:rPr>
        <w:t>TABLE A2</w:t>
      </w:r>
    </w:p>
    <w:p w14:paraId="174EE84A" w14:textId="742FB5E1" w:rsidR="0036486F" w:rsidRDefault="0036486F" w:rsidP="0036486F">
      <w:pPr>
        <w:pStyle w:val="TableFigureheader"/>
        <w:keepNext/>
        <w:spacing w:after="120"/>
      </w:pPr>
      <w:r>
        <w:t>Baseline MPG by Model Year</w:t>
      </w:r>
    </w:p>
    <w:tbl>
      <w:tblPr>
        <w:tblStyle w:val="GridTable4"/>
        <w:tblW w:w="2790" w:type="dxa"/>
        <w:tblLook w:val="04A0" w:firstRow="1" w:lastRow="0" w:firstColumn="1" w:lastColumn="0" w:noHBand="0" w:noVBand="1"/>
      </w:tblPr>
      <w:tblGrid>
        <w:gridCol w:w="1284"/>
        <w:gridCol w:w="1506"/>
      </w:tblGrid>
      <w:tr w:rsidR="00974CCD" w:rsidRPr="00A71075" w14:paraId="14009743" w14:textId="77777777" w:rsidTr="008928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shd w:val="clear" w:color="auto" w:fill="3C3A4C"/>
            <w:noWrap/>
            <w:hideMark/>
          </w:tcPr>
          <w:p w14:paraId="0B640B7A" w14:textId="068CFA4B" w:rsidR="00A71075" w:rsidRPr="00E36781" w:rsidRDefault="00FD152B"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FFFFFF" w:themeColor="background1"/>
                <w:bdr w:val="none" w:sz="0" w:space="0" w:color="auto"/>
              </w:rPr>
            </w:pPr>
            <w:r w:rsidRPr="00E36781">
              <w:rPr>
                <w:rFonts w:eastAsia="Times New Roman" w:cs="Calibri"/>
                <w:color w:val="FFFFFF" w:themeColor="background1"/>
                <w:bdr w:val="none" w:sz="0" w:space="0" w:color="auto"/>
              </w:rPr>
              <w:t>M</w:t>
            </w:r>
            <w:r w:rsidR="00A71075" w:rsidRPr="00E36781">
              <w:rPr>
                <w:rFonts w:eastAsia="Times New Roman" w:cs="Calibri"/>
                <w:color w:val="FFFFFF" w:themeColor="background1"/>
                <w:bdr w:val="none" w:sz="0" w:space="0" w:color="auto"/>
              </w:rPr>
              <w:t>odel</w:t>
            </w:r>
            <w:r w:rsidRPr="00E36781">
              <w:rPr>
                <w:rFonts w:eastAsia="Times New Roman" w:cs="Calibri"/>
                <w:color w:val="FFFFFF" w:themeColor="background1"/>
                <w:bdr w:val="none" w:sz="0" w:space="0" w:color="auto"/>
              </w:rPr>
              <w:t xml:space="preserve"> Y</w:t>
            </w:r>
            <w:r w:rsidR="00A71075" w:rsidRPr="00E36781">
              <w:rPr>
                <w:rFonts w:eastAsia="Times New Roman" w:cs="Calibri"/>
                <w:color w:val="FFFFFF" w:themeColor="background1"/>
                <w:bdr w:val="none" w:sz="0" w:space="0" w:color="auto"/>
              </w:rPr>
              <w:t>ear</w:t>
            </w:r>
          </w:p>
        </w:tc>
        <w:tc>
          <w:tcPr>
            <w:tcW w:w="1506" w:type="dxa"/>
            <w:shd w:val="clear" w:color="auto" w:fill="3C3A4C"/>
            <w:noWrap/>
            <w:hideMark/>
          </w:tcPr>
          <w:p w14:paraId="18190C7B" w14:textId="06B4856B" w:rsidR="00A71075" w:rsidRPr="00E36781" w:rsidRDefault="00B27A5E"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bdr w:val="none" w:sz="0" w:space="0" w:color="auto"/>
              </w:rPr>
            </w:pPr>
            <w:r w:rsidRPr="00E36781">
              <w:rPr>
                <w:rFonts w:eastAsia="Times New Roman" w:cs="Calibri"/>
                <w:color w:val="FFFFFF" w:themeColor="background1"/>
                <w:bdr w:val="none" w:sz="0" w:space="0" w:color="auto"/>
              </w:rPr>
              <w:t>B</w:t>
            </w:r>
            <w:r w:rsidR="00A71075" w:rsidRPr="00E36781">
              <w:rPr>
                <w:rFonts w:eastAsia="Times New Roman" w:cs="Calibri"/>
                <w:color w:val="FFFFFF" w:themeColor="background1"/>
                <w:bdr w:val="none" w:sz="0" w:space="0" w:color="auto"/>
              </w:rPr>
              <w:t>aseline</w:t>
            </w:r>
            <w:r w:rsidRPr="00E36781">
              <w:rPr>
                <w:rFonts w:eastAsia="Times New Roman" w:cs="Calibri"/>
                <w:color w:val="FFFFFF" w:themeColor="background1"/>
                <w:bdr w:val="none" w:sz="0" w:space="0" w:color="auto"/>
              </w:rPr>
              <w:t xml:space="preserve"> MPG</w:t>
            </w:r>
          </w:p>
        </w:tc>
      </w:tr>
      <w:tr w:rsidR="00974CCD" w:rsidRPr="00A71075" w14:paraId="020FD045" w14:textId="77777777" w:rsidTr="002F3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shd w:val="clear" w:color="auto" w:fill="F2F2F2" w:themeFill="background1" w:themeFillShade="F2"/>
            <w:noWrap/>
            <w:hideMark/>
          </w:tcPr>
          <w:p w14:paraId="0C216DB7" w14:textId="515F6B2B"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2010</w:t>
            </w:r>
            <w:r>
              <w:rPr>
                <w:rFonts w:eastAsia="Times New Roman" w:cs="Calibri"/>
                <w:color w:val="000000"/>
                <w:bdr w:val="none" w:sz="0" w:space="0" w:color="auto"/>
              </w:rPr>
              <w:t>*</w:t>
            </w:r>
          </w:p>
        </w:tc>
        <w:tc>
          <w:tcPr>
            <w:tcW w:w="1506" w:type="dxa"/>
            <w:shd w:val="clear" w:color="auto" w:fill="F2F2F2" w:themeFill="background1" w:themeFillShade="F2"/>
            <w:noWrap/>
            <w:hideMark/>
          </w:tcPr>
          <w:p w14:paraId="797AB38F" w14:textId="6966406C"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27.</w:t>
            </w:r>
            <w:r w:rsidR="002F1C36">
              <w:rPr>
                <w:rFonts w:eastAsia="Times New Roman" w:cs="Calibri"/>
                <w:color w:val="000000"/>
                <w:bdr w:val="none" w:sz="0" w:space="0" w:color="auto"/>
              </w:rPr>
              <w:t>6</w:t>
            </w:r>
          </w:p>
        </w:tc>
      </w:tr>
      <w:tr w:rsidR="00974CCD" w:rsidRPr="00A71075" w14:paraId="7FDB43F8" w14:textId="77777777" w:rsidTr="00E36781">
        <w:trPr>
          <w:trHeight w:val="300"/>
        </w:trPr>
        <w:tc>
          <w:tcPr>
            <w:cnfStyle w:val="001000000000" w:firstRow="0" w:lastRow="0" w:firstColumn="1" w:lastColumn="0" w:oddVBand="0" w:evenVBand="0" w:oddHBand="0" w:evenHBand="0" w:firstRowFirstColumn="0" w:firstRowLastColumn="0" w:lastRowFirstColumn="0" w:lastRowLastColumn="0"/>
            <w:tcW w:w="1284" w:type="dxa"/>
            <w:noWrap/>
            <w:hideMark/>
          </w:tcPr>
          <w:p w14:paraId="15B9DE43"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2011</w:t>
            </w:r>
          </w:p>
        </w:tc>
        <w:tc>
          <w:tcPr>
            <w:tcW w:w="1506" w:type="dxa"/>
            <w:noWrap/>
            <w:hideMark/>
          </w:tcPr>
          <w:p w14:paraId="1690719B" w14:textId="02AF71B3"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25.8</w:t>
            </w:r>
          </w:p>
        </w:tc>
      </w:tr>
      <w:tr w:rsidR="00974CCD" w:rsidRPr="00A71075" w14:paraId="66878D71" w14:textId="77777777" w:rsidTr="002F3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shd w:val="clear" w:color="auto" w:fill="F2F2F2" w:themeFill="background1" w:themeFillShade="F2"/>
            <w:noWrap/>
            <w:hideMark/>
          </w:tcPr>
          <w:p w14:paraId="776F54DA"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2012</w:t>
            </w:r>
          </w:p>
        </w:tc>
        <w:tc>
          <w:tcPr>
            <w:tcW w:w="1506" w:type="dxa"/>
            <w:shd w:val="clear" w:color="auto" w:fill="F2F2F2" w:themeFill="background1" w:themeFillShade="F2"/>
            <w:noWrap/>
            <w:hideMark/>
          </w:tcPr>
          <w:p w14:paraId="05171BFF" w14:textId="74845359"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28.4</w:t>
            </w:r>
          </w:p>
        </w:tc>
      </w:tr>
      <w:tr w:rsidR="00974CCD" w:rsidRPr="00A71075" w14:paraId="4A0E902D" w14:textId="77777777" w:rsidTr="00E36781">
        <w:trPr>
          <w:trHeight w:val="300"/>
        </w:trPr>
        <w:tc>
          <w:tcPr>
            <w:cnfStyle w:val="001000000000" w:firstRow="0" w:lastRow="0" w:firstColumn="1" w:lastColumn="0" w:oddVBand="0" w:evenVBand="0" w:oddHBand="0" w:evenHBand="0" w:firstRowFirstColumn="0" w:firstRowLastColumn="0" w:lastRowFirstColumn="0" w:lastRowLastColumn="0"/>
            <w:tcW w:w="1284" w:type="dxa"/>
            <w:noWrap/>
            <w:hideMark/>
          </w:tcPr>
          <w:p w14:paraId="3CE3F047"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2013</w:t>
            </w:r>
          </w:p>
        </w:tc>
        <w:tc>
          <w:tcPr>
            <w:tcW w:w="1506" w:type="dxa"/>
            <w:noWrap/>
            <w:hideMark/>
          </w:tcPr>
          <w:p w14:paraId="0F85B414" w14:textId="22445A06"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29.1</w:t>
            </w:r>
          </w:p>
        </w:tc>
      </w:tr>
      <w:tr w:rsidR="00974CCD" w:rsidRPr="00A71075" w14:paraId="5D48C4CA" w14:textId="77777777" w:rsidTr="002F3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shd w:val="clear" w:color="auto" w:fill="F2F2F2" w:themeFill="background1" w:themeFillShade="F2"/>
            <w:noWrap/>
            <w:hideMark/>
          </w:tcPr>
          <w:p w14:paraId="78800DAA"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2014</w:t>
            </w:r>
          </w:p>
        </w:tc>
        <w:tc>
          <w:tcPr>
            <w:tcW w:w="1506" w:type="dxa"/>
            <w:shd w:val="clear" w:color="auto" w:fill="F2F2F2" w:themeFill="background1" w:themeFillShade="F2"/>
            <w:noWrap/>
            <w:hideMark/>
          </w:tcPr>
          <w:p w14:paraId="63992133" w14:textId="33249290"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29.1</w:t>
            </w:r>
          </w:p>
        </w:tc>
      </w:tr>
      <w:tr w:rsidR="00974CCD" w:rsidRPr="00A71075" w14:paraId="0168CFC1" w14:textId="77777777" w:rsidTr="00E36781">
        <w:trPr>
          <w:trHeight w:val="300"/>
        </w:trPr>
        <w:tc>
          <w:tcPr>
            <w:cnfStyle w:val="001000000000" w:firstRow="0" w:lastRow="0" w:firstColumn="1" w:lastColumn="0" w:oddVBand="0" w:evenVBand="0" w:oddHBand="0" w:evenHBand="0" w:firstRowFirstColumn="0" w:firstRowLastColumn="0" w:lastRowFirstColumn="0" w:lastRowLastColumn="0"/>
            <w:tcW w:w="1284" w:type="dxa"/>
            <w:noWrap/>
            <w:hideMark/>
          </w:tcPr>
          <w:p w14:paraId="601CE5AD"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2015</w:t>
            </w:r>
          </w:p>
        </w:tc>
        <w:tc>
          <w:tcPr>
            <w:tcW w:w="1506" w:type="dxa"/>
            <w:noWrap/>
            <w:hideMark/>
          </w:tcPr>
          <w:p w14:paraId="4FA3FE21" w14:textId="19AFD952"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29.</w:t>
            </w:r>
            <w:r w:rsidR="002F1C36">
              <w:rPr>
                <w:rFonts w:eastAsia="Times New Roman" w:cs="Calibri"/>
                <w:color w:val="000000"/>
                <w:bdr w:val="none" w:sz="0" w:space="0" w:color="auto"/>
              </w:rPr>
              <w:t>6</w:t>
            </w:r>
          </w:p>
        </w:tc>
      </w:tr>
      <w:tr w:rsidR="00974CCD" w:rsidRPr="00A71075" w14:paraId="19F04585" w14:textId="77777777" w:rsidTr="002F3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shd w:val="clear" w:color="auto" w:fill="F2F2F2" w:themeFill="background1" w:themeFillShade="F2"/>
            <w:noWrap/>
            <w:hideMark/>
          </w:tcPr>
          <w:p w14:paraId="336688A9"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2016</w:t>
            </w:r>
          </w:p>
        </w:tc>
        <w:tc>
          <w:tcPr>
            <w:tcW w:w="1506" w:type="dxa"/>
            <w:shd w:val="clear" w:color="auto" w:fill="F2F2F2" w:themeFill="background1" w:themeFillShade="F2"/>
            <w:noWrap/>
            <w:hideMark/>
          </w:tcPr>
          <w:p w14:paraId="7F958379" w14:textId="52EBB8BB"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29.5</w:t>
            </w:r>
          </w:p>
        </w:tc>
      </w:tr>
      <w:tr w:rsidR="00974CCD" w:rsidRPr="00A71075" w14:paraId="3B2A05B8" w14:textId="77777777" w:rsidTr="00E36781">
        <w:trPr>
          <w:trHeight w:val="300"/>
        </w:trPr>
        <w:tc>
          <w:tcPr>
            <w:cnfStyle w:val="001000000000" w:firstRow="0" w:lastRow="0" w:firstColumn="1" w:lastColumn="0" w:oddVBand="0" w:evenVBand="0" w:oddHBand="0" w:evenHBand="0" w:firstRowFirstColumn="0" w:firstRowLastColumn="0" w:lastRowFirstColumn="0" w:lastRowLastColumn="0"/>
            <w:tcW w:w="1284" w:type="dxa"/>
            <w:noWrap/>
            <w:hideMark/>
          </w:tcPr>
          <w:p w14:paraId="5E07FCF8"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2017</w:t>
            </w:r>
          </w:p>
        </w:tc>
        <w:tc>
          <w:tcPr>
            <w:tcW w:w="1506" w:type="dxa"/>
            <w:noWrap/>
            <w:hideMark/>
          </w:tcPr>
          <w:p w14:paraId="7380A596" w14:textId="5C26D158"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29.</w:t>
            </w:r>
            <w:r w:rsidR="002F1C36">
              <w:rPr>
                <w:rFonts w:eastAsia="Times New Roman" w:cs="Calibri"/>
                <w:color w:val="000000"/>
                <w:bdr w:val="none" w:sz="0" w:space="0" w:color="auto"/>
              </w:rPr>
              <w:t>1</w:t>
            </w:r>
          </w:p>
        </w:tc>
      </w:tr>
      <w:tr w:rsidR="00974CCD" w:rsidRPr="00A71075" w14:paraId="17548399" w14:textId="77777777" w:rsidTr="002F3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shd w:val="clear" w:color="auto" w:fill="F2F2F2" w:themeFill="background1" w:themeFillShade="F2"/>
            <w:noWrap/>
            <w:hideMark/>
          </w:tcPr>
          <w:p w14:paraId="7BD78D00"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2018</w:t>
            </w:r>
          </w:p>
        </w:tc>
        <w:tc>
          <w:tcPr>
            <w:tcW w:w="1506" w:type="dxa"/>
            <w:shd w:val="clear" w:color="auto" w:fill="F2F2F2" w:themeFill="background1" w:themeFillShade="F2"/>
            <w:noWrap/>
            <w:hideMark/>
          </w:tcPr>
          <w:p w14:paraId="17492DBE" w14:textId="5052097C"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29.1</w:t>
            </w:r>
          </w:p>
        </w:tc>
      </w:tr>
      <w:tr w:rsidR="00974CCD" w:rsidRPr="00A71075" w14:paraId="263C6CE6" w14:textId="77777777" w:rsidTr="00E36781">
        <w:trPr>
          <w:trHeight w:val="300"/>
        </w:trPr>
        <w:tc>
          <w:tcPr>
            <w:cnfStyle w:val="001000000000" w:firstRow="0" w:lastRow="0" w:firstColumn="1" w:lastColumn="0" w:oddVBand="0" w:evenVBand="0" w:oddHBand="0" w:evenHBand="0" w:firstRowFirstColumn="0" w:firstRowLastColumn="0" w:lastRowFirstColumn="0" w:lastRowLastColumn="0"/>
            <w:tcW w:w="1284" w:type="dxa"/>
            <w:noWrap/>
            <w:hideMark/>
          </w:tcPr>
          <w:p w14:paraId="774A512B"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2019</w:t>
            </w:r>
          </w:p>
        </w:tc>
        <w:tc>
          <w:tcPr>
            <w:tcW w:w="1506" w:type="dxa"/>
            <w:noWrap/>
            <w:hideMark/>
          </w:tcPr>
          <w:p w14:paraId="7918DE85" w14:textId="4EBC9761"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29.8</w:t>
            </w:r>
          </w:p>
        </w:tc>
      </w:tr>
      <w:tr w:rsidR="00974CCD" w:rsidRPr="00A71075" w14:paraId="50909B6F" w14:textId="77777777" w:rsidTr="002F3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shd w:val="clear" w:color="auto" w:fill="F2F2F2" w:themeFill="background1" w:themeFillShade="F2"/>
            <w:noWrap/>
            <w:hideMark/>
          </w:tcPr>
          <w:p w14:paraId="6C337FEC"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2020</w:t>
            </w:r>
          </w:p>
        </w:tc>
        <w:tc>
          <w:tcPr>
            <w:tcW w:w="1506" w:type="dxa"/>
            <w:shd w:val="clear" w:color="auto" w:fill="F2F2F2" w:themeFill="background1" w:themeFillShade="F2"/>
            <w:noWrap/>
            <w:hideMark/>
          </w:tcPr>
          <w:p w14:paraId="0EBF76AD" w14:textId="232B8269"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30.</w:t>
            </w:r>
            <w:r w:rsidR="002F1C36">
              <w:rPr>
                <w:rFonts w:eastAsia="Times New Roman" w:cs="Calibri"/>
                <w:color w:val="000000"/>
                <w:bdr w:val="none" w:sz="0" w:space="0" w:color="auto"/>
              </w:rPr>
              <w:t>5</w:t>
            </w:r>
          </w:p>
        </w:tc>
      </w:tr>
      <w:tr w:rsidR="00974CCD" w:rsidRPr="00A71075" w14:paraId="5FA36317" w14:textId="77777777" w:rsidTr="00E36781">
        <w:trPr>
          <w:trHeight w:val="300"/>
        </w:trPr>
        <w:tc>
          <w:tcPr>
            <w:cnfStyle w:val="001000000000" w:firstRow="0" w:lastRow="0" w:firstColumn="1" w:lastColumn="0" w:oddVBand="0" w:evenVBand="0" w:oddHBand="0" w:evenHBand="0" w:firstRowFirstColumn="0" w:firstRowLastColumn="0" w:lastRowFirstColumn="0" w:lastRowLastColumn="0"/>
            <w:tcW w:w="1284" w:type="dxa"/>
            <w:noWrap/>
            <w:hideMark/>
          </w:tcPr>
          <w:p w14:paraId="2BC90E09"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2021</w:t>
            </w:r>
          </w:p>
        </w:tc>
        <w:tc>
          <w:tcPr>
            <w:tcW w:w="1506" w:type="dxa"/>
            <w:noWrap/>
            <w:hideMark/>
          </w:tcPr>
          <w:p w14:paraId="5B2C284A" w14:textId="70AB45F9"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30.</w:t>
            </w:r>
            <w:r w:rsidR="002F1C36">
              <w:rPr>
                <w:rFonts w:eastAsia="Times New Roman" w:cs="Calibri"/>
                <w:color w:val="000000"/>
                <w:bdr w:val="none" w:sz="0" w:space="0" w:color="auto"/>
              </w:rPr>
              <w:t>3</w:t>
            </w:r>
          </w:p>
        </w:tc>
      </w:tr>
      <w:tr w:rsidR="00974CCD" w:rsidRPr="00A71075" w14:paraId="5A17CC70" w14:textId="77777777" w:rsidTr="002F3A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shd w:val="clear" w:color="auto" w:fill="F2F2F2" w:themeFill="background1" w:themeFillShade="F2"/>
            <w:noWrap/>
            <w:hideMark/>
          </w:tcPr>
          <w:p w14:paraId="08FE73C0" w14:textId="77777777"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2022</w:t>
            </w:r>
          </w:p>
        </w:tc>
        <w:tc>
          <w:tcPr>
            <w:tcW w:w="1506" w:type="dxa"/>
            <w:shd w:val="clear" w:color="auto" w:fill="F2F2F2" w:themeFill="background1" w:themeFillShade="F2"/>
            <w:noWrap/>
            <w:hideMark/>
          </w:tcPr>
          <w:p w14:paraId="24AB5056" w14:textId="0EFADD62"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30.</w:t>
            </w:r>
            <w:r w:rsidR="002F1C36">
              <w:rPr>
                <w:rFonts w:eastAsia="Times New Roman" w:cs="Calibri"/>
                <w:color w:val="000000"/>
                <w:bdr w:val="none" w:sz="0" w:space="0" w:color="auto"/>
              </w:rPr>
              <w:t>6</w:t>
            </w:r>
          </w:p>
        </w:tc>
      </w:tr>
      <w:tr w:rsidR="00974CCD" w:rsidRPr="00A71075" w14:paraId="0FB58C59" w14:textId="77777777" w:rsidTr="00E36781">
        <w:trPr>
          <w:trHeight w:val="300"/>
        </w:trPr>
        <w:tc>
          <w:tcPr>
            <w:cnfStyle w:val="001000000000" w:firstRow="0" w:lastRow="0" w:firstColumn="1" w:lastColumn="0" w:oddVBand="0" w:evenVBand="0" w:oddHBand="0" w:evenHBand="0" w:firstRowFirstColumn="0" w:firstRowLastColumn="0" w:lastRowFirstColumn="0" w:lastRowLastColumn="0"/>
            <w:tcW w:w="1284" w:type="dxa"/>
            <w:noWrap/>
            <w:hideMark/>
          </w:tcPr>
          <w:p w14:paraId="391DBAE8" w14:textId="3F00958A"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rPr>
                <w:rFonts w:eastAsia="Times New Roman" w:cs="Calibri"/>
                <w:color w:val="000000"/>
                <w:bdr w:val="none" w:sz="0" w:space="0" w:color="auto"/>
              </w:rPr>
            </w:pPr>
            <w:r w:rsidRPr="00A71075">
              <w:rPr>
                <w:rFonts w:eastAsia="Times New Roman" w:cs="Calibri"/>
                <w:color w:val="000000"/>
                <w:bdr w:val="none" w:sz="0" w:space="0" w:color="auto"/>
              </w:rPr>
              <w:t>2023</w:t>
            </w:r>
            <w:r>
              <w:rPr>
                <w:rFonts w:eastAsia="Times New Roman" w:cs="Calibri"/>
                <w:color w:val="000000"/>
                <w:bdr w:val="none" w:sz="0" w:space="0" w:color="auto"/>
              </w:rPr>
              <w:t>**</w:t>
            </w:r>
          </w:p>
        </w:tc>
        <w:tc>
          <w:tcPr>
            <w:tcW w:w="1506" w:type="dxa"/>
            <w:noWrap/>
            <w:hideMark/>
          </w:tcPr>
          <w:p w14:paraId="44982854" w14:textId="4C652C8E" w:rsidR="00A71075" w:rsidRPr="00A71075" w:rsidRDefault="00A71075" w:rsidP="00A710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A71075">
              <w:rPr>
                <w:rFonts w:eastAsia="Times New Roman" w:cs="Calibri"/>
                <w:color w:val="000000"/>
                <w:bdr w:val="none" w:sz="0" w:space="0" w:color="auto"/>
              </w:rPr>
              <w:t>31.</w:t>
            </w:r>
            <w:r w:rsidR="002F1C36">
              <w:rPr>
                <w:rFonts w:eastAsia="Times New Roman" w:cs="Calibri"/>
                <w:color w:val="000000"/>
                <w:bdr w:val="none" w:sz="0" w:space="0" w:color="auto"/>
              </w:rPr>
              <w:t>4</w:t>
            </w:r>
          </w:p>
        </w:tc>
      </w:tr>
    </w:tbl>
    <w:p w14:paraId="272DA863" w14:textId="51F1EF8C" w:rsidR="00A71075" w:rsidRPr="008928F6" w:rsidRDefault="00A71075" w:rsidP="008928F6">
      <w:pPr>
        <w:pStyle w:val="NoSpacing"/>
        <w:rPr>
          <w:sz w:val="18"/>
          <w:szCs w:val="18"/>
        </w:rPr>
      </w:pPr>
      <w:r w:rsidRPr="008928F6">
        <w:rPr>
          <w:sz w:val="18"/>
          <w:szCs w:val="18"/>
        </w:rPr>
        <w:t xml:space="preserve">* </w:t>
      </w:r>
      <w:r w:rsidR="00B27A5E" w:rsidRPr="008928F6">
        <w:rPr>
          <w:sz w:val="18"/>
          <w:szCs w:val="18"/>
        </w:rPr>
        <w:t>Used for model years 2010 and earlier.</w:t>
      </w:r>
    </w:p>
    <w:p w14:paraId="6F5396AE" w14:textId="345DF47B" w:rsidR="00B27A5E" w:rsidRPr="008928F6" w:rsidRDefault="00B27A5E" w:rsidP="008928F6">
      <w:pPr>
        <w:pStyle w:val="NoSpacing"/>
        <w:rPr>
          <w:sz w:val="18"/>
          <w:szCs w:val="18"/>
        </w:rPr>
      </w:pPr>
      <w:r w:rsidRPr="008928F6">
        <w:rPr>
          <w:sz w:val="18"/>
          <w:szCs w:val="18"/>
        </w:rPr>
        <w:t xml:space="preserve">** Used for model year 2023 and </w:t>
      </w:r>
      <w:r w:rsidR="002C27C8" w:rsidRPr="008928F6">
        <w:rPr>
          <w:sz w:val="18"/>
          <w:szCs w:val="18"/>
        </w:rPr>
        <w:t>a small number of model year 2024 vehicles</w:t>
      </w:r>
      <w:r w:rsidRPr="008928F6">
        <w:rPr>
          <w:sz w:val="18"/>
          <w:szCs w:val="18"/>
        </w:rPr>
        <w:t xml:space="preserve">. </w:t>
      </w:r>
    </w:p>
    <w:p w14:paraId="6ACE1D08" w14:textId="01ED5E81" w:rsidR="00822943" w:rsidRPr="003A15C4" w:rsidRDefault="621929E0" w:rsidP="187DA56C">
      <w:pPr>
        <w:pStyle w:val="Heading2"/>
      </w:pPr>
      <w:bookmarkStart w:id="63" w:name="_Toc227069800"/>
      <w:r>
        <w:lastRenderedPageBreak/>
        <w:t>Vehicle Miles Traveled</w:t>
      </w:r>
      <w:bookmarkEnd w:id="63"/>
    </w:p>
    <w:p w14:paraId="1339D82F" w14:textId="144641FC" w:rsidR="006F44F5" w:rsidRDefault="0E45665D" w:rsidP="00E12E36">
      <w:r>
        <w:t>Annual vehicle miles traveled (VMT) estimates come from surveys of EV drivers in California</w:t>
      </w:r>
      <w:r w:rsidR="00215A95">
        <w:t xml:space="preserve"> (Table A3)</w:t>
      </w:r>
      <w:r>
        <w:t xml:space="preserve">. These estimates </w:t>
      </w:r>
      <w:r w:rsidR="002D3395">
        <w:t xml:space="preserve">are used for the first year of driving and </w:t>
      </w:r>
      <w:r>
        <w:t xml:space="preserve">vary by the rebated vehicle technology type and, for BEVs, a range subcategory (short or long range) of the model. </w:t>
      </w:r>
      <w:r w:rsidR="00793B30">
        <w:rPr>
          <w:rStyle w:val="Bold"/>
          <w:b w:val="0"/>
          <w:bCs w:val="0"/>
        </w:rPr>
        <w:t xml:space="preserve">Annual VMT is </w:t>
      </w:r>
      <w:r w:rsidR="00793B30" w:rsidRPr="001C4F7A">
        <w:rPr>
          <w:rStyle w:val="Bold"/>
          <w:b w:val="0"/>
          <w:bCs w:val="0"/>
        </w:rPr>
        <w:t xml:space="preserve">assumed to decrease year over year based on the </w:t>
      </w:r>
      <w:r w:rsidR="001279D0">
        <w:rPr>
          <w:rStyle w:val="Bold"/>
          <w:b w:val="0"/>
          <w:bCs w:val="0"/>
        </w:rPr>
        <w:t xml:space="preserve">schedule </w:t>
      </w:r>
      <w:r w:rsidR="0058501C">
        <w:rPr>
          <w:rStyle w:val="Bold"/>
          <w:b w:val="0"/>
          <w:bCs w:val="0"/>
        </w:rPr>
        <w:t xml:space="preserve">reported </w:t>
      </w:r>
      <w:r w:rsidR="00E47217">
        <w:rPr>
          <w:rStyle w:val="Bold"/>
          <w:b w:val="0"/>
          <w:bCs w:val="0"/>
        </w:rPr>
        <w:t xml:space="preserve">for cars </w:t>
      </w:r>
      <w:r w:rsidR="00792ABD">
        <w:rPr>
          <w:rStyle w:val="Bold"/>
          <w:b w:val="0"/>
          <w:bCs w:val="0"/>
        </w:rPr>
        <w:t>in the Transportation Energy Data Book</w:t>
      </w:r>
      <w:r w:rsidR="00ED28D3">
        <w:rPr>
          <w:rStyle w:val="Bold"/>
          <w:b w:val="0"/>
          <w:bCs w:val="0"/>
        </w:rPr>
        <w:t xml:space="preserve"> </w:t>
      </w:r>
      <w:r w:rsidR="000B142A" w:rsidRPr="000B142A">
        <w:rPr>
          <w:rFonts w:cs="Calibri"/>
        </w:rPr>
        <w:t>(Davis &amp; Boundy, 2022)</w:t>
      </w:r>
      <w:r w:rsidR="00793B30">
        <w:rPr>
          <w:rStyle w:val="Bold"/>
          <w:b w:val="0"/>
          <w:bCs w:val="0"/>
        </w:rPr>
        <w:t>.</w:t>
      </w:r>
      <w:r w:rsidR="00B62772">
        <w:rPr>
          <w:rStyle w:val="Bold"/>
          <w:b w:val="0"/>
          <w:bCs w:val="0"/>
        </w:rPr>
        <w:t xml:space="preserve"> </w:t>
      </w:r>
      <w:r w:rsidR="00A1647F">
        <w:rPr>
          <w:rStyle w:val="Bold"/>
          <w:b w:val="0"/>
          <w:bCs w:val="0"/>
        </w:rPr>
        <w:t xml:space="preserve">VMT </w:t>
      </w:r>
      <w:r w:rsidR="003178FD">
        <w:rPr>
          <w:rStyle w:val="Bold"/>
          <w:b w:val="0"/>
          <w:bCs w:val="0"/>
        </w:rPr>
        <w:t xml:space="preserve">is scaled </w:t>
      </w:r>
      <w:r w:rsidR="00A1647F">
        <w:rPr>
          <w:rStyle w:val="Bold"/>
          <w:b w:val="0"/>
          <w:bCs w:val="0"/>
        </w:rPr>
        <w:t xml:space="preserve">each year </w:t>
      </w:r>
      <w:r w:rsidR="00B54CCD">
        <w:rPr>
          <w:rStyle w:val="Bold"/>
          <w:b w:val="0"/>
          <w:bCs w:val="0"/>
        </w:rPr>
        <w:t xml:space="preserve">to match the </w:t>
      </w:r>
      <w:r w:rsidR="008838D7">
        <w:rPr>
          <w:rStyle w:val="Bold"/>
          <w:b w:val="0"/>
          <w:bCs w:val="0"/>
        </w:rPr>
        <w:t xml:space="preserve">percentage </w:t>
      </w:r>
      <w:r w:rsidR="003C038C">
        <w:rPr>
          <w:rStyle w:val="Bold"/>
          <w:b w:val="0"/>
          <w:bCs w:val="0"/>
        </w:rPr>
        <w:t xml:space="preserve">changes </w:t>
      </w:r>
      <w:r w:rsidR="00BA0FDF">
        <w:rPr>
          <w:rStyle w:val="Bold"/>
          <w:b w:val="0"/>
          <w:bCs w:val="0"/>
        </w:rPr>
        <w:t xml:space="preserve">for </w:t>
      </w:r>
      <w:r w:rsidR="00884453">
        <w:rPr>
          <w:rStyle w:val="Bold"/>
          <w:b w:val="0"/>
          <w:bCs w:val="0"/>
        </w:rPr>
        <w:t>th</w:t>
      </w:r>
      <w:r w:rsidR="00F47A2B">
        <w:rPr>
          <w:rStyle w:val="Bold"/>
          <w:b w:val="0"/>
          <w:bCs w:val="0"/>
        </w:rPr>
        <w:t xml:space="preserve">e </w:t>
      </w:r>
      <w:r w:rsidR="00D1625A">
        <w:rPr>
          <w:rFonts w:eastAsia="Arial Unicode MS"/>
        </w:rPr>
        <w:t>e</w:t>
      </w:r>
      <w:r w:rsidR="00D1625A" w:rsidRPr="00D1625A">
        <w:rPr>
          <w:rFonts w:eastAsia="Arial Unicode MS"/>
        </w:rPr>
        <w:t xml:space="preserve">stimated annual vehicle miles of travel for cars </w:t>
      </w:r>
      <w:r w:rsidR="00AE1B62">
        <w:rPr>
          <w:rStyle w:val="Bold"/>
          <w:b w:val="0"/>
          <w:bCs w:val="0"/>
        </w:rPr>
        <w:t>(</w:t>
      </w:r>
      <w:r w:rsidR="00B22810">
        <w:rPr>
          <w:rStyle w:val="Bold"/>
          <w:b w:val="0"/>
          <w:bCs w:val="0"/>
        </w:rPr>
        <w:t xml:space="preserve">per </w:t>
      </w:r>
      <w:r w:rsidR="00AE1B62">
        <w:rPr>
          <w:rStyle w:val="Bold"/>
          <w:b w:val="0"/>
          <w:bCs w:val="0"/>
        </w:rPr>
        <w:t>Table A4 below).</w:t>
      </w:r>
    </w:p>
    <w:p w14:paraId="5C8BC7C8" w14:textId="2D64A191" w:rsidR="00E12E36" w:rsidRPr="00B90CFD" w:rsidRDefault="015F4E45" w:rsidP="00F42702">
      <w:pPr>
        <w:pStyle w:val="TableFigureNumber0"/>
        <w:rPr>
          <w:b/>
          <w:bCs/>
          <w:color w:val="0579BD"/>
        </w:rPr>
      </w:pPr>
      <w:r w:rsidRPr="00B90CFD">
        <w:rPr>
          <w:color w:val="0579BD"/>
        </w:rPr>
        <w:t>TABLE A3</w:t>
      </w:r>
    </w:p>
    <w:p w14:paraId="20B57C09" w14:textId="11DFD7DF" w:rsidR="00E12E36" w:rsidRDefault="1C7C6EA3" w:rsidP="00DC0498">
      <w:pPr>
        <w:pStyle w:val="TableFigureheader"/>
        <w:spacing w:after="120"/>
      </w:pPr>
      <w:r>
        <w:t>Annual VMT Values and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620"/>
        <w:gridCol w:w="5130"/>
      </w:tblGrid>
      <w:tr w:rsidR="006F44F5" w:rsidRPr="00A10071" w14:paraId="20EB3FB1" w14:textId="77777777" w:rsidTr="004E3D93">
        <w:trPr>
          <w:jc w:val="center"/>
        </w:trPr>
        <w:tc>
          <w:tcPr>
            <w:tcW w:w="2515" w:type="dxa"/>
            <w:shd w:val="clear" w:color="auto" w:fill="3C3A4C"/>
            <w:vAlign w:val="center"/>
          </w:tcPr>
          <w:p w14:paraId="2D2734D4" w14:textId="06905C5D" w:rsidR="006F44F5" w:rsidRPr="003A15C4" w:rsidRDefault="0E45665D" w:rsidP="004E3D93">
            <w:pPr>
              <w:pStyle w:val="Tabletext"/>
              <w:jc w:val="left"/>
              <w:rPr>
                <w:rFonts w:cs="Calibri"/>
                <w:b/>
                <w:color w:val="FFFFFF" w:themeColor="background1"/>
              </w:rPr>
            </w:pPr>
            <w:r w:rsidRPr="7ACA0E52">
              <w:rPr>
                <w:rFonts w:cs="Calibri"/>
                <w:b/>
                <w:bCs/>
                <w:color w:val="FFFFFF" w:themeColor="background1"/>
              </w:rPr>
              <w:t xml:space="preserve">Technology </w:t>
            </w:r>
            <w:r w:rsidR="00574ABF">
              <w:rPr>
                <w:rFonts w:cs="Calibri"/>
                <w:b/>
                <w:bCs/>
                <w:color w:val="FFFFFF" w:themeColor="background1"/>
              </w:rPr>
              <w:t>T</w:t>
            </w:r>
            <w:r w:rsidRPr="7ACA0E52">
              <w:rPr>
                <w:rFonts w:cs="Calibri"/>
                <w:b/>
                <w:bCs/>
                <w:color w:val="FFFFFF" w:themeColor="background1"/>
              </w:rPr>
              <w:t>ype</w:t>
            </w:r>
          </w:p>
        </w:tc>
        <w:tc>
          <w:tcPr>
            <w:tcW w:w="1620" w:type="dxa"/>
            <w:shd w:val="clear" w:color="auto" w:fill="3C3A4C"/>
            <w:vAlign w:val="center"/>
          </w:tcPr>
          <w:p w14:paraId="542273DE" w14:textId="6A95BEC1" w:rsidR="006F44F5" w:rsidRPr="009F6BA8" w:rsidRDefault="0E45665D" w:rsidP="00153335">
            <w:pPr>
              <w:pStyle w:val="Tabletext"/>
              <w:jc w:val="left"/>
              <w:rPr>
                <w:rFonts w:cs="Calibri"/>
                <w:b/>
                <w:bCs/>
                <w:color w:val="FFFFFF" w:themeColor="background1"/>
              </w:rPr>
            </w:pPr>
            <w:r w:rsidRPr="7ACA0E52">
              <w:rPr>
                <w:rFonts w:cs="Calibri"/>
                <w:b/>
                <w:bCs/>
                <w:color w:val="FFFFFF" w:themeColor="background1"/>
              </w:rPr>
              <w:t>Annual VMT</w:t>
            </w:r>
            <w:r w:rsidR="008077F9">
              <w:rPr>
                <w:rFonts w:cs="Calibri"/>
                <w:b/>
                <w:bCs/>
                <w:color w:val="FFFFFF" w:themeColor="background1"/>
              </w:rPr>
              <w:t xml:space="preserve"> (First Year)</w:t>
            </w:r>
          </w:p>
        </w:tc>
        <w:tc>
          <w:tcPr>
            <w:tcW w:w="5130" w:type="dxa"/>
            <w:shd w:val="clear" w:color="auto" w:fill="3C3A4C"/>
            <w:vAlign w:val="center"/>
          </w:tcPr>
          <w:p w14:paraId="48C3F718" w14:textId="77777777" w:rsidR="006F44F5" w:rsidRPr="009F6BA8" w:rsidRDefault="0E45665D" w:rsidP="00153335">
            <w:pPr>
              <w:pStyle w:val="Tabletext"/>
              <w:rPr>
                <w:rFonts w:cs="Calibri"/>
                <w:b/>
                <w:bCs/>
                <w:color w:val="FFFFFF" w:themeColor="background1"/>
              </w:rPr>
            </w:pPr>
            <w:r w:rsidRPr="7ACA0E52">
              <w:rPr>
                <w:rFonts w:cs="Calibri"/>
                <w:b/>
                <w:bCs/>
                <w:color w:val="FFFFFF" w:themeColor="background1"/>
              </w:rPr>
              <w:t>Source</w:t>
            </w:r>
          </w:p>
        </w:tc>
      </w:tr>
      <w:tr w:rsidR="006F44F5" w14:paraId="4517809D" w14:textId="77777777" w:rsidTr="7ACA0E52">
        <w:trPr>
          <w:jc w:val="center"/>
        </w:trPr>
        <w:tc>
          <w:tcPr>
            <w:tcW w:w="2515" w:type="dxa"/>
          </w:tcPr>
          <w:p w14:paraId="7BF73952" w14:textId="77777777" w:rsidR="006F44F5" w:rsidRPr="003A15C4" w:rsidRDefault="0E45665D" w:rsidP="00153335">
            <w:pPr>
              <w:pStyle w:val="Tabletext"/>
              <w:rPr>
                <w:rFonts w:cs="Calibri"/>
              </w:rPr>
            </w:pPr>
            <w:r w:rsidRPr="7ACA0E52">
              <w:rPr>
                <w:rFonts w:cs="Calibri"/>
              </w:rPr>
              <w:t xml:space="preserve">PHEV </w:t>
            </w:r>
          </w:p>
        </w:tc>
        <w:tc>
          <w:tcPr>
            <w:tcW w:w="1620" w:type="dxa"/>
            <w:vAlign w:val="center"/>
          </w:tcPr>
          <w:p w14:paraId="565EFEB1" w14:textId="77777777" w:rsidR="006F44F5" w:rsidRPr="006F44F5" w:rsidRDefault="0E45665D" w:rsidP="00153335">
            <w:pPr>
              <w:pStyle w:val="Tabletext"/>
              <w:jc w:val="left"/>
              <w:rPr>
                <w:rFonts w:cs="Calibri"/>
              </w:rPr>
            </w:pPr>
            <w:r w:rsidRPr="7ACA0E52">
              <w:rPr>
                <w:rFonts w:cs="Calibri"/>
              </w:rPr>
              <w:t>13,475</w:t>
            </w:r>
          </w:p>
        </w:tc>
        <w:tc>
          <w:tcPr>
            <w:tcW w:w="5130" w:type="dxa"/>
            <w:vAlign w:val="center"/>
          </w:tcPr>
          <w:p w14:paraId="155DA88A" w14:textId="0B7E48EB" w:rsidR="006F44F5" w:rsidRPr="006F44F5" w:rsidRDefault="00FD2EAE" w:rsidP="00153335">
            <w:pPr>
              <w:pStyle w:val="Tabletext"/>
              <w:rPr>
                <w:rFonts w:cs="Calibri"/>
              </w:rPr>
            </w:pPr>
            <w:r w:rsidRPr="00FD2EAE">
              <w:rPr>
                <w:rFonts w:cs="Calibri"/>
              </w:rPr>
              <w:t>(Chakraborty et al., 2021)</w:t>
            </w:r>
          </w:p>
        </w:tc>
      </w:tr>
      <w:tr w:rsidR="006F44F5" w14:paraId="0851916B" w14:textId="77777777" w:rsidTr="7ACA0E52">
        <w:trPr>
          <w:jc w:val="center"/>
        </w:trPr>
        <w:tc>
          <w:tcPr>
            <w:tcW w:w="2515" w:type="dxa"/>
          </w:tcPr>
          <w:p w14:paraId="31ADCFA4" w14:textId="35706B73" w:rsidR="006F44F5" w:rsidRPr="003A15C4" w:rsidRDefault="00586F75" w:rsidP="00153335">
            <w:pPr>
              <w:pStyle w:val="Tabletext"/>
              <w:rPr>
                <w:rFonts w:cs="Calibri"/>
              </w:rPr>
            </w:pPr>
            <w:r>
              <w:rPr>
                <w:rFonts w:cs="Calibri"/>
              </w:rPr>
              <w:t>S</w:t>
            </w:r>
            <w:r w:rsidR="0E45665D" w:rsidRPr="7ACA0E52">
              <w:rPr>
                <w:rFonts w:cs="Calibri"/>
              </w:rPr>
              <w:t>hort range BEV</w:t>
            </w:r>
          </w:p>
        </w:tc>
        <w:tc>
          <w:tcPr>
            <w:tcW w:w="1620" w:type="dxa"/>
            <w:vAlign w:val="center"/>
          </w:tcPr>
          <w:p w14:paraId="7403A0CA" w14:textId="77777777" w:rsidR="006F44F5" w:rsidRPr="006F44F5" w:rsidRDefault="0E45665D" w:rsidP="00153335">
            <w:pPr>
              <w:pStyle w:val="Tabletext"/>
              <w:jc w:val="left"/>
              <w:rPr>
                <w:rFonts w:cs="Calibri"/>
              </w:rPr>
            </w:pPr>
            <w:r w:rsidRPr="7ACA0E52">
              <w:rPr>
                <w:rFonts w:cs="Calibri"/>
              </w:rPr>
              <w:t>10,484</w:t>
            </w:r>
          </w:p>
        </w:tc>
        <w:tc>
          <w:tcPr>
            <w:tcW w:w="5130" w:type="dxa"/>
            <w:vAlign w:val="center"/>
          </w:tcPr>
          <w:p w14:paraId="4A3C59E5" w14:textId="640F2FD8" w:rsidR="006F44F5" w:rsidRPr="006F44F5" w:rsidRDefault="00FD2EAE" w:rsidP="00153335">
            <w:pPr>
              <w:pStyle w:val="Tabletext"/>
              <w:rPr>
                <w:rFonts w:cs="Calibri"/>
              </w:rPr>
            </w:pPr>
            <w:r w:rsidRPr="00FD2EAE">
              <w:rPr>
                <w:rFonts w:cs="Calibri"/>
              </w:rPr>
              <w:t>(Chakraborty et al., 2021)</w:t>
            </w:r>
          </w:p>
        </w:tc>
      </w:tr>
      <w:tr w:rsidR="006F44F5" w14:paraId="7C243AD5" w14:textId="77777777" w:rsidTr="7ACA0E52">
        <w:trPr>
          <w:jc w:val="center"/>
        </w:trPr>
        <w:tc>
          <w:tcPr>
            <w:tcW w:w="2515" w:type="dxa"/>
          </w:tcPr>
          <w:p w14:paraId="3C446693" w14:textId="77777777" w:rsidR="006F44F5" w:rsidRPr="003A15C4" w:rsidRDefault="0E45665D" w:rsidP="00153335">
            <w:pPr>
              <w:pStyle w:val="Tabletext"/>
              <w:rPr>
                <w:rFonts w:cs="Calibri"/>
              </w:rPr>
            </w:pPr>
            <w:r w:rsidRPr="7ACA0E52">
              <w:rPr>
                <w:rFonts w:cs="Calibri"/>
              </w:rPr>
              <w:t>Long range BEV (200+ mi.)</w:t>
            </w:r>
          </w:p>
        </w:tc>
        <w:tc>
          <w:tcPr>
            <w:tcW w:w="1620" w:type="dxa"/>
            <w:vAlign w:val="center"/>
          </w:tcPr>
          <w:p w14:paraId="271FF1CA" w14:textId="77777777" w:rsidR="006F44F5" w:rsidRPr="006F44F5" w:rsidRDefault="0E45665D" w:rsidP="00153335">
            <w:pPr>
              <w:pStyle w:val="Tabletext"/>
              <w:jc w:val="left"/>
              <w:rPr>
                <w:rFonts w:cs="Calibri"/>
              </w:rPr>
            </w:pPr>
            <w:r w:rsidRPr="7ACA0E52">
              <w:rPr>
                <w:rFonts w:cs="Calibri"/>
              </w:rPr>
              <w:t>13,018</w:t>
            </w:r>
          </w:p>
        </w:tc>
        <w:tc>
          <w:tcPr>
            <w:tcW w:w="5130" w:type="dxa"/>
            <w:vAlign w:val="center"/>
          </w:tcPr>
          <w:p w14:paraId="0F8BAACD" w14:textId="018622F4" w:rsidR="006F44F5" w:rsidRPr="006F44F5" w:rsidRDefault="00FD2EAE" w:rsidP="00153335">
            <w:pPr>
              <w:pStyle w:val="Tabletext"/>
              <w:rPr>
                <w:rFonts w:cs="Calibri"/>
              </w:rPr>
            </w:pPr>
            <w:r w:rsidRPr="00FD2EAE">
              <w:rPr>
                <w:rFonts w:cs="Calibri"/>
              </w:rPr>
              <w:t>(Chakraborty et al., 2021)</w:t>
            </w:r>
          </w:p>
        </w:tc>
      </w:tr>
      <w:tr w:rsidR="006F44F5" w14:paraId="58D81E55" w14:textId="77777777" w:rsidTr="7ACA0E52">
        <w:trPr>
          <w:jc w:val="center"/>
        </w:trPr>
        <w:tc>
          <w:tcPr>
            <w:tcW w:w="2515" w:type="dxa"/>
            <w:tcBorders>
              <w:bottom w:val="single" w:sz="4" w:space="0" w:color="auto"/>
            </w:tcBorders>
          </w:tcPr>
          <w:p w14:paraId="14F1FEB5" w14:textId="77777777" w:rsidR="006F44F5" w:rsidRPr="003A15C4" w:rsidRDefault="0E45665D" w:rsidP="00153335">
            <w:pPr>
              <w:pStyle w:val="Tabletext"/>
              <w:rPr>
                <w:rFonts w:cs="Calibri"/>
              </w:rPr>
            </w:pPr>
            <w:r w:rsidRPr="7ACA0E52">
              <w:rPr>
                <w:rFonts w:cs="Calibri"/>
              </w:rPr>
              <w:t xml:space="preserve">FCEV </w:t>
            </w:r>
          </w:p>
        </w:tc>
        <w:tc>
          <w:tcPr>
            <w:tcW w:w="1620" w:type="dxa"/>
            <w:tcBorders>
              <w:bottom w:val="single" w:sz="4" w:space="0" w:color="auto"/>
            </w:tcBorders>
            <w:vAlign w:val="center"/>
          </w:tcPr>
          <w:p w14:paraId="22C52D03" w14:textId="77777777" w:rsidR="006F44F5" w:rsidRPr="006F44F5" w:rsidRDefault="0E45665D" w:rsidP="00153335">
            <w:pPr>
              <w:pStyle w:val="Tabletext"/>
              <w:jc w:val="left"/>
              <w:rPr>
                <w:rFonts w:cs="Calibri"/>
              </w:rPr>
            </w:pPr>
            <w:r w:rsidRPr="7ACA0E52">
              <w:rPr>
                <w:rFonts w:cs="Calibri"/>
              </w:rPr>
              <w:t>12,445</w:t>
            </w:r>
          </w:p>
        </w:tc>
        <w:tc>
          <w:tcPr>
            <w:tcW w:w="5130" w:type="dxa"/>
            <w:tcBorders>
              <w:bottom w:val="single" w:sz="4" w:space="0" w:color="auto"/>
            </w:tcBorders>
            <w:vAlign w:val="center"/>
          </w:tcPr>
          <w:p w14:paraId="015C9BF8" w14:textId="67EFBAA9" w:rsidR="006F44F5" w:rsidRPr="006F44F5" w:rsidRDefault="00FD2EAE" w:rsidP="00153335">
            <w:pPr>
              <w:pStyle w:val="Tabletext"/>
              <w:rPr>
                <w:rFonts w:cs="Calibri"/>
              </w:rPr>
            </w:pPr>
            <w:r w:rsidRPr="00FD2EAE">
              <w:rPr>
                <w:rFonts w:cs="Calibri"/>
              </w:rPr>
              <w:t>(Hardman, 2019)</w:t>
            </w:r>
          </w:p>
        </w:tc>
      </w:tr>
      <w:tr w:rsidR="006F44F5" w14:paraId="2AB4E122" w14:textId="77777777" w:rsidTr="7ACA0E52">
        <w:trPr>
          <w:jc w:val="center"/>
        </w:trPr>
        <w:tc>
          <w:tcPr>
            <w:tcW w:w="2515" w:type="dxa"/>
            <w:tcBorders>
              <w:bottom w:val="single" w:sz="4" w:space="0" w:color="auto"/>
            </w:tcBorders>
          </w:tcPr>
          <w:p w14:paraId="76108748" w14:textId="77777777" w:rsidR="006F44F5" w:rsidRPr="003A15C4" w:rsidRDefault="0E45665D" w:rsidP="00153335">
            <w:pPr>
              <w:pStyle w:val="Tabletext"/>
              <w:rPr>
                <w:rFonts w:cs="Calibri"/>
              </w:rPr>
            </w:pPr>
            <w:r w:rsidRPr="7ACA0E52">
              <w:rPr>
                <w:rFonts w:cs="Calibri"/>
              </w:rPr>
              <w:t xml:space="preserve">Baseline vehicle </w:t>
            </w:r>
          </w:p>
        </w:tc>
        <w:tc>
          <w:tcPr>
            <w:tcW w:w="1620" w:type="dxa"/>
            <w:tcBorders>
              <w:bottom w:val="single" w:sz="4" w:space="0" w:color="auto"/>
            </w:tcBorders>
            <w:vAlign w:val="center"/>
          </w:tcPr>
          <w:p w14:paraId="7322C9BE" w14:textId="77777777" w:rsidR="006F44F5" w:rsidRPr="006F44F5" w:rsidRDefault="0E45665D" w:rsidP="00153335">
            <w:pPr>
              <w:pStyle w:val="Tabletext"/>
              <w:jc w:val="left"/>
              <w:rPr>
                <w:rFonts w:cs="Calibri"/>
              </w:rPr>
            </w:pPr>
            <w:r w:rsidRPr="7ACA0E52">
              <w:rPr>
                <w:rFonts w:cs="Calibri"/>
              </w:rPr>
              <w:t>10,484 to 13,475</w:t>
            </w:r>
          </w:p>
        </w:tc>
        <w:tc>
          <w:tcPr>
            <w:tcW w:w="5130" w:type="dxa"/>
            <w:tcBorders>
              <w:bottom w:val="single" w:sz="4" w:space="0" w:color="auto"/>
            </w:tcBorders>
            <w:vAlign w:val="center"/>
          </w:tcPr>
          <w:p w14:paraId="18A27024" w14:textId="79DB679E" w:rsidR="006F44F5" w:rsidRPr="006F44F5" w:rsidRDefault="0E45665D" w:rsidP="00153335">
            <w:pPr>
              <w:pStyle w:val="Tabletext"/>
              <w:rPr>
                <w:rFonts w:cs="Calibri"/>
              </w:rPr>
            </w:pPr>
            <w:r w:rsidRPr="7ACA0E52">
              <w:rPr>
                <w:rFonts w:cs="Calibri"/>
              </w:rPr>
              <w:t xml:space="preserve">Same as paired rebated vehicle, consistent with </w:t>
            </w:r>
            <w:r w:rsidR="00FD2EAE" w:rsidRPr="00FD2EAE">
              <w:rPr>
                <w:rFonts w:cs="Calibri"/>
              </w:rPr>
              <w:t>(CARB, 2017b)</w:t>
            </w:r>
          </w:p>
        </w:tc>
      </w:tr>
    </w:tbl>
    <w:p w14:paraId="666D902C" w14:textId="77777777" w:rsidR="002150BC" w:rsidRDefault="002150BC" w:rsidP="002150BC">
      <w:pPr>
        <w:pStyle w:val="TableFigurenumber"/>
        <w:keepNext/>
      </w:pPr>
      <w:bookmarkStart w:id="64" w:name="_Hlk119311632"/>
    </w:p>
    <w:p w14:paraId="5D376EE9" w14:textId="0E7EEAE9" w:rsidR="002150BC" w:rsidRPr="00B90CFD" w:rsidRDefault="002150BC" w:rsidP="00F42702">
      <w:pPr>
        <w:pStyle w:val="TableFigureNumber0"/>
        <w:rPr>
          <w:b/>
          <w:bCs/>
          <w:color w:val="0579BD"/>
        </w:rPr>
      </w:pPr>
      <w:r w:rsidRPr="00B90CFD">
        <w:rPr>
          <w:color w:val="0579BD"/>
        </w:rPr>
        <w:t>TABLE A4</w:t>
      </w:r>
    </w:p>
    <w:p w14:paraId="32A6BA69" w14:textId="7E646E43" w:rsidR="002150BC" w:rsidRDefault="002150BC" w:rsidP="002150BC">
      <w:pPr>
        <w:pStyle w:val="TableFigureheader"/>
        <w:spacing w:after="120"/>
      </w:pPr>
      <w:r>
        <w:t xml:space="preserve">Annual VMT </w:t>
      </w:r>
      <w:r w:rsidR="001273DC">
        <w:t>Over Time</w:t>
      </w:r>
    </w:p>
    <w:tbl>
      <w:tblPr>
        <w:tblStyle w:val="GridTable4"/>
        <w:tblW w:w="3600" w:type="dxa"/>
        <w:tblLook w:val="04A0" w:firstRow="1" w:lastRow="0" w:firstColumn="1" w:lastColumn="0" w:noHBand="0" w:noVBand="1"/>
      </w:tblPr>
      <w:tblGrid>
        <w:gridCol w:w="1795"/>
        <w:gridCol w:w="1805"/>
      </w:tblGrid>
      <w:tr w:rsidR="00E4456F" w:rsidRPr="00E4456F" w14:paraId="4DDC0481" w14:textId="77777777" w:rsidTr="0079221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95" w:type="dxa"/>
            <w:shd w:val="clear" w:color="auto" w:fill="3C3A4C"/>
            <w:noWrap/>
            <w:hideMark/>
          </w:tcPr>
          <w:p w14:paraId="290C0E9F" w14:textId="4C4BAFC6"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FFFFFF" w:themeColor="background1"/>
                <w:sz w:val="20"/>
                <w:szCs w:val="20"/>
                <w:bdr w:val="none" w:sz="0" w:space="0" w:color="auto"/>
              </w:rPr>
            </w:pPr>
            <w:r w:rsidRPr="00F42702">
              <w:rPr>
                <w:rFonts w:eastAsia="Times New Roman" w:cs="Calibri"/>
                <w:color w:val="FFFFFF" w:themeColor="background1"/>
                <w:sz w:val="20"/>
                <w:szCs w:val="20"/>
                <w:bdr w:val="none" w:sz="0" w:space="0" w:color="auto"/>
              </w:rPr>
              <w:t xml:space="preserve">Vehicle </w:t>
            </w:r>
            <w:r w:rsidR="00F42702">
              <w:rPr>
                <w:rFonts w:eastAsia="Times New Roman" w:cs="Calibri"/>
                <w:color w:val="FFFFFF" w:themeColor="background1"/>
                <w:sz w:val="20"/>
                <w:szCs w:val="20"/>
                <w:bdr w:val="none" w:sz="0" w:space="0" w:color="auto"/>
              </w:rPr>
              <w:t>A</w:t>
            </w:r>
            <w:r w:rsidRPr="00F42702">
              <w:rPr>
                <w:rFonts w:eastAsia="Times New Roman" w:cs="Calibri"/>
                <w:color w:val="FFFFFF" w:themeColor="background1"/>
                <w:sz w:val="20"/>
                <w:szCs w:val="20"/>
                <w:bdr w:val="none" w:sz="0" w:space="0" w:color="auto"/>
              </w:rPr>
              <w:t>ge (years)</w:t>
            </w:r>
          </w:p>
        </w:tc>
        <w:tc>
          <w:tcPr>
            <w:tcW w:w="1805" w:type="dxa"/>
            <w:shd w:val="clear" w:color="auto" w:fill="3C3A4C"/>
            <w:noWrap/>
            <w:hideMark/>
          </w:tcPr>
          <w:p w14:paraId="0A4D2DA0" w14:textId="77777777" w:rsidR="00E4456F" w:rsidRPr="00F42702" w:rsidRDefault="00E4456F" w:rsidP="006403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bdr w:val="none" w:sz="0" w:space="0" w:color="auto"/>
              </w:rPr>
            </w:pPr>
            <w:r w:rsidRPr="00F42702">
              <w:rPr>
                <w:rFonts w:eastAsia="Times New Roman" w:cs="Calibri"/>
                <w:color w:val="FFFFFF" w:themeColor="background1"/>
                <w:sz w:val="20"/>
                <w:szCs w:val="20"/>
                <w:bdr w:val="none" w:sz="0" w:space="0" w:color="auto"/>
              </w:rPr>
              <w:t>Year Over Year Change</w:t>
            </w:r>
          </w:p>
        </w:tc>
      </w:tr>
      <w:tr w:rsidR="00E4456F" w:rsidRPr="00E4456F" w14:paraId="3263D832"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0CA5973E"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0</w:t>
            </w:r>
          </w:p>
        </w:tc>
        <w:tc>
          <w:tcPr>
            <w:tcW w:w="1805" w:type="dxa"/>
            <w:shd w:val="clear" w:color="auto" w:fill="F2F2F2" w:themeFill="background1" w:themeFillShade="F2"/>
            <w:noWrap/>
            <w:hideMark/>
          </w:tcPr>
          <w:p w14:paraId="0E461A19" w14:textId="6CC9D869" w:rsidR="00E4456F" w:rsidRPr="00F42702" w:rsidRDefault="00F42702"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bdr w:val="none" w:sz="0" w:space="0" w:color="auto"/>
              </w:rPr>
            </w:pPr>
            <w:r>
              <w:rPr>
                <w:rFonts w:eastAsia="Times New Roman" w:cs="Calibri"/>
                <w:color w:val="000000"/>
                <w:sz w:val="20"/>
                <w:szCs w:val="20"/>
                <w:bdr w:val="none" w:sz="0" w:space="0" w:color="auto"/>
              </w:rPr>
              <w:t>N/A</w:t>
            </w:r>
          </w:p>
        </w:tc>
      </w:tr>
      <w:tr w:rsidR="00E4456F" w:rsidRPr="00E4456F" w14:paraId="5DF871D4"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B69C8F6"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w:t>
            </w:r>
          </w:p>
        </w:tc>
        <w:tc>
          <w:tcPr>
            <w:tcW w:w="1805" w:type="dxa"/>
            <w:noWrap/>
            <w:hideMark/>
          </w:tcPr>
          <w:p w14:paraId="708CA08F"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-2%</w:t>
            </w:r>
          </w:p>
        </w:tc>
      </w:tr>
      <w:tr w:rsidR="00E4456F" w:rsidRPr="00E4456F" w14:paraId="0A003FD9"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1F33B0CD"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w:t>
            </w:r>
          </w:p>
        </w:tc>
        <w:tc>
          <w:tcPr>
            <w:tcW w:w="1805" w:type="dxa"/>
            <w:shd w:val="clear" w:color="auto" w:fill="F2F2F2" w:themeFill="background1" w:themeFillShade="F2"/>
            <w:noWrap/>
            <w:hideMark/>
          </w:tcPr>
          <w:p w14:paraId="13A05C43"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-2%</w:t>
            </w:r>
          </w:p>
        </w:tc>
      </w:tr>
      <w:tr w:rsidR="00E4456F" w:rsidRPr="00E4456F" w14:paraId="60B6FDFC"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69E2293"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3</w:t>
            </w:r>
          </w:p>
        </w:tc>
        <w:tc>
          <w:tcPr>
            <w:tcW w:w="1805" w:type="dxa"/>
            <w:noWrap/>
            <w:hideMark/>
          </w:tcPr>
          <w:p w14:paraId="32A0DFD0"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-2%</w:t>
            </w:r>
          </w:p>
        </w:tc>
      </w:tr>
      <w:tr w:rsidR="00E4456F" w:rsidRPr="00E4456F" w14:paraId="5E760C5D"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673A9B10"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4</w:t>
            </w:r>
          </w:p>
        </w:tc>
        <w:tc>
          <w:tcPr>
            <w:tcW w:w="1805" w:type="dxa"/>
            <w:shd w:val="clear" w:color="auto" w:fill="F2F2F2" w:themeFill="background1" w:themeFillShade="F2"/>
            <w:noWrap/>
            <w:hideMark/>
          </w:tcPr>
          <w:p w14:paraId="092EAB80"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-2%</w:t>
            </w:r>
          </w:p>
        </w:tc>
      </w:tr>
      <w:tr w:rsidR="00E4456F" w:rsidRPr="00E4456F" w14:paraId="083C9820"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1C534D5"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5</w:t>
            </w:r>
          </w:p>
        </w:tc>
        <w:tc>
          <w:tcPr>
            <w:tcW w:w="1805" w:type="dxa"/>
            <w:noWrap/>
            <w:hideMark/>
          </w:tcPr>
          <w:p w14:paraId="34D270C2"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-3%</w:t>
            </w:r>
          </w:p>
        </w:tc>
      </w:tr>
      <w:tr w:rsidR="00E4456F" w:rsidRPr="00E4456F" w14:paraId="79F3853B"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17A4A858"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6</w:t>
            </w:r>
          </w:p>
        </w:tc>
        <w:tc>
          <w:tcPr>
            <w:tcW w:w="1805" w:type="dxa"/>
            <w:shd w:val="clear" w:color="auto" w:fill="F2F2F2" w:themeFill="background1" w:themeFillShade="F2"/>
            <w:noWrap/>
            <w:hideMark/>
          </w:tcPr>
          <w:p w14:paraId="1425672A"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-3%</w:t>
            </w:r>
          </w:p>
        </w:tc>
      </w:tr>
      <w:tr w:rsidR="00E4456F" w:rsidRPr="00E4456F" w14:paraId="6D0922EA"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E4B1382"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7</w:t>
            </w:r>
          </w:p>
        </w:tc>
        <w:tc>
          <w:tcPr>
            <w:tcW w:w="1805" w:type="dxa"/>
            <w:noWrap/>
            <w:hideMark/>
          </w:tcPr>
          <w:p w14:paraId="43F36F7F"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-3%</w:t>
            </w:r>
          </w:p>
        </w:tc>
      </w:tr>
      <w:tr w:rsidR="00E4456F" w:rsidRPr="00E4456F" w14:paraId="68BCEC46"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128D6BAA"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8</w:t>
            </w:r>
          </w:p>
        </w:tc>
        <w:tc>
          <w:tcPr>
            <w:tcW w:w="1805" w:type="dxa"/>
            <w:shd w:val="clear" w:color="auto" w:fill="F2F2F2" w:themeFill="background1" w:themeFillShade="F2"/>
            <w:noWrap/>
            <w:hideMark/>
          </w:tcPr>
          <w:p w14:paraId="1644CEC4"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-3%</w:t>
            </w:r>
          </w:p>
        </w:tc>
      </w:tr>
      <w:tr w:rsidR="00E4456F" w:rsidRPr="00E4456F" w14:paraId="768FB199"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2C126AD"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9</w:t>
            </w:r>
          </w:p>
        </w:tc>
        <w:tc>
          <w:tcPr>
            <w:tcW w:w="1805" w:type="dxa"/>
            <w:noWrap/>
            <w:hideMark/>
          </w:tcPr>
          <w:p w14:paraId="1F14A877"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-3%</w:t>
            </w:r>
          </w:p>
        </w:tc>
      </w:tr>
      <w:tr w:rsidR="00E4456F" w:rsidRPr="00E4456F" w14:paraId="0AF1F2E3"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019D28A8"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10</w:t>
            </w:r>
          </w:p>
        </w:tc>
        <w:tc>
          <w:tcPr>
            <w:tcW w:w="1805" w:type="dxa"/>
            <w:shd w:val="clear" w:color="auto" w:fill="F2F2F2" w:themeFill="background1" w:themeFillShade="F2"/>
            <w:noWrap/>
            <w:hideMark/>
          </w:tcPr>
          <w:p w14:paraId="63FA0DD8"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-3%</w:t>
            </w:r>
          </w:p>
        </w:tc>
      </w:tr>
      <w:tr w:rsidR="00E4456F" w:rsidRPr="00E4456F" w14:paraId="0C30B01C"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EFF92A7"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11</w:t>
            </w:r>
          </w:p>
        </w:tc>
        <w:tc>
          <w:tcPr>
            <w:tcW w:w="1805" w:type="dxa"/>
            <w:noWrap/>
            <w:hideMark/>
          </w:tcPr>
          <w:p w14:paraId="2C8883B0"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1FF76E08"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42E0EC5A"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12</w:t>
            </w:r>
          </w:p>
        </w:tc>
        <w:tc>
          <w:tcPr>
            <w:tcW w:w="1805" w:type="dxa"/>
            <w:shd w:val="clear" w:color="auto" w:fill="F2F2F2" w:themeFill="background1" w:themeFillShade="F2"/>
            <w:noWrap/>
            <w:hideMark/>
          </w:tcPr>
          <w:p w14:paraId="12A00549"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6C9D09B9"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244E6B3"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13</w:t>
            </w:r>
          </w:p>
        </w:tc>
        <w:tc>
          <w:tcPr>
            <w:tcW w:w="1805" w:type="dxa"/>
            <w:noWrap/>
            <w:hideMark/>
          </w:tcPr>
          <w:p w14:paraId="5C5CBBCA"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7398AD88"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5F8AFA23"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14</w:t>
            </w:r>
          </w:p>
        </w:tc>
        <w:tc>
          <w:tcPr>
            <w:tcW w:w="1805" w:type="dxa"/>
            <w:shd w:val="clear" w:color="auto" w:fill="F2F2F2" w:themeFill="background1" w:themeFillShade="F2"/>
            <w:noWrap/>
            <w:hideMark/>
          </w:tcPr>
          <w:p w14:paraId="07C03407"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288CFAF5"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3463510"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15</w:t>
            </w:r>
          </w:p>
        </w:tc>
        <w:tc>
          <w:tcPr>
            <w:tcW w:w="1805" w:type="dxa"/>
            <w:noWrap/>
            <w:hideMark/>
          </w:tcPr>
          <w:p w14:paraId="1D217B89"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2ABD5D77"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438447B8"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lastRenderedPageBreak/>
              <w:t>16</w:t>
            </w:r>
          </w:p>
        </w:tc>
        <w:tc>
          <w:tcPr>
            <w:tcW w:w="1805" w:type="dxa"/>
            <w:shd w:val="clear" w:color="auto" w:fill="F2F2F2" w:themeFill="background1" w:themeFillShade="F2"/>
            <w:noWrap/>
            <w:hideMark/>
          </w:tcPr>
          <w:p w14:paraId="031A806C"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796FE24B"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DB77AD8"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17</w:t>
            </w:r>
          </w:p>
        </w:tc>
        <w:tc>
          <w:tcPr>
            <w:tcW w:w="1805" w:type="dxa"/>
            <w:noWrap/>
            <w:hideMark/>
          </w:tcPr>
          <w:p w14:paraId="67DF37E3"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65096764"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5449477D"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18</w:t>
            </w:r>
          </w:p>
        </w:tc>
        <w:tc>
          <w:tcPr>
            <w:tcW w:w="1805" w:type="dxa"/>
            <w:shd w:val="clear" w:color="auto" w:fill="F2F2F2" w:themeFill="background1" w:themeFillShade="F2"/>
            <w:noWrap/>
            <w:hideMark/>
          </w:tcPr>
          <w:p w14:paraId="5DC4E170"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2FE3FA2A"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4D06223"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19</w:t>
            </w:r>
          </w:p>
        </w:tc>
        <w:tc>
          <w:tcPr>
            <w:tcW w:w="1805" w:type="dxa"/>
            <w:noWrap/>
            <w:hideMark/>
          </w:tcPr>
          <w:p w14:paraId="76C2F2A7"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0700F73A"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5800DCB9"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20</w:t>
            </w:r>
          </w:p>
        </w:tc>
        <w:tc>
          <w:tcPr>
            <w:tcW w:w="1805" w:type="dxa"/>
            <w:shd w:val="clear" w:color="auto" w:fill="F2F2F2" w:themeFill="background1" w:themeFillShade="F2"/>
            <w:noWrap/>
            <w:hideMark/>
          </w:tcPr>
          <w:p w14:paraId="1BEA4FB8"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6CE7AC89"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B191415"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21</w:t>
            </w:r>
          </w:p>
        </w:tc>
        <w:tc>
          <w:tcPr>
            <w:tcW w:w="1805" w:type="dxa"/>
            <w:noWrap/>
            <w:hideMark/>
          </w:tcPr>
          <w:p w14:paraId="06184A51"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0910F781"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0ED2FCEF"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22</w:t>
            </w:r>
          </w:p>
        </w:tc>
        <w:tc>
          <w:tcPr>
            <w:tcW w:w="1805" w:type="dxa"/>
            <w:shd w:val="clear" w:color="auto" w:fill="F2F2F2" w:themeFill="background1" w:themeFillShade="F2"/>
            <w:noWrap/>
            <w:hideMark/>
          </w:tcPr>
          <w:p w14:paraId="25E2CE4C"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3A9DEE85"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6AF3C4AF"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23</w:t>
            </w:r>
          </w:p>
        </w:tc>
        <w:tc>
          <w:tcPr>
            <w:tcW w:w="1805" w:type="dxa"/>
            <w:noWrap/>
            <w:hideMark/>
          </w:tcPr>
          <w:p w14:paraId="2D9EA7F3"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-4%</w:t>
            </w:r>
          </w:p>
        </w:tc>
      </w:tr>
      <w:tr w:rsidR="00E4456F" w:rsidRPr="00E4456F" w14:paraId="7E5E4FFD"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57D4249B"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24</w:t>
            </w:r>
          </w:p>
        </w:tc>
        <w:tc>
          <w:tcPr>
            <w:tcW w:w="1805" w:type="dxa"/>
            <w:shd w:val="clear" w:color="auto" w:fill="F2F2F2" w:themeFill="background1" w:themeFillShade="F2"/>
            <w:noWrap/>
            <w:hideMark/>
          </w:tcPr>
          <w:p w14:paraId="1432DD3E"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-3%</w:t>
            </w:r>
          </w:p>
        </w:tc>
      </w:tr>
      <w:tr w:rsidR="00E4456F" w:rsidRPr="00E4456F" w14:paraId="52C2257B"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32F8D28"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25</w:t>
            </w:r>
          </w:p>
        </w:tc>
        <w:tc>
          <w:tcPr>
            <w:tcW w:w="1805" w:type="dxa"/>
            <w:noWrap/>
            <w:hideMark/>
          </w:tcPr>
          <w:p w14:paraId="11CF24C4"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-3%</w:t>
            </w:r>
          </w:p>
        </w:tc>
      </w:tr>
      <w:tr w:rsidR="00E4456F" w:rsidRPr="00E4456F" w14:paraId="6FA7C77A"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7D24B4F3"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26</w:t>
            </w:r>
          </w:p>
        </w:tc>
        <w:tc>
          <w:tcPr>
            <w:tcW w:w="1805" w:type="dxa"/>
            <w:shd w:val="clear" w:color="auto" w:fill="F2F2F2" w:themeFill="background1" w:themeFillShade="F2"/>
            <w:noWrap/>
            <w:hideMark/>
          </w:tcPr>
          <w:p w14:paraId="611B4EB8"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-3%</w:t>
            </w:r>
          </w:p>
        </w:tc>
      </w:tr>
      <w:tr w:rsidR="00E4456F" w:rsidRPr="00E4456F" w14:paraId="50BF0F6F" w14:textId="77777777" w:rsidTr="0064032F">
        <w:trPr>
          <w:trHeight w:val="288"/>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29C7CF9"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27</w:t>
            </w:r>
          </w:p>
        </w:tc>
        <w:tc>
          <w:tcPr>
            <w:tcW w:w="1805" w:type="dxa"/>
            <w:noWrap/>
            <w:hideMark/>
          </w:tcPr>
          <w:p w14:paraId="61C153F7"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-2%</w:t>
            </w:r>
          </w:p>
        </w:tc>
      </w:tr>
      <w:tr w:rsidR="00E4456F" w:rsidRPr="00E4456F" w14:paraId="14B92D7A" w14:textId="77777777" w:rsidTr="002F3A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noWrap/>
            <w:hideMark/>
          </w:tcPr>
          <w:p w14:paraId="4CBFF3F5"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400" w:firstLine="800"/>
              <w:jc w:val="right"/>
              <w:rPr>
                <w:rFonts w:eastAsia="Times New Roman" w:cs="Calibri"/>
                <w:b w:val="0"/>
                <w:bCs w:val="0"/>
                <w:color w:val="000000"/>
                <w:sz w:val="20"/>
                <w:szCs w:val="20"/>
                <w:bdr w:val="none" w:sz="0" w:space="0" w:color="auto"/>
              </w:rPr>
            </w:pPr>
            <w:r w:rsidRPr="00F42702">
              <w:rPr>
                <w:rFonts w:eastAsia="Times New Roman" w:cs="Calibri"/>
                <w:b w:val="0"/>
                <w:bCs w:val="0"/>
                <w:color w:val="000000"/>
                <w:sz w:val="20"/>
                <w:szCs w:val="20"/>
                <w:bdr w:val="none" w:sz="0" w:space="0" w:color="auto"/>
              </w:rPr>
              <w:t>28</w:t>
            </w:r>
          </w:p>
        </w:tc>
        <w:tc>
          <w:tcPr>
            <w:tcW w:w="1805" w:type="dxa"/>
            <w:shd w:val="clear" w:color="auto" w:fill="F2F2F2" w:themeFill="background1" w:themeFillShade="F2"/>
            <w:noWrap/>
            <w:hideMark/>
          </w:tcPr>
          <w:p w14:paraId="3377C479" w14:textId="77777777" w:rsidR="00E4456F" w:rsidRPr="00F42702" w:rsidRDefault="00E4456F" w:rsidP="00E44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Chars="200" w:firstLine="44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bdr w:val="none" w:sz="0" w:space="0" w:color="auto"/>
              </w:rPr>
            </w:pPr>
            <w:r w:rsidRPr="00F42702">
              <w:rPr>
                <w:rFonts w:eastAsia="Times New Roman" w:cs="Calibri"/>
                <w:color w:val="000000"/>
                <w:bdr w:val="none" w:sz="0" w:space="0" w:color="auto"/>
              </w:rPr>
              <w:t>-2%</w:t>
            </w:r>
          </w:p>
        </w:tc>
      </w:tr>
    </w:tbl>
    <w:p w14:paraId="62921946" w14:textId="45AF3C7C" w:rsidR="00E91162" w:rsidRPr="00815741" w:rsidRDefault="001273DC" w:rsidP="00815741">
      <w:pPr>
        <w:pStyle w:val="NoSpacing"/>
        <w:rPr>
          <w:sz w:val="18"/>
          <w:szCs w:val="18"/>
        </w:rPr>
      </w:pPr>
      <w:r w:rsidRPr="005203BA">
        <w:rPr>
          <w:b/>
          <w:bCs/>
          <w:sz w:val="18"/>
          <w:szCs w:val="18"/>
        </w:rPr>
        <w:t>Source:</w:t>
      </w:r>
      <w:r w:rsidRPr="00815741">
        <w:rPr>
          <w:sz w:val="18"/>
          <w:szCs w:val="18"/>
        </w:rPr>
        <w:t xml:space="preserve"> </w:t>
      </w:r>
      <w:r w:rsidR="002E38C3" w:rsidRPr="00815741">
        <w:rPr>
          <w:sz w:val="18"/>
          <w:szCs w:val="18"/>
        </w:rPr>
        <w:t>converted from</w:t>
      </w:r>
      <w:r w:rsidR="00EF6E01" w:rsidRPr="00EF6E01">
        <w:rPr>
          <w:sz w:val="14"/>
          <w:szCs w:val="14"/>
        </w:rPr>
        <w:t xml:space="preserve"> </w:t>
      </w:r>
      <w:r w:rsidR="00EF6E01" w:rsidRPr="00EF6E01">
        <w:rPr>
          <w:sz w:val="18"/>
          <w:szCs w:val="18"/>
        </w:rPr>
        <w:t>(Davis &amp; Boundy, 2022)</w:t>
      </w:r>
    </w:p>
    <w:p w14:paraId="56C24B3F" w14:textId="77777777" w:rsidR="00815741" w:rsidRDefault="00815741" w:rsidP="00E91162"/>
    <w:p w14:paraId="0EE04294" w14:textId="07269240" w:rsidR="00E91162" w:rsidRDefault="6BC08E95" w:rsidP="00E91162">
      <w:r>
        <w:t>For PHEVs, which use both electric and gasoline fuels, a model-specific electric</w:t>
      </w:r>
      <w:r w:rsidR="00072D74">
        <w:t xml:space="preserve"> </w:t>
      </w:r>
      <w:r>
        <w:t>VMT (</w:t>
      </w:r>
      <w:proofErr w:type="spellStart"/>
      <w:r>
        <w:t>eVMT</w:t>
      </w:r>
      <w:proofErr w:type="spellEnd"/>
      <w:r>
        <w:t>) percentage</w:t>
      </w:r>
      <w:r w:rsidR="45921935">
        <w:t xml:space="preserve"> (or utility factor)</w:t>
      </w:r>
      <w:r>
        <w:t xml:space="preserve"> is used to assign proportions of total travel to electricity. </w:t>
      </w:r>
      <w:r w:rsidR="45921935">
        <w:t xml:space="preserve">Consistent with the general approach in </w:t>
      </w:r>
      <w:r w:rsidR="00FD2EAE" w:rsidRPr="00FD2EAE">
        <w:rPr>
          <w:rFonts w:cs="Calibri"/>
        </w:rPr>
        <w:t>(CARB, 2020a)</w:t>
      </w:r>
      <w:r w:rsidR="45921935">
        <w:t xml:space="preserve">, in cases where on-road studies of driving behavior have been conducted for specific rebated models, the </w:t>
      </w:r>
      <w:proofErr w:type="spellStart"/>
      <w:r w:rsidR="45921935">
        <w:t>eVMT</w:t>
      </w:r>
      <w:proofErr w:type="spellEnd"/>
      <w:r w:rsidR="45921935">
        <w:t xml:space="preserve"> findings from those studies are used (or averages of findings, for models with more than one study). For models that have not been studied, </w:t>
      </w:r>
      <w:proofErr w:type="spellStart"/>
      <w:r w:rsidR="45921935">
        <w:t>eVMT</w:t>
      </w:r>
      <w:proofErr w:type="spellEnd"/>
      <w:r w:rsidR="45921935">
        <w:t xml:space="preserve"> percentages are determined as a function of electric range, derived from plotting </w:t>
      </w:r>
      <w:proofErr w:type="spellStart"/>
      <w:r w:rsidR="45921935">
        <w:t>eVMT</w:t>
      </w:r>
      <w:proofErr w:type="spellEnd"/>
      <w:r w:rsidR="45921935">
        <w:t xml:space="preserve"> findings from studied models by their corresponding electric ranges</w:t>
      </w:r>
      <w:r w:rsidR="4BD04B43">
        <w:t xml:space="preserve"> from </w:t>
      </w:r>
      <w:r w:rsidR="00FD2EAE" w:rsidRPr="00FD2EAE">
        <w:rPr>
          <w:rFonts w:cs="Calibri"/>
        </w:rPr>
        <w:t>(DOE and EPA, 2021)</w:t>
      </w:r>
      <w:r w:rsidR="45921935">
        <w:t xml:space="preserve">. </w:t>
      </w:r>
      <w:r w:rsidR="69921170">
        <w:t xml:space="preserve">The </w:t>
      </w:r>
      <w:proofErr w:type="spellStart"/>
      <w:r w:rsidR="69921170">
        <w:t>eVMT</w:t>
      </w:r>
      <w:proofErr w:type="spellEnd"/>
      <w:r w:rsidR="69921170">
        <w:t xml:space="preserve"> studies </w:t>
      </w:r>
      <w:r w:rsidR="00FD2EAE" w:rsidRPr="00FD2EAE">
        <w:rPr>
          <w:rFonts w:cs="Calibri"/>
        </w:rPr>
        <w:t xml:space="preserve">(Boston &amp; Werthman, 2016; CARB, 2017a; Duhon et al., 2015; </w:t>
      </w:r>
      <w:proofErr w:type="spellStart"/>
      <w:r w:rsidR="00FD2EAE" w:rsidRPr="00FD2EAE">
        <w:rPr>
          <w:rFonts w:cs="Calibri"/>
        </w:rPr>
        <w:t>Francfort</w:t>
      </w:r>
      <w:proofErr w:type="spellEnd"/>
      <w:r w:rsidR="00FD2EAE" w:rsidRPr="00FD2EAE">
        <w:rPr>
          <w:rFonts w:cs="Calibri"/>
        </w:rPr>
        <w:t xml:space="preserve"> et al., 2015; Idaho National Laboratory, 2015; Tal et al., 2020)</w:t>
      </w:r>
      <w:r w:rsidR="18F175EC">
        <w:t xml:space="preserve"> </w:t>
      </w:r>
      <w:r w:rsidR="69921170">
        <w:t>are the same as those used in pre</w:t>
      </w:r>
      <w:r w:rsidR="4BD04B43">
        <w:t xml:space="preserve">cursor </w:t>
      </w:r>
      <w:r w:rsidR="69921170">
        <w:t xml:space="preserve">work </w:t>
      </w:r>
      <w:r w:rsidR="3EA7D432">
        <w:t xml:space="preserve">by the authors </w:t>
      </w:r>
      <w:r w:rsidR="00545092">
        <w:t>(</w:t>
      </w:r>
      <w:r w:rsidR="3EA7D432">
        <w:t>e.g.,</w:t>
      </w:r>
      <w:r w:rsidR="00EF6E01">
        <w:t xml:space="preserve"> </w:t>
      </w:r>
      <w:r w:rsidR="00545092">
        <w:t>[</w:t>
      </w:r>
      <w:r w:rsidR="00EF6E01" w:rsidRPr="00EF6E01">
        <w:rPr>
          <w:rFonts w:cs="Calibri"/>
        </w:rPr>
        <w:t>Pallonetti &amp; Williams, 2021</w:t>
      </w:r>
      <w:r w:rsidR="3EA7D432">
        <w:t>]</w:t>
      </w:r>
      <w:r w:rsidR="00545092">
        <w:t>)</w:t>
      </w:r>
      <w:r w:rsidR="555C12F3">
        <w:t>.</w:t>
      </w:r>
      <w:r>
        <w:t xml:space="preserve"> </w:t>
      </w:r>
      <w:r w:rsidR="69921170">
        <w:t xml:space="preserve">The plot, function, and relationship between the variables </w:t>
      </w:r>
      <w:r>
        <w:t xml:space="preserve">are presented in Figure </w:t>
      </w:r>
      <w:r w:rsidR="00190447">
        <w:t>A4</w:t>
      </w:r>
      <w:r>
        <w:t>.</w:t>
      </w:r>
      <w:r w:rsidR="00ED6A54">
        <w:t xml:space="preserve"> The average </w:t>
      </w:r>
      <w:proofErr w:type="spellStart"/>
      <w:r w:rsidR="005115EA">
        <w:t>eVMT</w:t>
      </w:r>
      <w:proofErr w:type="spellEnd"/>
      <w:r w:rsidR="005115EA">
        <w:t xml:space="preserve"> by vehicle purchase year is displayed in Figure A5.</w:t>
      </w:r>
    </w:p>
    <w:p w14:paraId="3A36609F" w14:textId="404E65CF" w:rsidR="00412E83" w:rsidRPr="00B90CFD" w:rsidRDefault="0CD66948" w:rsidP="00F51CD3">
      <w:pPr>
        <w:pStyle w:val="TableFigureNumber0"/>
        <w:keepNext/>
        <w:rPr>
          <w:b/>
          <w:bCs/>
          <w:color w:val="0579BD"/>
        </w:rPr>
      </w:pPr>
      <w:r w:rsidRPr="00B90CFD">
        <w:rPr>
          <w:color w:val="0579BD"/>
        </w:rPr>
        <w:lastRenderedPageBreak/>
        <w:t xml:space="preserve">FIGURE </w:t>
      </w:r>
      <w:r w:rsidR="00190447" w:rsidRPr="00B90CFD">
        <w:rPr>
          <w:color w:val="0579BD"/>
        </w:rPr>
        <w:t>A4</w:t>
      </w:r>
    </w:p>
    <w:p w14:paraId="5325910C" w14:textId="09F0C3AE" w:rsidR="00412E83" w:rsidRDefault="2E6C9675" w:rsidP="00DD5A37">
      <w:pPr>
        <w:pStyle w:val="TableFigureheader"/>
        <w:keepNext/>
        <w:spacing w:after="120"/>
      </w:pPr>
      <w:r>
        <w:t xml:space="preserve">PHEV </w:t>
      </w:r>
      <w:r w:rsidR="3A3B717E">
        <w:t xml:space="preserve">Model-Specific </w:t>
      </w:r>
      <w:r>
        <w:t>Electric</w:t>
      </w:r>
      <w:r w:rsidR="001A275C">
        <w:t xml:space="preserve"> </w:t>
      </w:r>
      <w:r>
        <w:t>VMT</w:t>
      </w:r>
      <w:r w:rsidR="3A3B717E">
        <w:t xml:space="preserve"> by Electric Range</w:t>
      </w:r>
    </w:p>
    <w:p w14:paraId="08EC8054" w14:textId="2FB27728" w:rsidR="00E91162" w:rsidRDefault="6BC08E95" w:rsidP="007F7DF2">
      <w:pPr>
        <w:spacing w:after="0"/>
      </w:pPr>
      <w:r w:rsidRPr="003A15C4">
        <w:rPr>
          <w:noProof/>
        </w:rPr>
        <w:drawing>
          <wp:inline distT="0" distB="0" distL="0" distR="0" wp14:anchorId="19CDA7D2" wp14:editId="37EEAC2E">
            <wp:extent cx="4524375" cy="2602067"/>
            <wp:effectExtent l="0" t="0" r="0" b="8255"/>
            <wp:docPr id="2" name="Picture 2" descr="Scatter plot displaying electric range (miles) on the x-axis and electric-VMT on the y-axis. A logarithmic trendline is fit to the plot with an R-squared value equal to 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tter plot displaying electric range (miles) on the x-axis and electric-VMT on the y-axis. A logarithmic trendline is fit to the plot with an R-squared value equal to 0.9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24375" cy="2602067"/>
                    </a:xfrm>
                    <a:prstGeom prst="rect">
                      <a:avLst/>
                    </a:prstGeom>
                  </pic:spPr>
                </pic:pic>
              </a:graphicData>
            </a:graphic>
          </wp:inline>
        </w:drawing>
      </w:r>
    </w:p>
    <w:p w14:paraId="5DAE7AC8" w14:textId="7D3BDE4E" w:rsidR="00D82F29" w:rsidRDefault="00000000" w:rsidP="007F7DF2">
      <w:pPr>
        <w:pStyle w:val="NoSpacing"/>
        <w:rPr>
          <w:b/>
          <w:bCs/>
          <w:sz w:val="18"/>
          <w:szCs w:val="18"/>
        </w:rPr>
      </w:pPr>
      <w:sdt>
        <w:sdtPr>
          <w:rPr>
            <w:b/>
            <w:bCs/>
            <w:sz w:val="18"/>
            <w:szCs w:val="18"/>
          </w:rPr>
          <w:tag w:val="MENDELEY_CITATION_v3_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"/>
          <w:id w:val="2106922323"/>
          <w:placeholder>
            <w:docPart w:val="17542A00989741BC905481F1399BAC10"/>
          </w:placeholder>
        </w:sdtPr>
        <w:sdtContent/>
      </w:sdt>
      <w:r w:rsidR="6D7CAD17" w:rsidRPr="007F7DF2">
        <w:rPr>
          <w:b/>
          <w:bCs/>
          <w:sz w:val="18"/>
          <w:szCs w:val="18"/>
        </w:rPr>
        <w:t xml:space="preserve">Source: </w:t>
      </w:r>
      <w:r w:rsidR="00B97388" w:rsidRPr="00B97388">
        <w:rPr>
          <w:sz w:val="18"/>
          <w:szCs w:val="18"/>
        </w:rPr>
        <w:t>(Pallonetti &amp; Williams, 2021)</w:t>
      </w:r>
    </w:p>
    <w:p w14:paraId="022D0186" w14:textId="77777777" w:rsidR="009A2E50" w:rsidRPr="009A2E50" w:rsidRDefault="009A2E50" w:rsidP="007F7DF2">
      <w:pPr>
        <w:pStyle w:val="NoSpacing"/>
      </w:pPr>
    </w:p>
    <w:p w14:paraId="241CC3DF" w14:textId="18A743C8" w:rsidR="00D82F29" w:rsidRPr="00B90CFD" w:rsidRDefault="00D82F29" w:rsidP="00F51CD3">
      <w:pPr>
        <w:pStyle w:val="TableFigureNumber0"/>
        <w:keepNext/>
        <w:rPr>
          <w:b/>
          <w:bCs/>
          <w:color w:val="0579BD"/>
        </w:rPr>
      </w:pPr>
      <w:r w:rsidRPr="00B90CFD">
        <w:rPr>
          <w:color w:val="0579BD"/>
        </w:rPr>
        <w:t>FIGURE A</w:t>
      </w:r>
      <w:r w:rsidR="00ED6A54" w:rsidRPr="00B90CFD">
        <w:rPr>
          <w:color w:val="0579BD"/>
        </w:rPr>
        <w:t>5</w:t>
      </w:r>
    </w:p>
    <w:p w14:paraId="7E931674" w14:textId="44A6E87C" w:rsidR="00D82F29" w:rsidRDefault="00F74ECE" w:rsidP="00D82F29">
      <w:pPr>
        <w:pStyle w:val="TableFigureheader"/>
        <w:keepNext/>
        <w:spacing w:after="120"/>
      </w:pPr>
      <w:r>
        <w:t xml:space="preserve">Average </w:t>
      </w:r>
      <w:r w:rsidR="00D82F29">
        <w:t>PHEV Model-Specific Electric</w:t>
      </w:r>
      <w:r w:rsidR="002D5534">
        <w:t xml:space="preserve"> </w:t>
      </w:r>
      <w:r w:rsidR="00D82F29">
        <w:t>VMT Over Time</w:t>
      </w:r>
    </w:p>
    <w:p w14:paraId="413ED363" w14:textId="7D050658" w:rsidR="008A2350" w:rsidRDefault="500B052A" w:rsidP="0CA92697">
      <w:pPr>
        <w:spacing w:before="240" w:after="240" w:line="240" w:lineRule="auto"/>
      </w:pPr>
      <w:r>
        <w:rPr>
          <w:noProof/>
        </w:rPr>
        <w:drawing>
          <wp:inline distT="0" distB="0" distL="0" distR="0" wp14:anchorId="520F7109" wp14:editId="542B27B1">
            <wp:extent cx="4762500" cy="2854447"/>
            <wp:effectExtent l="0" t="0" r="0" b="3175"/>
            <wp:docPr id="162273662" name="drawing" descr="Line chart displaying the average electric-VMT percentage of PHEVs by purchas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3662" name="drawing" descr="Line chart displaying the average electric-VMT percentage of PHEVs by purchase year. "/>
                    <pic:cNvPicPr/>
                  </pic:nvPicPr>
                  <pic:blipFill>
                    <a:blip r:embed="rId36">
                      <a:extLst>
                        <a:ext uri="{28A0092B-C50C-407E-A947-70E740481C1C}">
                          <a14:useLocalDpi xmlns:a14="http://schemas.microsoft.com/office/drawing/2010/main"/>
                        </a:ext>
                      </a:extLst>
                    </a:blip>
                    <a:stretch>
                      <a:fillRect/>
                    </a:stretch>
                  </pic:blipFill>
                  <pic:spPr>
                    <a:xfrm>
                      <a:off x="0" y="0"/>
                      <a:ext cx="4778665" cy="2864135"/>
                    </a:xfrm>
                    <a:prstGeom prst="rect">
                      <a:avLst/>
                    </a:prstGeom>
                  </pic:spPr>
                </pic:pic>
              </a:graphicData>
            </a:graphic>
          </wp:inline>
        </w:drawing>
      </w:r>
    </w:p>
    <w:p w14:paraId="08E66060" w14:textId="2D990AB9" w:rsidR="00E6140C" w:rsidRPr="00891DA5" w:rsidRDefault="00E6140C" w:rsidP="00E6140C">
      <w:pPr>
        <w:pStyle w:val="Body"/>
        <w:rPr>
          <w:rFonts w:cs="Calibri"/>
        </w:rPr>
      </w:pPr>
    </w:p>
    <w:p w14:paraId="0E5F608D" w14:textId="4E9D08BD" w:rsidR="00EF4A30" w:rsidRDefault="009B2EDB" w:rsidP="0005637D">
      <w:pPr>
        <w:pStyle w:val="Heading2"/>
      </w:pPr>
      <w:bookmarkStart w:id="65" w:name="_Toc227069801"/>
      <w:r>
        <w:lastRenderedPageBreak/>
        <w:t xml:space="preserve">Detailed </w:t>
      </w:r>
      <w:r w:rsidR="00EF4A30">
        <w:t xml:space="preserve">Counterfactual Analysis </w:t>
      </w:r>
      <w:r w:rsidR="008F23D6">
        <w:t>Inputs &amp; Assumptions</w:t>
      </w:r>
      <w:bookmarkEnd w:id="65"/>
    </w:p>
    <w:p w14:paraId="71F9E1CD" w14:textId="413D41E7" w:rsidR="00BE5CCD" w:rsidRPr="00BE5CCD" w:rsidRDefault="00BE5CCD" w:rsidP="00BE5CCD">
      <w:pPr>
        <w:pStyle w:val="Body"/>
      </w:pPr>
      <w:r>
        <w:t xml:space="preserve">Table A5 and Table A6 </w:t>
      </w:r>
      <w:r w:rsidR="00114880">
        <w:t xml:space="preserve">describe the </w:t>
      </w:r>
      <w:r w:rsidR="009B2EDB">
        <w:t xml:space="preserve">detailed </w:t>
      </w:r>
      <w:r w:rsidR="009C041D">
        <w:t xml:space="preserve">counterfactual </w:t>
      </w:r>
      <w:r w:rsidR="00103619">
        <w:t xml:space="preserve">behavior </w:t>
      </w:r>
      <w:r w:rsidR="00A40D1B">
        <w:t xml:space="preserve">survey question and </w:t>
      </w:r>
      <w:r w:rsidR="00103619">
        <w:t xml:space="preserve">response options </w:t>
      </w:r>
      <w:r w:rsidR="002C7F72">
        <w:t xml:space="preserve">provided in </w:t>
      </w:r>
      <w:r w:rsidR="00103619">
        <w:t xml:space="preserve">each survey edition </w:t>
      </w:r>
      <w:r w:rsidR="002C7F72">
        <w:t xml:space="preserve">and the </w:t>
      </w:r>
      <w:r w:rsidR="00114880">
        <w:t xml:space="preserve">emissions </w:t>
      </w:r>
      <w:r w:rsidR="009C041D">
        <w:t xml:space="preserve">comparison </w:t>
      </w:r>
      <w:r w:rsidR="00AE0F3A">
        <w:t xml:space="preserve">assumption used for each. </w:t>
      </w:r>
      <w:r w:rsidR="00BD6AFA">
        <w:t xml:space="preserve">For </w:t>
      </w:r>
      <w:r w:rsidR="00BD6AFA" w:rsidRPr="53EEA7FC">
        <w:rPr>
          <w:rStyle w:val="Bold"/>
          <w:b w:val="0"/>
          <w:bCs w:val="0"/>
        </w:rPr>
        <w:t xml:space="preserve">participants that didn’t respond to the survey or provide valid responses to the required survey questions, average values </w:t>
      </w:r>
      <w:r w:rsidR="00BD6AFA">
        <w:rPr>
          <w:rStyle w:val="Bold"/>
          <w:b w:val="0"/>
          <w:bCs w:val="0"/>
        </w:rPr>
        <w:t xml:space="preserve">for the participant’s cohort are </w:t>
      </w:r>
      <w:r w:rsidR="00BD6AFA" w:rsidRPr="53EEA7FC">
        <w:rPr>
          <w:rStyle w:val="Bold"/>
          <w:b w:val="0"/>
          <w:bCs w:val="0"/>
        </w:rPr>
        <w:t>calculated from survey responses.</w:t>
      </w:r>
      <w:r w:rsidR="00BD6AFA" w:rsidRPr="001E5E83">
        <w:rPr>
          <w:rStyle w:val="FootnoteReference"/>
        </w:rPr>
        <w:footnoteReference w:id="21"/>
      </w:r>
    </w:p>
    <w:p w14:paraId="73D121F5" w14:textId="4511DEEB" w:rsidR="00EF4A30" w:rsidRPr="00B90CFD" w:rsidRDefault="00EF4A30" w:rsidP="00F51CD3">
      <w:pPr>
        <w:pStyle w:val="TableFigureNumber0"/>
        <w:rPr>
          <w:b/>
          <w:bCs/>
          <w:color w:val="0579BD"/>
        </w:rPr>
      </w:pPr>
      <w:r w:rsidRPr="00B90CFD">
        <w:rPr>
          <w:color w:val="0579BD"/>
        </w:rPr>
        <w:t xml:space="preserve">TABLE </w:t>
      </w:r>
      <w:r w:rsidR="00FD1C74" w:rsidRPr="00B90CFD">
        <w:rPr>
          <w:color w:val="0579BD"/>
        </w:rPr>
        <w:t>A5</w:t>
      </w:r>
    </w:p>
    <w:p w14:paraId="391096E9" w14:textId="16791A62" w:rsidR="00EF4A30" w:rsidRPr="003A15C4" w:rsidRDefault="00EF4A30" w:rsidP="00EF4A30">
      <w:pPr>
        <w:pStyle w:val="TableFigureheader"/>
      </w:pPr>
      <w:r>
        <w:t>Counterfactual Behaviors and Emissions Assumptions</w:t>
      </w:r>
      <w:r w:rsidR="0009412B" w:rsidRPr="0009412B">
        <w:rPr>
          <w:rStyle w:val="Heading1Char"/>
          <w:sz w:val="24"/>
          <w:szCs w:val="24"/>
        </w:rPr>
        <w:t xml:space="preserve"> </w:t>
      </w:r>
    </w:p>
    <w:p w14:paraId="07FC703E" w14:textId="71F29126" w:rsidR="00EF4A30" w:rsidRPr="00D35001" w:rsidRDefault="0075328A" w:rsidP="00D35001">
      <w:pPr>
        <w:pStyle w:val="TableFigureSubtitle"/>
        <w:rPr>
          <w:rStyle w:val="Heading1Char"/>
          <w:sz w:val="24"/>
          <w:szCs w:val="24"/>
        </w:rPr>
      </w:pPr>
      <w:r w:rsidRPr="00D35001">
        <w:t>Survey Editions</w:t>
      </w:r>
      <w:r w:rsidR="00A16293">
        <w:t xml:space="preserve"> </w:t>
      </w:r>
      <w:r w:rsidR="00A16293" w:rsidRPr="00D35001">
        <w:rPr>
          <w:rStyle w:val="Heading1Char"/>
          <w:sz w:val="24"/>
          <w:szCs w:val="24"/>
        </w:rPr>
        <w:t>2020</w:t>
      </w:r>
      <w:r w:rsidR="00A16293">
        <w:rPr>
          <w:rStyle w:val="Heading1Char"/>
          <w:sz w:val="24"/>
          <w:szCs w:val="24"/>
        </w:rPr>
        <w:t>–</w:t>
      </w:r>
      <w:r w:rsidR="00A16293" w:rsidRPr="00D35001">
        <w:rPr>
          <w:rStyle w:val="Heading1Char"/>
          <w:sz w:val="24"/>
          <w:szCs w:val="24"/>
        </w:rPr>
        <w:t>2023 &amp; 2023</w:t>
      </w:r>
      <w:r w:rsidR="00A16293">
        <w:rPr>
          <w:rStyle w:val="Heading1Char"/>
          <w:sz w:val="24"/>
          <w:szCs w:val="24"/>
        </w:rPr>
        <w:t>–</w:t>
      </w:r>
      <w:r w:rsidR="00A16293" w:rsidRPr="00D35001">
        <w:rPr>
          <w:rStyle w:val="Heading1Char"/>
          <w:sz w:val="24"/>
          <w:szCs w:val="24"/>
        </w:rPr>
        <w:t>Close</w:t>
      </w:r>
      <w:r w:rsidR="00EF4A30">
        <w:t>: “If the state vehicle rebate (CVRP) were not available, what do you think you would have done?”</w:t>
      </w:r>
    </w:p>
    <w:tbl>
      <w:tblPr>
        <w:tblpPr w:leftFromText="187" w:rightFromText="187" w:topFromText="29" w:bottomFromText="29" w:vertAnchor="text" w:horzAnchor="margin" w:tblpY="59"/>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3456"/>
        <w:gridCol w:w="6264"/>
      </w:tblGrid>
      <w:tr w:rsidR="00EF4A30" w:rsidRPr="00E65889" w14:paraId="52FF85A7" w14:textId="77777777" w:rsidTr="001F3F1F">
        <w:trPr>
          <w:trHeight w:val="260"/>
        </w:trPr>
        <w:tc>
          <w:tcPr>
            <w:tcW w:w="3456" w:type="dxa"/>
            <w:shd w:val="clear" w:color="auto" w:fill="3C3A4C"/>
            <w:tcMar>
              <w:top w:w="80" w:type="dxa"/>
              <w:left w:w="80" w:type="dxa"/>
              <w:bottom w:w="80" w:type="dxa"/>
              <w:right w:w="80" w:type="dxa"/>
            </w:tcMar>
          </w:tcPr>
          <w:p w14:paraId="7A6AA95A" w14:textId="77777777" w:rsidR="00EF4A30" w:rsidRPr="003A15C4" w:rsidRDefault="00EF4A30">
            <w:pPr>
              <w:pStyle w:val="Body"/>
              <w:spacing w:after="0" w:line="240" w:lineRule="auto"/>
              <w:rPr>
                <w:sz w:val="20"/>
                <w:szCs w:val="20"/>
              </w:rPr>
            </w:pPr>
            <w:bookmarkStart w:id="66" w:name="_Hlk193968292"/>
            <w:r w:rsidRPr="7ACA0E52">
              <w:rPr>
                <w:b/>
                <w:bCs/>
                <w:color w:val="FFFFFF" w:themeColor="background1"/>
                <w:sz w:val="20"/>
                <w:szCs w:val="20"/>
              </w:rPr>
              <w:t>Response Option</w:t>
            </w:r>
          </w:p>
        </w:tc>
        <w:tc>
          <w:tcPr>
            <w:tcW w:w="6264" w:type="dxa"/>
            <w:shd w:val="clear" w:color="auto" w:fill="3C3A4C"/>
            <w:tcMar>
              <w:top w:w="80" w:type="dxa"/>
              <w:left w:w="80" w:type="dxa"/>
              <w:bottom w:w="80" w:type="dxa"/>
              <w:right w:w="80" w:type="dxa"/>
            </w:tcMar>
          </w:tcPr>
          <w:p w14:paraId="68EFCFB0" w14:textId="77777777" w:rsidR="00EF4A30" w:rsidRPr="003A15C4" w:rsidRDefault="00EF4A30">
            <w:pPr>
              <w:pStyle w:val="Body"/>
              <w:spacing w:after="0" w:line="240" w:lineRule="auto"/>
              <w:jc w:val="center"/>
              <w:rPr>
                <w:sz w:val="20"/>
                <w:szCs w:val="20"/>
              </w:rPr>
            </w:pPr>
            <w:r w:rsidRPr="7ACA0E52">
              <w:rPr>
                <w:b/>
                <w:bCs/>
                <w:color w:val="FFFFFF" w:themeColor="background1"/>
                <w:sz w:val="20"/>
                <w:szCs w:val="20"/>
              </w:rPr>
              <w:t>Emissions Comparison</w:t>
            </w:r>
            <w:r>
              <w:rPr>
                <w:b/>
                <w:bCs/>
                <w:color w:val="FFFFFF" w:themeColor="background1"/>
                <w:sz w:val="20"/>
                <w:szCs w:val="20"/>
              </w:rPr>
              <w:t xml:space="preserve"> Vehicle</w:t>
            </w:r>
          </w:p>
        </w:tc>
      </w:tr>
      <w:tr w:rsidR="00EF4A30" w:rsidRPr="00E65889" w14:paraId="64977CAB" w14:textId="77777777" w:rsidTr="001F3F1F">
        <w:trPr>
          <w:trHeight w:val="20"/>
        </w:trPr>
        <w:tc>
          <w:tcPr>
            <w:tcW w:w="3456" w:type="dxa"/>
            <w:tcMar>
              <w:top w:w="80" w:type="dxa"/>
              <w:left w:w="80" w:type="dxa"/>
              <w:bottom w:w="80" w:type="dxa"/>
              <w:right w:w="80" w:type="dxa"/>
            </w:tcMar>
            <w:vAlign w:val="center"/>
          </w:tcPr>
          <w:p w14:paraId="2FB73508" w14:textId="77777777" w:rsidR="00EF4A30" w:rsidRPr="003A15C4" w:rsidRDefault="00EF4A30">
            <w:pPr>
              <w:pStyle w:val="Body"/>
              <w:spacing w:after="0" w:line="240" w:lineRule="auto"/>
              <w:rPr>
                <w:sz w:val="20"/>
                <w:szCs w:val="20"/>
              </w:rPr>
            </w:pPr>
            <w:r w:rsidRPr="7ACA0E52">
              <w:rPr>
                <w:sz w:val="20"/>
                <w:szCs w:val="20"/>
              </w:rPr>
              <w:t>Purchased/leased a less expensive version of the same model</w:t>
            </w:r>
          </w:p>
        </w:tc>
        <w:tc>
          <w:tcPr>
            <w:tcW w:w="6264" w:type="dxa"/>
            <w:vMerge w:val="restart"/>
            <w:tcMar>
              <w:top w:w="80" w:type="dxa"/>
              <w:left w:w="80" w:type="dxa"/>
              <w:bottom w:w="80" w:type="dxa"/>
              <w:right w:w="80" w:type="dxa"/>
            </w:tcMar>
            <w:vAlign w:val="center"/>
          </w:tcPr>
          <w:p w14:paraId="227A33D2" w14:textId="77777777" w:rsidR="00EF4A30" w:rsidRPr="0004351E" w:rsidRDefault="00EF4A30">
            <w:pPr>
              <w:pStyle w:val="Body"/>
              <w:spacing w:after="0" w:line="240" w:lineRule="auto"/>
              <w:jc w:val="center"/>
            </w:pPr>
            <w:r w:rsidRPr="0004351E">
              <w:t>EV</w:t>
            </w:r>
          </w:p>
          <w:p w14:paraId="4522D6CE" w14:textId="77777777" w:rsidR="00EF4A30" w:rsidRPr="003A15C4" w:rsidRDefault="00EF4A30">
            <w:pPr>
              <w:pStyle w:val="Body"/>
              <w:spacing w:after="0" w:line="240" w:lineRule="auto"/>
              <w:jc w:val="center"/>
              <w:rPr>
                <w:sz w:val="20"/>
                <w:szCs w:val="20"/>
              </w:rPr>
            </w:pPr>
            <w:r>
              <w:rPr>
                <w:sz w:val="20"/>
                <w:szCs w:val="20"/>
              </w:rPr>
              <w:t>(</w:t>
            </w:r>
            <w:r w:rsidRPr="7ACA0E52">
              <w:rPr>
                <w:sz w:val="20"/>
                <w:szCs w:val="20"/>
              </w:rPr>
              <w:t xml:space="preserve">no emission </w:t>
            </w:r>
            <w:r>
              <w:rPr>
                <w:sz w:val="20"/>
                <w:szCs w:val="20"/>
              </w:rPr>
              <w:t>reductions)</w:t>
            </w:r>
          </w:p>
        </w:tc>
      </w:tr>
      <w:tr w:rsidR="00EF4A30" w:rsidRPr="00E65889" w14:paraId="1649C534" w14:textId="77777777" w:rsidTr="001F3F1F">
        <w:trPr>
          <w:trHeight w:val="20"/>
        </w:trPr>
        <w:tc>
          <w:tcPr>
            <w:tcW w:w="3456" w:type="dxa"/>
            <w:tcMar>
              <w:top w:w="80" w:type="dxa"/>
              <w:left w:w="80" w:type="dxa"/>
              <w:bottom w:w="80" w:type="dxa"/>
              <w:right w:w="80" w:type="dxa"/>
            </w:tcMar>
            <w:vAlign w:val="center"/>
          </w:tcPr>
          <w:p w14:paraId="2296922D" w14:textId="77777777" w:rsidR="00EF4A30" w:rsidRPr="003A15C4" w:rsidRDefault="00EF4A30">
            <w:pPr>
              <w:pStyle w:val="Body"/>
              <w:spacing w:after="0" w:line="240" w:lineRule="auto"/>
              <w:rPr>
                <w:sz w:val="20"/>
                <w:szCs w:val="20"/>
              </w:rPr>
            </w:pPr>
            <w:r w:rsidRPr="7ACA0E52">
              <w:rPr>
                <w:sz w:val="20"/>
                <w:szCs w:val="20"/>
              </w:rPr>
              <w:t>Purchased/leased a different new EV</w:t>
            </w:r>
          </w:p>
        </w:tc>
        <w:tc>
          <w:tcPr>
            <w:tcW w:w="6264" w:type="dxa"/>
            <w:vMerge/>
            <w:tcMar>
              <w:top w:w="80" w:type="dxa"/>
              <w:left w:w="80" w:type="dxa"/>
              <w:bottom w:w="80" w:type="dxa"/>
              <w:right w:w="80" w:type="dxa"/>
            </w:tcMar>
            <w:vAlign w:val="center"/>
          </w:tcPr>
          <w:p w14:paraId="05728AF6" w14:textId="77777777" w:rsidR="00EF4A30" w:rsidRPr="003A15C4" w:rsidRDefault="00EF4A30">
            <w:pPr>
              <w:pStyle w:val="Body"/>
              <w:spacing w:after="0" w:line="240" w:lineRule="auto"/>
              <w:jc w:val="center"/>
              <w:rPr>
                <w:sz w:val="20"/>
                <w:szCs w:val="20"/>
              </w:rPr>
            </w:pPr>
          </w:p>
        </w:tc>
      </w:tr>
      <w:tr w:rsidR="00EF4A30" w:rsidRPr="00E65889" w14:paraId="09673B80" w14:textId="77777777" w:rsidTr="001F3F1F">
        <w:trPr>
          <w:trHeight w:val="20"/>
        </w:trPr>
        <w:tc>
          <w:tcPr>
            <w:tcW w:w="3456" w:type="dxa"/>
            <w:tcMar>
              <w:top w:w="80" w:type="dxa"/>
              <w:left w:w="80" w:type="dxa"/>
              <w:bottom w:w="80" w:type="dxa"/>
              <w:right w:w="80" w:type="dxa"/>
            </w:tcMar>
            <w:vAlign w:val="center"/>
          </w:tcPr>
          <w:p w14:paraId="271F1A75" w14:textId="77777777" w:rsidR="00EF4A30" w:rsidRPr="003A15C4" w:rsidRDefault="00EF4A30">
            <w:pPr>
              <w:pStyle w:val="Body"/>
              <w:spacing w:after="0" w:line="240" w:lineRule="auto"/>
              <w:rPr>
                <w:b/>
                <w:sz w:val="20"/>
                <w:szCs w:val="20"/>
              </w:rPr>
            </w:pPr>
            <w:r w:rsidRPr="7ACA0E52">
              <w:rPr>
                <w:sz w:val="20"/>
                <w:szCs w:val="20"/>
              </w:rPr>
              <w:t>Purchased/leased a used EV</w:t>
            </w:r>
          </w:p>
        </w:tc>
        <w:tc>
          <w:tcPr>
            <w:tcW w:w="6264" w:type="dxa"/>
            <w:vMerge/>
            <w:tcMar>
              <w:top w:w="80" w:type="dxa"/>
              <w:left w:w="80" w:type="dxa"/>
              <w:bottom w:w="80" w:type="dxa"/>
              <w:right w:w="80" w:type="dxa"/>
            </w:tcMar>
            <w:vAlign w:val="center"/>
          </w:tcPr>
          <w:p w14:paraId="6F46C7AD" w14:textId="77777777" w:rsidR="00EF4A30" w:rsidRPr="003A15C4" w:rsidRDefault="00EF4A30">
            <w:pPr>
              <w:pStyle w:val="Body"/>
              <w:spacing w:after="0" w:line="240" w:lineRule="auto"/>
              <w:jc w:val="center"/>
              <w:rPr>
                <w:sz w:val="20"/>
                <w:szCs w:val="20"/>
              </w:rPr>
            </w:pPr>
          </w:p>
        </w:tc>
      </w:tr>
      <w:tr w:rsidR="00EF4A30" w:rsidRPr="00E65889" w14:paraId="49794F7D" w14:textId="77777777" w:rsidTr="001F3F1F">
        <w:trPr>
          <w:trHeight w:val="20"/>
        </w:trPr>
        <w:tc>
          <w:tcPr>
            <w:tcW w:w="3456" w:type="dxa"/>
            <w:shd w:val="clear" w:color="auto" w:fill="F2F2F2" w:themeFill="background1" w:themeFillShade="F2"/>
            <w:tcMar>
              <w:top w:w="80" w:type="dxa"/>
              <w:left w:w="80" w:type="dxa"/>
              <w:bottom w:w="80" w:type="dxa"/>
              <w:right w:w="80" w:type="dxa"/>
            </w:tcMar>
            <w:vAlign w:val="center"/>
          </w:tcPr>
          <w:p w14:paraId="58625685" w14:textId="77777777" w:rsidR="00EF4A30" w:rsidRPr="003A15C4" w:rsidRDefault="00EF4A30">
            <w:pPr>
              <w:pStyle w:val="Body"/>
              <w:spacing w:after="0" w:line="240" w:lineRule="auto"/>
              <w:rPr>
                <w:sz w:val="20"/>
                <w:szCs w:val="20"/>
              </w:rPr>
            </w:pPr>
            <w:r w:rsidRPr="7ACA0E52">
              <w:rPr>
                <w:sz w:val="20"/>
                <w:szCs w:val="20"/>
              </w:rPr>
              <w:t>Purchased/leased another alternative-fuel vehicle (e.g., hydrogen, natural gas)</w:t>
            </w:r>
          </w:p>
        </w:tc>
        <w:tc>
          <w:tcPr>
            <w:tcW w:w="6264" w:type="dxa"/>
            <w:vMerge w:val="restart"/>
            <w:shd w:val="clear" w:color="auto" w:fill="F2F2F2" w:themeFill="background1" w:themeFillShade="F2"/>
            <w:tcMar>
              <w:top w:w="80" w:type="dxa"/>
              <w:left w:w="80" w:type="dxa"/>
              <w:bottom w:w="80" w:type="dxa"/>
              <w:right w:w="80" w:type="dxa"/>
            </w:tcMar>
            <w:vAlign w:val="center"/>
          </w:tcPr>
          <w:p w14:paraId="4F9E0EEC" w14:textId="77777777" w:rsidR="00EF4A30" w:rsidRPr="0004351E" w:rsidRDefault="00EF4A30">
            <w:pPr>
              <w:pStyle w:val="Body"/>
              <w:spacing w:after="0" w:line="240" w:lineRule="auto"/>
              <w:jc w:val="center"/>
            </w:pPr>
            <w:r w:rsidRPr="0004351E">
              <w:t>Conventional hybrid vehicle</w:t>
            </w:r>
          </w:p>
          <w:p w14:paraId="7DAF4F12" w14:textId="77777777" w:rsidR="00EF4A30" w:rsidRPr="003A15C4" w:rsidRDefault="00EF4A30">
            <w:pPr>
              <w:pStyle w:val="Body"/>
              <w:spacing w:after="0" w:line="240" w:lineRule="auto"/>
              <w:jc w:val="center"/>
              <w:rPr>
                <w:sz w:val="20"/>
                <w:szCs w:val="20"/>
              </w:rPr>
            </w:pPr>
            <w:r>
              <w:rPr>
                <w:sz w:val="20"/>
                <w:szCs w:val="20"/>
              </w:rPr>
              <w:t>(</w:t>
            </w:r>
            <w:r w:rsidRPr="7ACA0E52">
              <w:rPr>
                <w:sz w:val="20"/>
                <w:szCs w:val="20"/>
              </w:rPr>
              <w:t>CA sales-weighted avg. fuel economy</w:t>
            </w:r>
            <w:r>
              <w:rPr>
                <w:sz w:val="20"/>
                <w:szCs w:val="20"/>
              </w:rPr>
              <w:t>, same model year as rebated EV</w:t>
            </w:r>
            <w:r w:rsidRPr="7ACA0E52">
              <w:rPr>
                <w:sz w:val="20"/>
                <w:szCs w:val="20"/>
              </w:rPr>
              <w:t>)</w:t>
            </w:r>
          </w:p>
        </w:tc>
      </w:tr>
      <w:tr w:rsidR="00EF4A30" w:rsidRPr="00E65889" w14:paraId="69A66FDE" w14:textId="77777777" w:rsidTr="001F3F1F">
        <w:trPr>
          <w:trHeight w:val="20"/>
        </w:trPr>
        <w:tc>
          <w:tcPr>
            <w:tcW w:w="3456" w:type="dxa"/>
            <w:shd w:val="clear" w:color="auto" w:fill="F2F2F2" w:themeFill="background1" w:themeFillShade="F2"/>
            <w:tcMar>
              <w:top w:w="80" w:type="dxa"/>
              <w:left w:w="80" w:type="dxa"/>
              <w:bottom w:w="80" w:type="dxa"/>
              <w:right w:w="80" w:type="dxa"/>
            </w:tcMar>
            <w:vAlign w:val="center"/>
          </w:tcPr>
          <w:p w14:paraId="4DEB4241" w14:textId="77777777" w:rsidR="00EF4A30" w:rsidRPr="7ACA0E52" w:rsidRDefault="00EF4A30">
            <w:pPr>
              <w:pStyle w:val="Body"/>
              <w:spacing w:after="0" w:line="240" w:lineRule="auto"/>
              <w:rPr>
                <w:sz w:val="20"/>
                <w:szCs w:val="20"/>
              </w:rPr>
            </w:pPr>
            <w:r w:rsidRPr="7ACA0E52">
              <w:rPr>
                <w:sz w:val="20"/>
                <w:szCs w:val="20"/>
              </w:rPr>
              <w:t>Purchased/leased a conventional hybrid</w:t>
            </w:r>
          </w:p>
        </w:tc>
        <w:tc>
          <w:tcPr>
            <w:tcW w:w="6264" w:type="dxa"/>
            <w:vMerge/>
            <w:tcMar>
              <w:top w:w="80" w:type="dxa"/>
              <w:left w:w="80" w:type="dxa"/>
              <w:bottom w:w="80" w:type="dxa"/>
              <w:right w:w="80" w:type="dxa"/>
            </w:tcMar>
          </w:tcPr>
          <w:p w14:paraId="55599B44" w14:textId="77777777" w:rsidR="00EF4A30" w:rsidRDefault="00EF4A30">
            <w:pPr>
              <w:pStyle w:val="Body"/>
              <w:spacing w:after="0" w:line="240" w:lineRule="auto"/>
              <w:jc w:val="center"/>
              <w:rPr>
                <w:sz w:val="20"/>
                <w:szCs w:val="20"/>
              </w:rPr>
            </w:pPr>
          </w:p>
        </w:tc>
      </w:tr>
      <w:tr w:rsidR="00EF4A30" w:rsidRPr="00E65889" w14:paraId="05450A4B" w14:textId="77777777" w:rsidTr="001F3F1F">
        <w:trPr>
          <w:trHeight w:val="20"/>
        </w:trPr>
        <w:tc>
          <w:tcPr>
            <w:tcW w:w="3456" w:type="dxa"/>
            <w:shd w:val="clear" w:color="auto" w:fill="FFFFFF" w:themeFill="background1"/>
            <w:tcMar>
              <w:top w:w="80" w:type="dxa"/>
              <w:left w:w="80" w:type="dxa"/>
              <w:bottom w:w="80" w:type="dxa"/>
              <w:right w:w="80" w:type="dxa"/>
            </w:tcMar>
            <w:vAlign w:val="center"/>
          </w:tcPr>
          <w:p w14:paraId="311E94A1" w14:textId="77777777" w:rsidR="00EF4A30" w:rsidRPr="003A15C4" w:rsidRDefault="00EF4A30">
            <w:pPr>
              <w:pStyle w:val="Body"/>
              <w:spacing w:after="0" w:line="240" w:lineRule="auto"/>
              <w:rPr>
                <w:b/>
                <w:sz w:val="20"/>
                <w:szCs w:val="20"/>
              </w:rPr>
            </w:pPr>
            <w:r w:rsidRPr="7ACA0E52">
              <w:rPr>
                <w:sz w:val="20"/>
                <w:szCs w:val="20"/>
              </w:rPr>
              <w:t>Purchased/leased a gasoline/diesel vehicle</w:t>
            </w:r>
          </w:p>
        </w:tc>
        <w:tc>
          <w:tcPr>
            <w:tcW w:w="6264" w:type="dxa"/>
            <w:shd w:val="clear" w:color="auto" w:fill="FFFFFF" w:themeFill="background1"/>
            <w:tcMar>
              <w:top w:w="80" w:type="dxa"/>
              <w:left w:w="80" w:type="dxa"/>
              <w:bottom w:w="80" w:type="dxa"/>
              <w:right w:w="80" w:type="dxa"/>
            </w:tcMar>
          </w:tcPr>
          <w:p w14:paraId="7D38BD6D" w14:textId="77777777" w:rsidR="00EF4A30" w:rsidRPr="00834B15" w:rsidRDefault="00EF4A30">
            <w:pPr>
              <w:pStyle w:val="Body"/>
              <w:spacing w:after="0" w:line="240" w:lineRule="auto"/>
              <w:jc w:val="center"/>
            </w:pPr>
            <w:r w:rsidRPr="00834B15">
              <w:t xml:space="preserve">Gasoline vehicle </w:t>
            </w:r>
          </w:p>
          <w:p w14:paraId="04C7EFBE" w14:textId="448483E0" w:rsidR="00EF4A30" w:rsidRPr="003A15C4" w:rsidRDefault="00EF4A30">
            <w:pPr>
              <w:pStyle w:val="Body"/>
              <w:spacing w:after="0" w:line="240" w:lineRule="auto"/>
              <w:jc w:val="center"/>
              <w:rPr>
                <w:sz w:val="20"/>
                <w:szCs w:val="20"/>
              </w:rPr>
            </w:pPr>
            <w:r w:rsidRPr="7ACA0E52">
              <w:rPr>
                <w:sz w:val="20"/>
                <w:szCs w:val="20"/>
              </w:rPr>
              <w:t>(CA sales-weighted avg</w:t>
            </w:r>
            <w:r w:rsidR="00BD72F7">
              <w:rPr>
                <w:sz w:val="20"/>
                <w:szCs w:val="20"/>
              </w:rPr>
              <w:t>.</w:t>
            </w:r>
            <w:r w:rsidRPr="7ACA0E52">
              <w:rPr>
                <w:sz w:val="20"/>
                <w:szCs w:val="20"/>
              </w:rPr>
              <w:t xml:space="preserve"> fuel economy</w:t>
            </w:r>
            <w:r w:rsidR="002D5534">
              <w:rPr>
                <w:sz w:val="20"/>
                <w:szCs w:val="20"/>
              </w:rPr>
              <w:t>,</w:t>
            </w:r>
            <w:r w:rsidRPr="001E5E83">
              <w:rPr>
                <w:rStyle w:val="FootnoteReference"/>
              </w:rPr>
              <w:footnoteReference w:id="22"/>
            </w:r>
            <w:r>
              <w:rPr>
                <w:sz w:val="20"/>
                <w:szCs w:val="20"/>
              </w:rPr>
              <w:t xml:space="preserve"> same model year as rebated EV</w:t>
            </w:r>
            <w:r w:rsidRPr="7ACA0E52">
              <w:rPr>
                <w:sz w:val="20"/>
                <w:szCs w:val="20"/>
              </w:rPr>
              <w:t>)</w:t>
            </w:r>
          </w:p>
        </w:tc>
      </w:tr>
      <w:tr w:rsidR="00EF4A30" w:rsidRPr="00E65889" w14:paraId="4C642108" w14:textId="77777777" w:rsidTr="001F3F1F">
        <w:trPr>
          <w:trHeight w:val="20"/>
        </w:trPr>
        <w:tc>
          <w:tcPr>
            <w:tcW w:w="3456" w:type="dxa"/>
            <w:shd w:val="clear" w:color="auto" w:fill="F2F2F2" w:themeFill="background1" w:themeFillShade="F2"/>
            <w:tcMar>
              <w:top w:w="80" w:type="dxa"/>
              <w:left w:w="80" w:type="dxa"/>
              <w:bottom w:w="80" w:type="dxa"/>
              <w:right w:w="80" w:type="dxa"/>
            </w:tcMar>
            <w:vAlign w:val="center"/>
          </w:tcPr>
          <w:p w14:paraId="44A8908D" w14:textId="77777777" w:rsidR="00EF4A30" w:rsidRPr="003A15C4" w:rsidRDefault="00EF4A30">
            <w:pPr>
              <w:pStyle w:val="Body"/>
              <w:spacing w:after="0" w:line="240" w:lineRule="auto"/>
              <w:rPr>
                <w:b/>
                <w:sz w:val="20"/>
                <w:szCs w:val="20"/>
              </w:rPr>
            </w:pPr>
            <w:r w:rsidRPr="7ACA0E52">
              <w:rPr>
                <w:sz w:val="20"/>
                <w:szCs w:val="20"/>
              </w:rPr>
              <w:t>Not made any purchase/lease at all</w:t>
            </w:r>
          </w:p>
        </w:tc>
        <w:tc>
          <w:tcPr>
            <w:tcW w:w="6264" w:type="dxa"/>
            <w:shd w:val="clear" w:color="auto" w:fill="F2F2F2" w:themeFill="background1" w:themeFillShade="F2"/>
            <w:tcMar>
              <w:top w:w="80" w:type="dxa"/>
              <w:left w:w="80" w:type="dxa"/>
              <w:bottom w:w="80" w:type="dxa"/>
              <w:right w:w="80" w:type="dxa"/>
            </w:tcMar>
          </w:tcPr>
          <w:p w14:paraId="11BE38A2" w14:textId="77777777" w:rsidR="00EF4A30" w:rsidRPr="00834B15" w:rsidRDefault="00EF4A30">
            <w:pPr>
              <w:pStyle w:val="Body"/>
              <w:spacing w:after="0" w:line="240" w:lineRule="auto"/>
              <w:jc w:val="center"/>
            </w:pPr>
            <w:r w:rsidRPr="00834B15">
              <w:t>First 3 years: previous vehicle</w:t>
            </w:r>
          </w:p>
          <w:p w14:paraId="498F564C" w14:textId="2D7AC14D" w:rsidR="00EF4A30" w:rsidRPr="003A15C4" w:rsidRDefault="00EF4A30">
            <w:pPr>
              <w:pStyle w:val="Body"/>
              <w:spacing w:after="120" w:line="240" w:lineRule="auto"/>
              <w:jc w:val="center"/>
              <w:rPr>
                <w:sz w:val="20"/>
                <w:szCs w:val="20"/>
              </w:rPr>
            </w:pPr>
            <w:r w:rsidRPr="23105D8D">
              <w:rPr>
                <w:sz w:val="20"/>
                <w:szCs w:val="20"/>
              </w:rPr>
              <w:t>(Case-specific year/technology weighted avg</w:t>
            </w:r>
            <w:r w:rsidR="003B6BBE">
              <w:rPr>
                <w:sz w:val="20"/>
                <w:szCs w:val="20"/>
              </w:rPr>
              <w:t>.</w:t>
            </w:r>
            <w:r w:rsidRPr="23105D8D">
              <w:rPr>
                <w:sz w:val="20"/>
                <w:szCs w:val="20"/>
              </w:rPr>
              <w:t xml:space="preserve"> fuel economy</w:t>
            </w:r>
            <w:r w:rsidR="001C7F5C">
              <w:rPr>
                <w:sz w:val="20"/>
                <w:szCs w:val="20"/>
              </w:rPr>
              <w:t xml:space="preserve"> (see Table A7)</w:t>
            </w:r>
            <w:r w:rsidR="0015118B">
              <w:rPr>
                <w:sz w:val="20"/>
                <w:szCs w:val="20"/>
              </w:rPr>
              <w:t>,</w:t>
            </w:r>
            <w:r w:rsidRPr="23105D8D">
              <w:rPr>
                <w:sz w:val="20"/>
                <w:szCs w:val="20"/>
              </w:rPr>
              <w:t xml:space="preserve"> no emission reductions if EV)</w:t>
            </w:r>
          </w:p>
          <w:p w14:paraId="1AEE8B56" w14:textId="2A265FFF" w:rsidR="00EF4A30" w:rsidRPr="003A15C4" w:rsidRDefault="00EF4A30">
            <w:pPr>
              <w:pStyle w:val="Body"/>
              <w:spacing w:after="0" w:line="240" w:lineRule="auto"/>
              <w:jc w:val="center"/>
              <w:rPr>
                <w:sz w:val="20"/>
                <w:szCs w:val="20"/>
              </w:rPr>
            </w:pPr>
            <w:r w:rsidRPr="00834B15">
              <w:t>Rest of 100k mi</w:t>
            </w:r>
            <w:r w:rsidR="00CF0338">
              <w:t>les</w:t>
            </w:r>
            <w:r w:rsidRPr="00834B15">
              <w:t xml:space="preserve">: </w:t>
            </w:r>
            <w:r>
              <w:t>cohort average</w:t>
            </w:r>
            <w:r w:rsidRPr="00834B15">
              <w:t xml:space="preserve"> vehicle </w:t>
            </w:r>
            <w:r>
              <w:t xml:space="preserve">with </w:t>
            </w:r>
            <w:r w:rsidRPr="00834B15">
              <w:t xml:space="preserve">3 years </w:t>
            </w:r>
            <w:r>
              <w:t xml:space="preserve">lag from </w:t>
            </w:r>
            <w:r w:rsidRPr="00834B15">
              <w:t>rebated EV</w:t>
            </w:r>
            <w:r>
              <w:t xml:space="preserve"> purchase</w:t>
            </w:r>
            <w:r w:rsidRPr="001E5E83">
              <w:rPr>
                <w:rStyle w:val="FootnoteReference"/>
              </w:rPr>
              <w:footnoteReference w:id="23"/>
            </w:r>
            <w:r w:rsidRPr="003A15C4">
              <w:rPr>
                <w:sz w:val="20"/>
                <w:szCs w:val="20"/>
              </w:rPr>
              <w:t xml:space="preserve"> (no </w:t>
            </w:r>
            <w:r>
              <w:rPr>
                <w:sz w:val="20"/>
                <w:szCs w:val="20"/>
              </w:rPr>
              <w:t>emission reductions</w:t>
            </w:r>
            <w:r w:rsidRPr="003A15C4">
              <w:rPr>
                <w:sz w:val="20"/>
                <w:szCs w:val="20"/>
              </w:rPr>
              <w:t xml:space="preserve"> if previous was EV</w:t>
            </w:r>
            <w:r>
              <w:rPr>
                <w:sz w:val="20"/>
                <w:szCs w:val="20"/>
              </w:rPr>
              <w:t>)</w:t>
            </w:r>
          </w:p>
        </w:tc>
      </w:tr>
    </w:tbl>
    <w:bookmarkEnd w:id="66"/>
    <w:p w14:paraId="3B22811A" w14:textId="6ED42B3D" w:rsidR="00D50530" w:rsidRPr="00B90CFD" w:rsidRDefault="00D50530" w:rsidP="00F51CD3">
      <w:pPr>
        <w:pStyle w:val="TableFigureNumber0"/>
        <w:rPr>
          <w:b/>
          <w:bCs/>
          <w:color w:val="0579BD"/>
        </w:rPr>
      </w:pPr>
      <w:r w:rsidRPr="00B90CFD">
        <w:rPr>
          <w:color w:val="0579BD"/>
        </w:rPr>
        <w:lastRenderedPageBreak/>
        <w:t xml:space="preserve">TABLE </w:t>
      </w:r>
      <w:r w:rsidR="00911AA2" w:rsidRPr="00B90CFD">
        <w:rPr>
          <w:color w:val="0579BD"/>
        </w:rPr>
        <w:t>A6</w:t>
      </w:r>
    </w:p>
    <w:p w14:paraId="35BF8D13" w14:textId="77777777" w:rsidR="00D50530" w:rsidRPr="003A15C4" w:rsidRDefault="00D50530" w:rsidP="00D50530">
      <w:pPr>
        <w:pStyle w:val="TableFigureheader"/>
      </w:pPr>
      <w:r>
        <w:t>Counterfactual Behaviors and Emissions Assumptions</w:t>
      </w:r>
    </w:p>
    <w:p w14:paraId="15492F63" w14:textId="52DE363B" w:rsidR="00D50530" w:rsidRPr="00D35001" w:rsidRDefault="0075328A" w:rsidP="00D35001">
      <w:pPr>
        <w:pStyle w:val="TableFigureSubtitle"/>
      </w:pPr>
      <w:r w:rsidRPr="00D35001">
        <w:t>Survey Editions 2015</w:t>
      </w:r>
      <w:r>
        <w:rPr>
          <w:rStyle w:val="Heading1Char"/>
          <w:sz w:val="24"/>
          <w:szCs w:val="24"/>
        </w:rPr>
        <w:t>–</w:t>
      </w:r>
      <w:r w:rsidRPr="00D35001">
        <w:rPr>
          <w:rStyle w:val="Heading1Char"/>
          <w:sz w:val="24"/>
          <w:szCs w:val="24"/>
        </w:rPr>
        <w:t>2016, 2016</w:t>
      </w:r>
      <w:r>
        <w:rPr>
          <w:rStyle w:val="Heading1Char"/>
          <w:sz w:val="24"/>
          <w:szCs w:val="24"/>
        </w:rPr>
        <w:t>–</w:t>
      </w:r>
      <w:r w:rsidRPr="00D35001">
        <w:rPr>
          <w:rStyle w:val="Heading1Char"/>
          <w:sz w:val="24"/>
          <w:szCs w:val="24"/>
        </w:rPr>
        <w:t>2017, 2017</w:t>
      </w:r>
      <w:r>
        <w:rPr>
          <w:rStyle w:val="Heading1Char"/>
          <w:sz w:val="24"/>
          <w:szCs w:val="24"/>
        </w:rPr>
        <w:t>–</w:t>
      </w:r>
      <w:r w:rsidRPr="00D35001">
        <w:rPr>
          <w:rStyle w:val="Heading1Char"/>
          <w:sz w:val="24"/>
          <w:szCs w:val="24"/>
        </w:rPr>
        <w:t>2020</w:t>
      </w:r>
      <w:r w:rsidR="00D50530">
        <w:t>: “</w:t>
      </w:r>
      <w:r w:rsidR="00D50530" w:rsidRPr="008858E6">
        <w:t>If the state vehicle rebate (CVRP) were not available for a [</w:t>
      </w:r>
      <w:r w:rsidR="00D50530">
        <w:t>rebated EV model</w:t>
      </w:r>
      <w:r w:rsidR="00D50530" w:rsidRPr="008858E6">
        <w:t>] or any other plug-in electric vehicle (PEV), what do you think you would have done?</w:t>
      </w:r>
      <w:r w:rsidR="00D50530">
        <w:t>”</w:t>
      </w:r>
    </w:p>
    <w:tbl>
      <w:tblPr>
        <w:tblpPr w:leftFromText="187" w:rightFromText="187" w:topFromText="29" w:bottomFromText="29" w:vertAnchor="text" w:horzAnchor="margin" w:tblpY="59"/>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3456"/>
        <w:gridCol w:w="6264"/>
      </w:tblGrid>
      <w:tr w:rsidR="00D50530" w:rsidRPr="00FB5187" w14:paraId="300C3295" w14:textId="77777777" w:rsidTr="001F3F1F">
        <w:trPr>
          <w:trHeight w:val="260"/>
        </w:trPr>
        <w:tc>
          <w:tcPr>
            <w:tcW w:w="3456" w:type="dxa"/>
            <w:shd w:val="clear" w:color="auto" w:fill="3C3A4C"/>
            <w:tcMar>
              <w:top w:w="80" w:type="dxa"/>
              <w:left w:w="80" w:type="dxa"/>
              <w:bottom w:w="80" w:type="dxa"/>
              <w:right w:w="80" w:type="dxa"/>
            </w:tcMar>
          </w:tcPr>
          <w:p w14:paraId="33ABB7DE" w14:textId="77777777" w:rsidR="00D50530" w:rsidRPr="00FB5187" w:rsidRDefault="00D50530">
            <w:pPr>
              <w:spacing w:after="0" w:line="240" w:lineRule="auto"/>
              <w:rPr>
                <w:color w:val="000000"/>
                <w:sz w:val="20"/>
                <w:szCs w:val="20"/>
                <w:u w:color="000000"/>
                <w14:textOutline w14:w="0" w14:cap="flat" w14:cmpd="sng" w14:algn="ctr">
                  <w14:noFill/>
                  <w14:prstDash w14:val="solid"/>
                  <w14:bevel/>
                </w14:textOutline>
              </w:rPr>
            </w:pPr>
            <w:r w:rsidRPr="00FB5187">
              <w:rPr>
                <w:b/>
                <w:bCs/>
                <w:color w:val="FFFFFF" w:themeColor="background1"/>
                <w:sz w:val="20"/>
                <w:szCs w:val="20"/>
                <w:u w:color="000000"/>
                <w14:textOutline w14:w="0" w14:cap="flat" w14:cmpd="sng" w14:algn="ctr">
                  <w14:noFill/>
                  <w14:prstDash w14:val="solid"/>
                  <w14:bevel/>
                </w14:textOutline>
              </w:rPr>
              <w:t>Response Option</w:t>
            </w:r>
          </w:p>
        </w:tc>
        <w:tc>
          <w:tcPr>
            <w:tcW w:w="6264" w:type="dxa"/>
            <w:shd w:val="clear" w:color="auto" w:fill="3C3A4C"/>
            <w:tcMar>
              <w:top w:w="80" w:type="dxa"/>
              <w:left w:w="80" w:type="dxa"/>
              <w:bottom w:w="80" w:type="dxa"/>
              <w:right w:w="80" w:type="dxa"/>
            </w:tcMar>
          </w:tcPr>
          <w:p w14:paraId="5DB97D63" w14:textId="77777777" w:rsidR="00D50530" w:rsidRPr="00FB5187" w:rsidRDefault="00D50530">
            <w:pPr>
              <w:spacing w:after="0" w:line="240" w:lineRule="auto"/>
              <w:jc w:val="center"/>
              <w:rPr>
                <w:color w:val="000000"/>
                <w:sz w:val="20"/>
                <w:szCs w:val="20"/>
                <w:u w:color="000000"/>
                <w14:textOutline w14:w="0" w14:cap="flat" w14:cmpd="sng" w14:algn="ctr">
                  <w14:noFill/>
                  <w14:prstDash w14:val="solid"/>
                  <w14:bevel/>
                </w14:textOutline>
              </w:rPr>
            </w:pPr>
            <w:r w:rsidRPr="00FB5187">
              <w:rPr>
                <w:b/>
                <w:bCs/>
                <w:color w:val="FFFFFF" w:themeColor="background1"/>
                <w:sz w:val="20"/>
                <w:szCs w:val="20"/>
                <w:u w:color="000000"/>
                <w14:textOutline w14:w="0" w14:cap="flat" w14:cmpd="sng" w14:algn="ctr">
                  <w14:noFill/>
                  <w14:prstDash w14:val="solid"/>
                  <w14:bevel/>
                </w14:textOutline>
              </w:rPr>
              <w:t>Emissions Comparison Vehicle</w:t>
            </w:r>
          </w:p>
        </w:tc>
      </w:tr>
      <w:tr w:rsidR="00D50530" w:rsidRPr="00FB5187" w14:paraId="7110D7CF" w14:textId="77777777" w:rsidTr="001F3F1F">
        <w:trPr>
          <w:trHeight w:val="20"/>
        </w:trPr>
        <w:tc>
          <w:tcPr>
            <w:tcW w:w="3456" w:type="dxa"/>
            <w:tcMar>
              <w:top w:w="80" w:type="dxa"/>
              <w:left w:w="80" w:type="dxa"/>
              <w:bottom w:w="80" w:type="dxa"/>
              <w:right w:w="80" w:type="dxa"/>
            </w:tcMar>
            <w:vAlign w:val="center"/>
          </w:tcPr>
          <w:p w14:paraId="5EFD3C05" w14:textId="77777777" w:rsidR="00D50530" w:rsidRPr="00FB5187" w:rsidRDefault="00D50530">
            <w:pPr>
              <w:spacing w:after="0" w:line="240" w:lineRule="auto"/>
              <w:rPr>
                <w:color w:val="000000"/>
                <w:sz w:val="20"/>
                <w:szCs w:val="20"/>
                <w:u w:color="000000"/>
                <w14:textOutline w14:w="0" w14:cap="flat" w14:cmpd="sng" w14:algn="ctr">
                  <w14:noFill/>
                  <w14:prstDash w14:val="solid"/>
                  <w14:bevel/>
                </w14:textOutline>
              </w:rPr>
            </w:pPr>
            <w:r w:rsidRPr="00BE1C95">
              <w:rPr>
                <w:color w:val="000000"/>
                <w:sz w:val="20"/>
                <w:szCs w:val="20"/>
                <w:u w:color="000000"/>
                <w14:textOutline w14:w="0" w14:cap="flat" w14:cmpd="sng" w14:algn="ctr">
                  <w14:noFill/>
                  <w14:prstDash w14:val="solid"/>
                  <w14:bevel/>
                </w14:textOutline>
              </w:rPr>
              <w:t>Purchased/leased this exact vehicle anyway</w:t>
            </w:r>
          </w:p>
        </w:tc>
        <w:tc>
          <w:tcPr>
            <w:tcW w:w="6264" w:type="dxa"/>
            <w:vMerge w:val="restart"/>
            <w:tcMar>
              <w:top w:w="80" w:type="dxa"/>
              <w:left w:w="80" w:type="dxa"/>
              <w:bottom w:w="80" w:type="dxa"/>
              <w:right w:w="80" w:type="dxa"/>
            </w:tcMar>
            <w:vAlign w:val="center"/>
          </w:tcPr>
          <w:p w14:paraId="33F46701" w14:textId="77777777" w:rsidR="00D50530" w:rsidRPr="00FB5187" w:rsidRDefault="00D50530">
            <w:pPr>
              <w:spacing w:after="0" w:line="240" w:lineRule="auto"/>
              <w:jc w:val="center"/>
              <w:rPr>
                <w:color w:val="000000"/>
                <w:u w:color="000000"/>
                <w14:textOutline w14:w="0" w14:cap="flat" w14:cmpd="sng" w14:algn="ctr">
                  <w14:noFill/>
                  <w14:prstDash w14:val="solid"/>
                  <w14:bevel/>
                </w14:textOutline>
              </w:rPr>
            </w:pPr>
            <w:r w:rsidRPr="00FB5187">
              <w:rPr>
                <w:color w:val="000000"/>
                <w:u w:color="000000"/>
                <w14:textOutline w14:w="0" w14:cap="flat" w14:cmpd="sng" w14:algn="ctr">
                  <w14:noFill/>
                  <w14:prstDash w14:val="solid"/>
                  <w14:bevel/>
                </w14:textOutline>
              </w:rPr>
              <w:t>EV</w:t>
            </w:r>
          </w:p>
          <w:p w14:paraId="42206D60" w14:textId="77777777" w:rsidR="00D50530" w:rsidRPr="00FB5187" w:rsidRDefault="00D50530">
            <w:pPr>
              <w:spacing w:after="0" w:line="240" w:lineRule="auto"/>
              <w:jc w:val="center"/>
              <w:rPr>
                <w:color w:val="000000"/>
                <w:u w:color="000000"/>
                <w14:textOutline w14:w="0" w14:cap="flat" w14:cmpd="sng" w14:algn="ctr">
                  <w14:noFill/>
                  <w14:prstDash w14:val="solid"/>
                  <w14:bevel/>
                </w14:textOutline>
              </w:rPr>
            </w:pPr>
            <w:r w:rsidRPr="00FB5187">
              <w:rPr>
                <w:color w:val="000000"/>
                <w:sz w:val="20"/>
                <w:szCs w:val="20"/>
                <w:u w:color="000000"/>
                <w14:textOutline w14:w="0" w14:cap="flat" w14:cmpd="sng" w14:algn="ctr">
                  <w14:noFill/>
                  <w14:prstDash w14:val="solid"/>
                  <w14:bevel/>
                </w14:textOutline>
              </w:rPr>
              <w:t>(no emission reductions)</w:t>
            </w:r>
          </w:p>
        </w:tc>
      </w:tr>
      <w:tr w:rsidR="00D50530" w:rsidRPr="00FB5187" w14:paraId="48ABE598" w14:textId="77777777" w:rsidTr="001F3F1F">
        <w:trPr>
          <w:trHeight w:val="20"/>
        </w:trPr>
        <w:tc>
          <w:tcPr>
            <w:tcW w:w="3456" w:type="dxa"/>
            <w:tcMar>
              <w:top w:w="80" w:type="dxa"/>
              <w:left w:w="80" w:type="dxa"/>
              <w:bottom w:w="80" w:type="dxa"/>
              <w:right w:w="80" w:type="dxa"/>
            </w:tcMar>
            <w:vAlign w:val="center"/>
          </w:tcPr>
          <w:p w14:paraId="2E341B88" w14:textId="77777777" w:rsidR="00D50530" w:rsidRPr="00FB5187" w:rsidRDefault="00D50530">
            <w:pPr>
              <w:spacing w:after="0" w:line="240" w:lineRule="auto"/>
              <w:rPr>
                <w:color w:val="000000"/>
                <w:sz w:val="20"/>
                <w:szCs w:val="20"/>
                <w:u w:color="000000"/>
                <w14:textOutline w14:w="0" w14:cap="flat" w14:cmpd="sng" w14:algn="ctr">
                  <w14:noFill/>
                  <w14:prstDash w14:val="solid"/>
                  <w14:bevel/>
                </w14:textOutline>
              </w:rPr>
            </w:pPr>
            <w:r w:rsidRPr="00FB5187">
              <w:rPr>
                <w:color w:val="000000"/>
                <w:sz w:val="20"/>
                <w:szCs w:val="20"/>
                <w:u w:color="000000"/>
                <w14:textOutline w14:w="0" w14:cap="flat" w14:cmpd="sng" w14:algn="ctr">
                  <w14:noFill/>
                  <w14:prstDash w14:val="solid"/>
                  <w14:bevel/>
                </w14:textOutline>
              </w:rPr>
              <w:t>Purchased/leased a less expensive version of the same model</w:t>
            </w:r>
          </w:p>
        </w:tc>
        <w:tc>
          <w:tcPr>
            <w:tcW w:w="6264" w:type="dxa"/>
            <w:vMerge/>
            <w:tcMar>
              <w:top w:w="80" w:type="dxa"/>
              <w:left w:w="80" w:type="dxa"/>
              <w:bottom w:w="80" w:type="dxa"/>
              <w:right w:w="80" w:type="dxa"/>
            </w:tcMar>
            <w:vAlign w:val="center"/>
          </w:tcPr>
          <w:p w14:paraId="201109A6" w14:textId="77777777" w:rsidR="00D50530" w:rsidRPr="00FB5187" w:rsidRDefault="00D50530">
            <w:pPr>
              <w:spacing w:after="0" w:line="240" w:lineRule="auto"/>
              <w:jc w:val="center"/>
              <w:rPr>
                <w:color w:val="000000"/>
                <w:sz w:val="20"/>
                <w:szCs w:val="20"/>
                <w:u w:color="000000"/>
                <w14:textOutline w14:w="0" w14:cap="flat" w14:cmpd="sng" w14:algn="ctr">
                  <w14:noFill/>
                  <w14:prstDash w14:val="solid"/>
                  <w14:bevel/>
                </w14:textOutline>
              </w:rPr>
            </w:pPr>
          </w:p>
        </w:tc>
      </w:tr>
      <w:tr w:rsidR="00D50530" w:rsidRPr="00FB5187" w14:paraId="43B64A2E" w14:textId="77777777" w:rsidTr="001F3F1F">
        <w:trPr>
          <w:trHeight w:val="20"/>
        </w:trPr>
        <w:tc>
          <w:tcPr>
            <w:tcW w:w="3456" w:type="dxa"/>
            <w:tcMar>
              <w:top w:w="80" w:type="dxa"/>
              <w:left w:w="80" w:type="dxa"/>
              <w:bottom w:w="80" w:type="dxa"/>
              <w:right w:w="80" w:type="dxa"/>
            </w:tcMar>
            <w:vAlign w:val="center"/>
          </w:tcPr>
          <w:p w14:paraId="0593CC38" w14:textId="77777777" w:rsidR="00D50530" w:rsidRPr="00FB5187" w:rsidRDefault="00D50530">
            <w:pPr>
              <w:spacing w:after="0" w:line="240" w:lineRule="auto"/>
              <w:rPr>
                <w:color w:val="000000"/>
                <w:sz w:val="20"/>
                <w:szCs w:val="20"/>
                <w:u w:color="000000"/>
                <w14:textOutline w14:w="0" w14:cap="flat" w14:cmpd="sng" w14:algn="ctr">
                  <w14:noFill/>
                  <w14:prstDash w14:val="solid"/>
                  <w14:bevel/>
                </w14:textOutline>
              </w:rPr>
            </w:pPr>
            <w:r w:rsidRPr="00FB5187">
              <w:rPr>
                <w:color w:val="000000"/>
                <w:sz w:val="20"/>
                <w:szCs w:val="20"/>
                <w:u w:color="000000"/>
                <w14:textOutline w14:w="0" w14:cap="flat" w14:cmpd="sng" w14:algn="ctr">
                  <w14:noFill/>
                  <w14:prstDash w14:val="solid"/>
                  <w14:bevel/>
                </w14:textOutline>
              </w:rPr>
              <w:t>Purchased/leased a different new EV</w:t>
            </w:r>
          </w:p>
        </w:tc>
        <w:tc>
          <w:tcPr>
            <w:tcW w:w="6264" w:type="dxa"/>
            <w:vMerge/>
            <w:tcMar>
              <w:top w:w="80" w:type="dxa"/>
              <w:left w:w="80" w:type="dxa"/>
              <w:bottom w:w="80" w:type="dxa"/>
              <w:right w:w="80" w:type="dxa"/>
            </w:tcMar>
            <w:vAlign w:val="center"/>
          </w:tcPr>
          <w:p w14:paraId="120E2536" w14:textId="77777777" w:rsidR="00D50530" w:rsidRPr="00FB5187" w:rsidRDefault="00D50530">
            <w:pPr>
              <w:spacing w:after="0" w:line="240" w:lineRule="auto"/>
              <w:jc w:val="center"/>
              <w:rPr>
                <w:color w:val="000000"/>
                <w:sz w:val="20"/>
                <w:szCs w:val="20"/>
                <w:u w:color="000000"/>
                <w14:textOutline w14:w="0" w14:cap="flat" w14:cmpd="sng" w14:algn="ctr">
                  <w14:noFill/>
                  <w14:prstDash w14:val="solid"/>
                  <w14:bevel/>
                </w14:textOutline>
              </w:rPr>
            </w:pPr>
          </w:p>
        </w:tc>
      </w:tr>
      <w:tr w:rsidR="00D50530" w:rsidRPr="00FB5187" w14:paraId="1B820E31" w14:textId="77777777" w:rsidTr="001F3F1F">
        <w:trPr>
          <w:trHeight w:val="20"/>
        </w:trPr>
        <w:tc>
          <w:tcPr>
            <w:tcW w:w="3456" w:type="dxa"/>
            <w:tcMar>
              <w:top w:w="80" w:type="dxa"/>
              <w:left w:w="80" w:type="dxa"/>
              <w:bottom w:w="80" w:type="dxa"/>
              <w:right w:w="80" w:type="dxa"/>
            </w:tcMar>
            <w:vAlign w:val="center"/>
          </w:tcPr>
          <w:p w14:paraId="43489E14" w14:textId="77777777" w:rsidR="00D50530" w:rsidRPr="00FB5187" w:rsidRDefault="00D50530">
            <w:pPr>
              <w:spacing w:after="0" w:line="240" w:lineRule="auto"/>
              <w:rPr>
                <w:b/>
                <w:color w:val="000000"/>
                <w:sz w:val="20"/>
                <w:szCs w:val="20"/>
                <w:u w:color="000000"/>
                <w14:textOutline w14:w="0" w14:cap="flat" w14:cmpd="sng" w14:algn="ctr">
                  <w14:noFill/>
                  <w14:prstDash w14:val="solid"/>
                  <w14:bevel/>
                </w14:textOutline>
              </w:rPr>
            </w:pPr>
            <w:r w:rsidRPr="00FB5187">
              <w:rPr>
                <w:color w:val="000000"/>
                <w:sz w:val="20"/>
                <w:szCs w:val="20"/>
                <w:u w:color="000000"/>
                <w14:textOutline w14:w="0" w14:cap="flat" w14:cmpd="sng" w14:algn="ctr">
                  <w14:noFill/>
                  <w14:prstDash w14:val="solid"/>
                  <w14:bevel/>
                </w14:textOutline>
              </w:rPr>
              <w:t>Purchased/leased a used EV</w:t>
            </w:r>
          </w:p>
        </w:tc>
        <w:tc>
          <w:tcPr>
            <w:tcW w:w="6264" w:type="dxa"/>
            <w:vMerge/>
            <w:tcMar>
              <w:top w:w="80" w:type="dxa"/>
              <w:left w:w="80" w:type="dxa"/>
              <w:bottom w:w="80" w:type="dxa"/>
              <w:right w:w="80" w:type="dxa"/>
            </w:tcMar>
            <w:vAlign w:val="center"/>
          </w:tcPr>
          <w:p w14:paraId="53E53729" w14:textId="77777777" w:rsidR="00D50530" w:rsidRPr="00FB5187" w:rsidRDefault="00D50530">
            <w:pPr>
              <w:spacing w:after="0" w:line="240" w:lineRule="auto"/>
              <w:jc w:val="center"/>
              <w:rPr>
                <w:color w:val="000000"/>
                <w:sz w:val="20"/>
                <w:szCs w:val="20"/>
                <w:u w:color="000000"/>
                <w14:textOutline w14:w="0" w14:cap="flat" w14:cmpd="sng" w14:algn="ctr">
                  <w14:noFill/>
                  <w14:prstDash w14:val="solid"/>
                  <w14:bevel/>
                </w14:textOutline>
              </w:rPr>
            </w:pPr>
          </w:p>
        </w:tc>
      </w:tr>
      <w:tr w:rsidR="00D50530" w:rsidRPr="00FB5187" w14:paraId="27F180FF" w14:textId="77777777" w:rsidTr="001F3F1F">
        <w:trPr>
          <w:trHeight w:val="902"/>
        </w:trPr>
        <w:tc>
          <w:tcPr>
            <w:tcW w:w="3456" w:type="dxa"/>
            <w:shd w:val="clear" w:color="auto" w:fill="F2F2F2" w:themeFill="background1" w:themeFillShade="F2"/>
            <w:tcMar>
              <w:top w:w="80" w:type="dxa"/>
              <w:left w:w="80" w:type="dxa"/>
              <w:bottom w:w="80" w:type="dxa"/>
              <w:right w:w="80" w:type="dxa"/>
            </w:tcMar>
            <w:vAlign w:val="center"/>
          </w:tcPr>
          <w:p w14:paraId="67672FA9" w14:textId="77777777" w:rsidR="00D50530" w:rsidRPr="00FB5187" w:rsidRDefault="00D50530">
            <w:pPr>
              <w:spacing w:after="0" w:line="240" w:lineRule="auto"/>
              <w:rPr>
                <w:color w:val="000000"/>
                <w:sz w:val="20"/>
                <w:szCs w:val="20"/>
                <w:u w:color="000000"/>
                <w14:textOutline w14:w="0" w14:cap="flat" w14:cmpd="sng" w14:algn="ctr">
                  <w14:noFill/>
                  <w14:prstDash w14:val="solid"/>
                  <w14:bevel/>
                </w14:textOutline>
              </w:rPr>
            </w:pPr>
            <w:r w:rsidRPr="002D05B2">
              <w:rPr>
                <w:color w:val="000000"/>
                <w:sz w:val="20"/>
                <w:szCs w:val="20"/>
                <w:u w:color="000000"/>
                <w14:textOutline w14:w="0" w14:cap="flat" w14:cmpd="sng" w14:algn="ctr">
                  <w14:noFill/>
                  <w14:prstDash w14:val="solid"/>
                  <w14:bevel/>
                </w14:textOutline>
              </w:rPr>
              <w:t>Purchased/leased a new non-PEV instead</w:t>
            </w:r>
          </w:p>
        </w:tc>
        <w:tc>
          <w:tcPr>
            <w:tcW w:w="6264" w:type="dxa"/>
            <w:shd w:val="clear" w:color="auto" w:fill="F2F2F2" w:themeFill="background1" w:themeFillShade="F2"/>
            <w:tcMar>
              <w:top w:w="80" w:type="dxa"/>
              <w:left w:w="80" w:type="dxa"/>
              <w:bottom w:w="80" w:type="dxa"/>
              <w:right w:w="80" w:type="dxa"/>
            </w:tcMar>
            <w:vAlign w:val="center"/>
          </w:tcPr>
          <w:p w14:paraId="7C9C59A2" w14:textId="77777777" w:rsidR="00D50530" w:rsidRPr="0004351E" w:rsidRDefault="00D50530">
            <w:pPr>
              <w:pStyle w:val="Body"/>
              <w:spacing w:after="0" w:line="240" w:lineRule="auto"/>
              <w:jc w:val="center"/>
            </w:pPr>
            <w:r>
              <w:t>Gasoline /</w:t>
            </w:r>
            <w:r w:rsidRPr="0004351E">
              <w:t xml:space="preserve"> Conventional hybrid vehicle</w:t>
            </w:r>
          </w:p>
          <w:p w14:paraId="152783A1" w14:textId="62CAE958" w:rsidR="00D50530" w:rsidRPr="00CA7903" w:rsidRDefault="00D50530">
            <w:pPr>
              <w:spacing w:after="0" w:line="240" w:lineRule="auto"/>
              <w:jc w:val="center"/>
              <w:rPr>
                <w:color w:val="000000"/>
                <w:sz w:val="20"/>
                <w:szCs w:val="20"/>
                <w14:textOutline w14:w="0" w14:cap="flat" w14:cmpd="sng" w14:algn="ctr">
                  <w14:noFill/>
                  <w14:prstDash w14:val="solid"/>
                  <w14:bevel/>
                </w14:textOutline>
              </w:rPr>
            </w:pPr>
            <w:r w:rsidRPr="00CA7903">
              <w:rPr>
                <w:sz w:val="20"/>
                <w:szCs w:val="20"/>
              </w:rPr>
              <w:t>(CA sales-weighted avg. fuel economy of gasoline</w:t>
            </w:r>
            <w:r w:rsidR="00C72B80">
              <w:rPr>
                <w:rStyle w:val="FootnoteReference"/>
                <w:sz w:val="20"/>
                <w:szCs w:val="20"/>
              </w:rPr>
              <w:footnoteReference w:id="24"/>
            </w:r>
            <w:r w:rsidRPr="00CA7903">
              <w:rPr>
                <w:sz w:val="20"/>
                <w:szCs w:val="20"/>
              </w:rPr>
              <w:t xml:space="preserve"> and conventional hybrid vehicles, same model year as rebated EV, weighted 59% hybrid and 41% gasoline</w:t>
            </w:r>
            <w:r w:rsidRPr="00CA7903">
              <w:rPr>
                <w:rStyle w:val="FootnoteReference"/>
                <w:sz w:val="20"/>
                <w:szCs w:val="20"/>
              </w:rPr>
              <w:footnoteReference w:id="25"/>
            </w:r>
            <w:r w:rsidRPr="00CA7903">
              <w:rPr>
                <w:sz w:val="20"/>
                <w:szCs w:val="20"/>
              </w:rPr>
              <w:t>)</w:t>
            </w:r>
          </w:p>
        </w:tc>
      </w:tr>
      <w:tr w:rsidR="00D50530" w:rsidRPr="00FB5187" w14:paraId="7D9039B4" w14:textId="77777777" w:rsidTr="001F3F1F">
        <w:trPr>
          <w:trHeight w:val="20"/>
        </w:trPr>
        <w:tc>
          <w:tcPr>
            <w:tcW w:w="3456" w:type="dxa"/>
            <w:shd w:val="clear" w:color="auto" w:fill="FFFFFF" w:themeFill="background1"/>
            <w:tcMar>
              <w:top w:w="80" w:type="dxa"/>
              <w:left w:w="80" w:type="dxa"/>
              <w:bottom w:w="80" w:type="dxa"/>
              <w:right w:w="80" w:type="dxa"/>
            </w:tcMar>
            <w:vAlign w:val="center"/>
          </w:tcPr>
          <w:p w14:paraId="76EE7161" w14:textId="77777777" w:rsidR="00D50530" w:rsidRPr="00FB5187" w:rsidRDefault="00D50530">
            <w:pPr>
              <w:spacing w:after="0" w:line="240" w:lineRule="auto"/>
              <w:rPr>
                <w:bCs/>
                <w:color w:val="000000"/>
                <w:sz w:val="20"/>
                <w:szCs w:val="20"/>
                <w:u w:color="000000"/>
                <w14:textOutline w14:w="0" w14:cap="flat" w14:cmpd="sng" w14:algn="ctr">
                  <w14:noFill/>
                  <w14:prstDash w14:val="solid"/>
                  <w14:bevel/>
                </w14:textOutline>
              </w:rPr>
            </w:pPr>
            <w:r w:rsidRPr="002D05B2">
              <w:rPr>
                <w:bCs/>
                <w:color w:val="000000"/>
                <w:sz w:val="20"/>
                <w:szCs w:val="20"/>
                <w:u w:color="000000"/>
                <w14:textOutline w14:w="0" w14:cap="flat" w14:cmpd="sng" w14:algn="ctr">
                  <w14:noFill/>
                  <w14:prstDash w14:val="solid"/>
                  <w14:bevel/>
                </w14:textOutline>
              </w:rPr>
              <w:t>Purchased/leased a used non-PEV instead</w:t>
            </w:r>
          </w:p>
        </w:tc>
        <w:tc>
          <w:tcPr>
            <w:tcW w:w="6264" w:type="dxa"/>
            <w:shd w:val="clear" w:color="auto" w:fill="FFFFFF" w:themeFill="background1"/>
            <w:tcMar>
              <w:top w:w="80" w:type="dxa"/>
              <w:left w:w="80" w:type="dxa"/>
              <w:bottom w:w="80" w:type="dxa"/>
              <w:right w:w="80" w:type="dxa"/>
            </w:tcMar>
          </w:tcPr>
          <w:p w14:paraId="34807FAA" w14:textId="77777777" w:rsidR="00D50530" w:rsidRPr="0004351E" w:rsidRDefault="00D50530">
            <w:pPr>
              <w:pStyle w:val="Body"/>
              <w:spacing w:after="0" w:line="240" w:lineRule="auto"/>
              <w:jc w:val="center"/>
            </w:pPr>
            <w:r>
              <w:t>Gasoline /</w:t>
            </w:r>
            <w:r w:rsidRPr="0004351E">
              <w:t xml:space="preserve"> Conventional hybrid vehicle</w:t>
            </w:r>
          </w:p>
          <w:p w14:paraId="40AE661D" w14:textId="77777777" w:rsidR="00D50530" w:rsidRPr="00CA7903" w:rsidRDefault="00D50530">
            <w:pPr>
              <w:spacing w:after="0" w:line="240" w:lineRule="auto"/>
              <w:jc w:val="center"/>
              <w:rPr>
                <w:color w:val="000000"/>
                <w:sz w:val="20"/>
                <w:szCs w:val="20"/>
                <w14:textOutline w14:w="0" w14:cap="flat" w14:cmpd="sng" w14:algn="ctr">
                  <w14:noFill/>
                  <w14:prstDash w14:val="solid"/>
                  <w14:bevel/>
                </w14:textOutline>
              </w:rPr>
            </w:pPr>
            <w:r w:rsidRPr="00CA7903">
              <w:rPr>
                <w:sz w:val="20"/>
                <w:szCs w:val="20"/>
              </w:rPr>
              <w:t>(CA sales-weighted avg. fuel economy of gasoline and conventional hybrid vehicles, MY 3 years earlier than rebated EV, weighted 59% hybrid and 41% gasoline)</w:t>
            </w:r>
          </w:p>
        </w:tc>
      </w:tr>
      <w:tr w:rsidR="00D50530" w:rsidRPr="00FB5187" w14:paraId="042D1B6A" w14:textId="77777777" w:rsidTr="001F3F1F">
        <w:trPr>
          <w:trHeight w:val="20"/>
        </w:trPr>
        <w:tc>
          <w:tcPr>
            <w:tcW w:w="3456" w:type="dxa"/>
            <w:shd w:val="clear" w:color="auto" w:fill="F2F2F2" w:themeFill="background1" w:themeFillShade="F2"/>
            <w:tcMar>
              <w:top w:w="80" w:type="dxa"/>
              <w:left w:w="80" w:type="dxa"/>
              <w:bottom w:w="80" w:type="dxa"/>
              <w:right w:w="80" w:type="dxa"/>
            </w:tcMar>
            <w:vAlign w:val="center"/>
          </w:tcPr>
          <w:p w14:paraId="2102A00F" w14:textId="77777777" w:rsidR="00D50530" w:rsidRPr="00FB5187" w:rsidRDefault="00D50530">
            <w:pPr>
              <w:spacing w:after="0" w:line="240" w:lineRule="auto"/>
              <w:rPr>
                <w:b/>
                <w:color w:val="000000"/>
                <w:sz w:val="20"/>
                <w:szCs w:val="20"/>
                <w:u w:color="000000"/>
                <w14:textOutline w14:w="0" w14:cap="flat" w14:cmpd="sng" w14:algn="ctr">
                  <w14:noFill/>
                  <w14:prstDash w14:val="solid"/>
                  <w14:bevel/>
                </w14:textOutline>
              </w:rPr>
            </w:pPr>
            <w:r w:rsidRPr="00FB5187">
              <w:rPr>
                <w:color w:val="000000"/>
                <w:sz w:val="20"/>
                <w:szCs w:val="20"/>
                <w:u w:color="000000"/>
                <w14:textOutline w14:w="0" w14:cap="flat" w14:cmpd="sng" w14:algn="ctr">
                  <w14:noFill/>
                  <w14:prstDash w14:val="solid"/>
                  <w14:bevel/>
                </w14:textOutline>
              </w:rPr>
              <w:t>Not made any purchase/lease at all</w:t>
            </w:r>
          </w:p>
        </w:tc>
        <w:tc>
          <w:tcPr>
            <w:tcW w:w="6264" w:type="dxa"/>
            <w:shd w:val="clear" w:color="auto" w:fill="F2F2F2" w:themeFill="background1" w:themeFillShade="F2"/>
            <w:tcMar>
              <w:top w:w="80" w:type="dxa"/>
              <w:left w:w="80" w:type="dxa"/>
              <w:bottom w:w="80" w:type="dxa"/>
              <w:right w:w="80" w:type="dxa"/>
            </w:tcMar>
          </w:tcPr>
          <w:p w14:paraId="134EB515" w14:textId="77777777" w:rsidR="00A92704" w:rsidRPr="00834B15" w:rsidRDefault="00A92704" w:rsidP="00A92704">
            <w:pPr>
              <w:pStyle w:val="Body"/>
              <w:spacing w:after="0" w:line="240" w:lineRule="auto"/>
              <w:jc w:val="center"/>
            </w:pPr>
            <w:r w:rsidRPr="00834B15">
              <w:t>First 3 years: previous vehicle</w:t>
            </w:r>
          </w:p>
          <w:p w14:paraId="4D859276" w14:textId="40B5D97A" w:rsidR="00A92704" w:rsidRPr="003A15C4" w:rsidRDefault="00A92704" w:rsidP="00A92704">
            <w:pPr>
              <w:pStyle w:val="Body"/>
              <w:spacing w:after="120" w:line="240" w:lineRule="auto"/>
              <w:jc w:val="center"/>
              <w:rPr>
                <w:sz w:val="20"/>
                <w:szCs w:val="20"/>
              </w:rPr>
            </w:pPr>
            <w:r w:rsidRPr="23105D8D">
              <w:rPr>
                <w:sz w:val="20"/>
                <w:szCs w:val="20"/>
              </w:rPr>
              <w:t>(Case-specific year/technology weighted avg</w:t>
            </w:r>
            <w:r w:rsidR="00BD72F7">
              <w:rPr>
                <w:sz w:val="20"/>
                <w:szCs w:val="20"/>
              </w:rPr>
              <w:t>.</w:t>
            </w:r>
            <w:r w:rsidRPr="23105D8D">
              <w:rPr>
                <w:sz w:val="20"/>
                <w:szCs w:val="20"/>
              </w:rPr>
              <w:t xml:space="preserve"> fuel economy</w:t>
            </w:r>
            <w:r w:rsidR="00CC3E50">
              <w:rPr>
                <w:sz w:val="20"/>
                <w:szCs w:val="20"/>
              </w:rPr>
              <w:t xml:space="preserve"> (see Table A7)</w:t>
            </w:r>
            <w:r w:rsidR="00911FD3">
              <w:rPr>
                <w:sz w:val="20"/>
                <w:szCs w:val="20"/>
              </w:rPr>
              <w:t>,</w:t>
            </w:r>
            <w:r w:rsidRPr="23105D8D">
              <w:rPr>
                <w:sz w:val="20"/>
                <w:szCs w:val="20"/>
              </w:rPr>
              <w:t xml:space="preserve"> no emission reductions if EV)</w:t>
            </w:r>
          </w:p>
          <w:p w14:paraId="095B0720" w14:textId="1D7C91A2" w:rsidR="00D50530" w:rsidRPr="00FB5187" w:rsidRDefault="00A92704">
            <w:pPr>
              <w:spacing w:after="0" w:line="240" w:lineRule="auto"/>
              <w:jc w:val="center"/>
              <w:rPr>
                <w:color w:val="000000"/>
                <w:sz w:val="20"/>
                <w:szCs w:val="20"/>
                <w:u w:color="000000"/>
                <w14:textOutline w14:w="0" w14:cap="flat" w14:cmpd="sng" w14:algn="ctr">
                  <w14:noFill/>
                  <w14:prstDash w14:val="solid"/>
                  <w14:bevel/>
                </w14:textOutline>
              </w:rPr>
            </w:pPr>
            <w:r w:rsidRPr="00834B15">
              <w:t>Rest of 100k mi</w:t>
            </w:r>
            <w:r w:rsidR="00CF0338">
              <w:t>les</w:t>
            </w:r>
            <w:r w:rsidRPr="00834B15">
              <w:t xml:space="preserve">: </w:t>
            </w:r>
            <w:r>
              <w:t>cohort average</w:t>
            </w:r>
            <w:r w:rsidRPr="00834B15">
              <w:t xml:space="preserve"> vehicle </w:t>
            </w:r>
            <w:r>
              <w:t xml:space="preserve">with </w:t>
            </w:r>
            <w:r w:rsidRPr="00834B15">
              <w:t xml:space="preserve">3 years </w:t>
            </w:r>
            <w:r>
              <w:t xml:space="preserve">lag from </w:t>
            </w:r>
            <w:r w:rsidRPr="00834B15">
              <w:t>rebated EV</w:t>
            </w:r>
            <w:r>
              <w:t xml:space="preserve"> purchase</w:t>
            </w:r>
            <w:r w:rsidRPr="001E5E83">
              <w:rPr>
                <w:rStyle w:val="FootnoteReference"/>
              </w:rPr>
              <w:footnoteReference w:id="26"/>
            </w:r>
            <w:r w:rsidRPr="003A15C4">
              <w:rPr>
                <w:sz w:val="20"/>
                <w:szCs w:val="20"/>
              </w:rPr>
              <w:t xml:space="preserve"> (no </w:t>
            </w:r>
            <w:r>
              <w:rPr>
                <w:sz w:val="20"/>
                <w:szCs w:val="20"/>
              </w:rPr>
              <w:t>emission reductions</w:t>
            </w:r>
            <w:r w:rsidRPr="003A15C4">
              <w:rPr>
                <w:sz w:val="20"/>
                <w:szCs w:val="20"/>
              </w:rPr>
              <w:t xml:space="preserve"> if previous was EV</w:t>
            </w:r>
            <w:r>
              <w:rPr>
                <w:sz w:val="20"/>
                <w:szCs w:val="20"/>
              </w:rPr>
              <w:t>)</w:t>
            </w:r>
          </w:p>
        </w:tc>
      </w:tr>
    </w:tbl>
    <w:p w14:paraId="7E89ABC6" w14:textId="77777777" w:rsidR="00D50530" w:rsidRDefault="00D50530" w:rsidP="00D50530"/>
    <w:p w14:paraId="6CF1682D" w14:textId="77777777" w:rsidR="008F1A35" w:rsidRDefault="008F1A35">
      <w:pPr>
        <w:spacing w:after="0" w:line="240" w:lineRule="auto"/>
        <w:rPr>
          <w:rFonts w:eastAsiaTheme="majorEastAsia" w:cs="Calibri"/>
          <w:caps/>
          <w:color w:val="034A72" w:themeColor="accent3" w:themeShade="80"/>
          <w:sz w:val="20"/>
          <w:szCs w:val="24"/>
          <w:bdr w:val="none" w:sz="0" w:space="0" w:color="auto"/>
        </w:rPr>
      </w:pPr>
      <w:r>
        <w:rPr>
          <w:color w:val="034A72" w:themeColor="accent3" w:themeShade="80"/>
        </w:rPr>
        <w:br w:type="page"/>
      </w:r>
    </w:p>
    <w:p w14:paraId="526D7465" w14:textId="03C663DB" w:rsidR="005F4DB0" w:rsidRPr="005D5305" w:rsidRDefault="005F4DB0" w:rsidP="00FF3CC9">
      <w:pPr>
        <w:pStyle w:val="TableFigureNumber0"/>
        <w:keepNext/>
        <w:rPr>
          <w:b/>
          <w:bCs/>
          <w:color w:val="0579BD"/>
        </w:rPr>
      </w:pPr>
      <w:r w:rsidRPr="005D5305">
        <w:rPr>
          <w:color w:val="0579BD"/>
        </w:rPr>
        <w:lastRenderedPageBreak/>
        <w:t xml:space="preserve">TABLE </w:t>
      </w:r>
      <w:r w:rsidR="00F71D5B" w:rsidRPr="005D5305">
        <w:rPr>
          <w:color w:val="0579BD"/>
        </w:rPr>
        <w:t>A7</w:t>
      </w:r>
    </w:p>
    <w:p w14:paraId="2099B99B" w14:textId="5D3A89E9" w:rsidR="009A7441" w:rsidRPr="008F1A35" w:rsidRDefault="00BC7217" w:rsidP="008F1A35">
      <w:pPr>
        <w:pStyle w:val="TableFigureheader"/>
        <w:keepNext/>
        <w:spacing w:after="120"/>
      </w:pPr>
      <w:r w:rsidRPr="00FF3CC9">
        <w:t xml:space="preserve">Previous </w:t>
      </w:r>
      <w:r w:rsidR="00FF3CC9" w:rsidRPr="00FF3CC9">
        <w:t>V</w:t>
      </w:r>
      <w:r w:rsidRPr="00FF3CC9">
        <w:t xml:space="preserve">ehicle MPGs </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58"/>
      </w:tblGrid>
      <w:tr w:rsidR="00270BBF" w:rsidRPr="007406BD" w14:paraId="696A86E3" w14:textId="77777777" w:rsidTr="00F71D1F">
        <w:tc>
          <w:tcPr>
            <w:tcW w:w="5215" w:type="dxa"/>
            <w:shd w:val="clear" w:color="auto" w:fill="3C3A4C"/>
          </w:tcPr>
          <w:p w14:paraId="6C648EBE" w14:textId="0A6B75C8" w:rsidR="00270BBF" w:rsidRPr="00714A85" w:rsidRDefault="00270BBF" w:rsidP="008552B5">
            <w:pPr>
              <w:pStyle w:val="Tabletext"/>
              <w:jc w:val="center"/>
              <w:rPr>
                <w:rFonts w:cs="Calibri"/>
                <w:b/>
                <w:bCs/>
                <w:color w:val="FFFFFF" w:themeColor="background1"/>
                <w:sz w:val="18"/>
                <w:szCs w:val="18"/>
              </w:rPr>
            </w:pPr>
            <w:r w:rsidRPr="00714A85">
              <w:rPr>
                <w:rFonts w:cs="Calibri"/>
                <w:b/>
                <w:bCs/>
                <w:color w:val="FFFFFF" w:themeColor="background1"/>
                <w:sz w:val="18"/>
                <w:szCs w:val="18"/>
              </w:rPr>
              <w:t>Fuel Economy Approach</w:t>
            </w:r>
          </w:p>
        </w:tc>
        <w:tc>
          <w:tcPr>
            <w:tcW w:w="4158" w:type="dxa"/>
            <w:shd w:val="clear" w:color="auto" w:fill="3C3A4C"/>
          </w:tcPr>
          <w:p w14:paraId="68C50555" w14:textId="15FAE4B1" w:rsidR="00270BBF" w:rsidRPr="00714A85" w:rsidRDefault="00270BBF" w:rsidP="008552B5">
            <w:pPr>
              <w:pStyle w:val="Tabletext"/>
              <w:jc w:val="center"/>
              <w:rPr>
                <w:rFonts w:cs="Calibri"/>
                <w:b/>
                <w:bCs/>
                <w:color w:val="FFFFFF" w:themeColor="background1"/>
                <w:sz w:val="18"/>
                <w:szCs w:val="18"/>
              </w:rPr>
            </w:pPr>
            <w:r w:rsidRPr="00714A85">
              <w:rPr>
                <w:rFonts w:cs="Calibri"/>
                <w:b/>
                <w:bCs/>
                <w:color w:val="FFFFFF" w:themeColor="background1"/>
                <w:sz w:val="18"/>
                <w:szCs w:val="18"/>
              </w:rPr>
              <w:t>Sources</w:t>
            </w:r>
          </w:p>
        </w:tc>
      </w:tr>
      <w:tr w:rsidR="00F90B6E" w:rsidRPr="007F2A87" w14:paraId="7EF3568B" w14:textId="77777777" w:rsidTr="009E45A8">
        <w:tc>
          <w:tcPr>
            <w:tcW w:w="5215" w:type="dxa"/>
            <w:shd w:val="clear" w:color="auto" w:fill="C9EAFD" w:themeFill="accent3" w:themeFillTint="33"/>
          </w:tcPr>
          <w:p w14:paraId="36C599B8" w14:textId="724C1DEC" w:rsidR="00F90B6E" w:rsidRPr="00F90B6E" w:rsidRDefault="00F90B6E" w:rsidP="00F71D1F">
            <w:pPr>
              <w:pStyle w:val="Tabletext"/>
              <w:spacing w:line="240" w:lineRule="auto"/>
              <w:rPr>
                <w:sz w:val="18"/>
                <w:szCs w:val="18"/>
              </w:rPr>
            </w:pPr>
            <w:r w:rsidRPr="00F90B6E">
              <w:rPr>
                <w:sz w:val="18"/>
                <w:szCs w:val="18"/>
              </w:rPr>
              <w:t xml:space="preserve">MY-specific CA-sales-weighted avg. of gasoline vehicles (top 59–74 models after removing HEV models from top 75 gasoline model lists). </w:t>
            </w:r>
          </w:p>
        </w:tc>
        <w:tc>
          <w:tcPr>
            <w:tcW w:w="4158" w:type="dxa"/>
            <w:shd w:val="clear" w:color="auto" w:fill="C9EAFD" w:themeFill="accent3" w:themeFillTint="33"/>
          </w:tcPr>
          <w:p w14:paraId="55A6E6DC" w14:textId="3A12EA13" w:rsidR="00F90B6E" w:rsidRPr="00F90B6E" w:rsidRDefault="00F90B6E" w:rsidP="00F71D1F">
            <w:pPr>
              <w:pStyle w:val="Tabletext"/>
              <w:spacing w:line="240" w:lineRule="auto"/>
              <w:rPr>
                <w:sz w:val="18"/>
                <w:szCs w:val="18"/>
              </w:rPr>
            </w:pPr>
            <w:r w:rsidRPr="00F90B6E">
              <w:rPr>
                <w:sz w:val="18"/>
                <w:szCs w:val="18"/>
              </w:rPr>
              <w:t>S&amp;P Global Mobility, (US Department of Energy &amp; US Environmental Protection Agency, 2024)</w:t>
            </w:r>
          </w:p>
        </w:tc>
      </w:tr>
      <w:tr w:rsidR="00F90B6E" w:rsidRPr="007F2A87" w14:paraId="6FCFC956" w14:textId="77777777" w:rsidTr="009E45A8">
        <w:tc>
          <w:tcPr>
            <w:tcW w:w="5215" w:type="dxa"/>
            <w:shd w:val="clear" w:color="auto" w:fill="93D6FC" w:themeFill="accent3" w:themeFillTint="66"/>
          </w:tcPr>
          <w:p w14:paraId="584BFD6B" w14:textId="6A4C2A0A" w:rsidR="00F90B6E" w:rsidRPr="00F90B6E" w:rsidRDefault="00F90B6E" w:rsidP="00F71D1F">
            <w:pPr>
              <w:pStyle w:val="Tabletext"/>
              <w:spacing w:line="240" w:lineRule="auto"/>
              <w:rPr>
                <w:sz w:val="18"/>
                <w:szCs w:val="18"/>
              </w:rPr>
            </w:pPr>
            <w:r w:rsidRPr="00F90B6E">
              <w:rPr>
                <w:sz w:val="18"/>
                <w:szCs w:val="18"/>
              </w:rPr>
              <w:t>MY-specific production-weighted avg for cars. "[YYYY] or earlier" values take latest result (e.g., "1994 or earlier" takes 1994 result).</w:t>
            </w:r>
          </w:p>
        </w:tc>
        <w:tc>
          <w:tcPr>
            <w:tcW w:w="4158" w:type="dxa"/>
            <w:shd w:val="clear" w:color="auto" w:fill="93D6FC" w:themeFill="accent3" w:themeFillTint="66"/>
          </w:tcPr>
          <w:p w14:paraId="7645D380" w14:textId="180C919E" w:rsidR="00F90B6E" w:rsidRPr="00F90B6E" w:rsidRDefault="00F90B6E" w:rsidP="00F71D1F">
            <w:pPr>
              <w:pStyle w:val="Tabletext"/>
              <w:spacing w:line="240" w:lineRule="auto"/>
              <w:rPr>
                <w:sz w:val="18"/>
                <w:szCs w:val="18"/>
              </w:rPr>
            </w:pPr>
            <w:r w:rsidRPr="00F90B6E">
              <w:rPr>
                <w:sz w:val="18"/>
                <w:szCs w:val="18"/>
              </w:rPr>
              <w:t>(US Environmental Protection Agency, 2024)</w:t>
            </w:r>
          </w:p>
        </w:tc>
      </w:tr>
      <w:tr w:rsidR="00F90B6E" w:rsidRPr="007F2A87" w14:paraId="33ED0A50" w14:textId="77777777" w:rsidTr="009E45A8">
        <w:tc>
          <w:tcPr>
            <w:tcW w:w="5215" w:type="dxa"/>
            <w:shd w:val="clear" w:color="auto" w:fill="5EC2FA" w:themeFill="accent3" w:themeFillTint="99"/>
          </w:tcPr>
          <w:p w14:paraId="116BE18E" w14:textId="361735F8" w:rsidR="00F90B6E" w:rsidRPr="00F90B6E" w:rsidRDefault="00F90B6E" w:rsidP="00F71D1F">
            <w:pPr>
              <w:pStyle w:val="Tabletext"/>
              <w:spacing w:line="240" w:lineRule="auto"/>
              <w:rPr>
                <w:sz w:val="18"/>
                <w:szCs w:val="18"/>
              </w:rPr>
            </w:pPr>
            <w:r w:rsidRPr="00F90B6E">
              <w:rPr>
                <w:sz w:val="18"/>
                <w:szCs w:val="18"/>
              </w:rPr>
              <w:t xml:space="preserve">MY-specific CA-sales-weighted avg of conventional hybrid vehicles (all models). </w:t>
            </w:r>
          </w:p>
        </w:tc>
        <w:tc>
          <w:tcPr>
            <w:tcW w:w="4158" w:type="dxa"/>
            <w:shd w:val="clear" w:color="auto" w:fill="5EC2FA" w:themeFill="accent3" w:themeFillTint="99"/>
          </w:tcPr>
          <w:p w14:paraId="72B8BB0E" w14:textId="0DCE3A82" w:rsidR="00F90B6E" w:rsidRPr="00F90B6E" w:rsidRDefault="00F90B6E" w:rsidP="00F71D1F">
            <w:pPr>
              <w:pStyle w:val="Tabletext"/>
              <w:spacing w:line="240" w:lineRule="auto"/>
              <w:rPr>
                <w:sz w:val="18"/>
                <w:szCs w:val="18"/>
              </w:rPr>
            </w:pPr>
            <w:r w:rsidRPr="00F90B6E">
              <w:rPr>
                <w:sz w:val="18"/>
                <w:szCs w:val="18"/>
              </w:rPr>
              <w:t>S&amp;P Global Mobility, (US Department of Energy &amp; US Environmental Protection Agency, 2024)</w:t>
            </w:r>
          </w:p>
        </w:tc>
      </w:tr>
      <w:tr w:rsidR="00F90B6E" w:rsidRPr="007F2A87" w14:paraId="0ADF7E4E" w14:textId="77777777" w:rsidTr="009E45A8">
        <w:tc>
          <w:tcPr>
            <w:tcW w:w="5215" w:type="dxa"/>
            <w:shd w:val="clear" w:color="auto" w:fill="0695E5" w:themeFill="accent3"/>
          </w:tcPr>
          <w:p w14:paraId="27B16D37" w14:textId="1C3E95FC" w:rsidR="00F90B6E" w:rsidRPr="00F90B6E" w:rsidRDefault="00F90B6E" w:rsidP="00F71D1F">
            <w:pPr>
              <w:pStyle w:val="Tabletext"/>
              <w:spacing w:line="240" w:lineRule="auto"/>
              <w:rPr>
                <w:sz w:val="18"/>
                <w:szCs w:val="18"/>
              </w:rPr>
            </w:pPr>
            <w:r w:rsidRPr="00F90B6E">
              <w:rPr>
                <w:sz w:val="18"/>
                <w:szCs w:val="18"/>
              </w:rPr>
              <w:t xml:space="preserve">MY-specific US-sales-weighted avg of conventional hybrid vehicles (all models). MY 2000 value (earliest available) </w:t>
            </w:r>
            <w:proofErr w:type="gramStart"/>
            <w:r w:rsidRPr="00F90B6E">
              <w:rPr>
                <w:sz w:val="18"/>
                <w:szCs w:val="18"/>
              </w:rPr>
              <w:t>used</w:t>
            </w:r>
            <w:proofErr w:type="gramEnd"/>
            <w:r w:rsidRPr="00F90B6E">
              <w:rPr>
                <w:sz w:val="18"/>
                <w:szCs w:val="18"/>
              </w:rPr>
              <w:t xml:space="preserve"> for MY 2000 and earlier years.</w:t>
            </w:r>
          </w:p>
        </w:tc>
        <w:tc>
          <w:tcPr>
            <w:tcW w:w="4158" w:type="dxa"/>
            <w:shd w:val="clear" w:color="auto" w:fill="0695E5" w:themeFill="accent3"/>
          </w:tcPr>
          <w:p w14:paraId="5CB79BC3" w14:textId="08F1302C" w:rsidR="00F90B6E" w:rsidRPr="00F90B6E" w:rsidRDefault="00F90B6E" w:rsidP="00F71D1F">
            <w:pPr>
              <w:pStyle w:val="Tabletext"/>
              <w:spacing w:line="240" w:lineRule="auto"/>
              <w:rPr>
                <w:sz w:val="18"/>
                <w:szCs w:val="18"/>
              </w:rPr>
            </w:pPr>
            <w:r w:rsidRPr="00F90B6E">
              <w:rPr>
                <w:sz w:val="18"/>
                <w:szCs w:val="18"/>
              </w:rPr>
              <w:t>(US Department of Energy, 2020; US Department of Energy &amp; US Environmental Protection Agency, 2024)</w:t>
            </w:r>
          </w:p>
        </w:tc>
      </w:tr>
      <w:tr w:rsidR="00F90B6E" w:rsidRPr="007F2A87" w14:paraId="2723C175" w14:textId="77777777" w:rsidTr="00CB0FF2">
        <w:tc>
          <w:tcPr>
            <w:tcW w:w="5215" w:type="dxa"/>
            <w:shd w:val="clear" w:color="auto" w:fill="A7A7A7" w:themeFill="text2"/>
          </w:tcPr>
          <w:p w14:paraId="3AFD307B" w14:textId="322BA565" w:rsidR="00F90B6E" w:rsidRPr="00F90B6E" w:rsidRDefault="00F90B6E" w:rsidP="00F90B6E">
            <w:pPr>
              <w:pStyle w:val="Tabletext"/>
              <w:rPr>
                <w:sz w:val="18"/>
                <w:szCs w:val="18"/>
              </w:rPr>
            </w:pPr>
            <w:r w:rsidRPr="00F90B6E">
              <w:rPr>
                <w:sz w:val="18"/>
                <w:szCs w:val="18"/>
              </w:rPr>
              <w:t>N/A (assume no savings)</w:t>
            </w:r>
          </w:p>
        </w:tc>
        <w:tc>
          <w:tcPr>
            <w:tcW w:w="4158" w:type="dxa"/>
            <w:shd w:val="clear" w:color="auto" w:fill="A7A7A7" w:themeFill="text2"/>
          </w:tcPr>
          <w:p w14:paraId="1E39B6BA" w14:textId="549B22A3" w:rsidR="00F90B6E" w:rsidRPr="00F90B6E" w:rsidRDefault="00F90B6E" w:rsidP="00F90B6E">
            <w:pPr>
              <w:pStyle w:val="Tabletext"/>
              <w:rPr>
                <w:sz w:val="18"/>
                <w:szCs w:val="18"/>
              </w:rPr>
            </w:pPr>
            <w:r w:rsidRPr="00F90B6E">
              <w:rPr>
                <w:sz w:val="18"/>
                <w:szCs w:val="18"/>
              </w:rPr>
              <w:t>N/A</w:t>
            </w:r>
          </w:p>
        </w:tc>
      </w:tr>
    </w:tbl>
    <w:p w14:paraId="7C15D3A0" w14:textId="7C60661A" w:rsidR="00270BBF" w:rsidRPr="000F6D7D" w:rsidRDefault="00270BBF" w:rsidP="008F1A35">
      <w:pPr>
        <w:spacing w:after="0"/>
        <w:rPr>
          <w:sz w:val="18"/>
          <w:szCs w:val="18"/>
        </w:rPr>
      </w:pP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005"/>
        <w:gridCol w:w="1001"/>
        <w:gridCol w:w="998"/>
        <w:gridCol w:w="998"/>
        <w:gridCol w:w="998"/>
        <w:gridCol w:w="1440"/>
        <w:gridCol w:w="1510"/>
      </w:tblGrid>
      <w:tr w:rsidR="002C3CCE" w:rsidRPr="009F6BA8" w14:paraId="284B58FE" w14:textId="23ED6A29" w:rsidTr="000F6D7D">
        <w:trPr>
          <w:trHeight w:val="20"/>
        </w:trPr>
        <w:tc>
          <w:tcPr>
            <w:tcW w:w="1423" w:type="dxa"/>
            <w:shd w:val="clear" w:color="auto" w:fill="3C3A4C"/>
          </w:tcPr>
          <w:p w14:paraId="1D851257" w14:textId="5F403FA2" w:rsidR="002C3CCE" w:rsidRPr="00714A85" w:rsidRDefault="002C3CCE" w:rsidP="00501328">
            <w:pPr>
              <w:pStyle w:val="Tabletext"/>
              <w:jc w:val="left"/>
              <w:rPr>
                <w:rFonts w:cs="Calibri"/>
                <w:b/>
                <w:bCs/>
                <w:color w:val="FFFFFF" w:themeColor="background1"/>
                <w:sz w:val="18"/>
                <w:szCs w:val="18"/>
              </w:rPr>
            </w:pPr>
            <w:r w:rsidRPr="00714A85">
              <w:rPr>
                <w:rFonts w:cs="Calibri"/>
                <w:b/>
                <w:bCs/>
                <w:color w:val="FFFFFF" w:themeColor="background1"/>
                <w:sz w:val="18"/>
                <w:szCs w:val="18"/>
              </w:rPr>
              <w:t>Model Year</w:t>
            </w:r>
          </w:p>
        </w:tc>
        <w:tc>
          <w:tcPr>
            <w:tcW w:w="1005" w:type="dxa"/>
            <w:tcBorders>
              <w:bottom w:val="single" w:sz="18" w:space="0" w:color="auto"/>
            </w:tcBorders>
            <w:shd w:val="clear" w:color="auto" w:fill="3C3A4C"/>
            <w:vAlign w:val="center"/>
          </w:tcPr>
          <w:p w14:paraId="151D5758" w14:textId="1E8222C4" w:rsidR="002C3CCE" w:rsidRPr="00714A85" w:rsidRDefault="002C3CCE" w:rsidP="00FE3B28">
            <w:pPr>
              <w:pStyle w:val="Tabletext"/>
              <w:jc w:val="center"/>
              <w:rPr>
                <w:rFonts w:cs="Calibri"/>
                <w:b/>
                <w:color w:val="FFFFFF" w:themeColor="background1"/>
                <w:sz w:val="18"/>
                <w:szCs w:val="18"/>
              </w:rPr>
            </w:pPr>
            <w:r w:rsidRPr="00714A85">
              <w:rPr>
                <w:rFonts w:cs="Calibri"/>
                <w:b/>
                <w:color w:val="FFFFFF" w:themeColor="background1"/>
                <w:sz w:val="18"/>
                <w:szCs w:val="18"/>
              </w:rPr>
              <w:t>Gasoline</w:t>
            </w:r>
          </w:p>
        </w:tc>
        <w:tc>
          <w:tcPr>
            <w:tcW w:w="1001" w:type="dxa"/>
            <w:tcBorders>
              <w:bottom w:val="single" w:sz="18" w:space="0" w:color="auto"/>
            </w:tcBorders>
            <w:shd w:val="clear" w:color="auto" w:fill="3C3A4C"/>
            <w:vAlign w:val="center"/>
          </w:tcPr>
          <w:p w14:paraId="21AC863D" w14:textId="7783C1CB" w:rsidR="002C3CCE" w:rsidRPr="00714A85" w:rsidRDefault="002C3CCE" w:rsidP="00FE3B28">
            <w:pPr>
              <w:pStyle w:val="Tabletext"/>
              <w:jc w:val="center"/>
              <w:rPr>
                <w:rFonts w:cs="Calibri"/>
                <w:b/>
                <w:bCs/>
                <w:color w:val="FFFFFF" w:themeColor="background1"/>
                <w:sz w:val="18"/>
                <w:szCs w:val="18"/>
              </w:rPr>
            </w:pPr>
            <w:r w:rsidRPr="00714A85">
              <w:rPr>
                <w:rFonts w:cs="Calibri"/>
                <w:b/>
                <w:bCs/>
                <w:color w:val="FFFFFF" w:themeColor="background1"/>
                <w:sz w:val="18"/>
                <w:szCs w:val="18"/>
              </w:rPr>
              <w:t>Diesel</w:t>
            </w:r>
          </w:p>
        </w:tc>
        <w:tc>
          <w:tcPr>
            <w:tcW w:w="998" w:type="dxa"/>
            <w:tcBorders>
              <w:bottom w:val="single" w:sz="18" w:space="0" w:color="auto"/>
            </w:tcBorders>
            <w:shd w:val="clear" w:color="auto" w:fill="3C3A4C"/>
            <w:vAlign w:val="center"/>
          </w:tcPr>
          <w:p w14:paraId="7D470302" w14:textId="768A15D3" w:rsidR="002C3CCE" w:rsidRPr="00714A85" w:rsidRDefault="002C3CCE" w:rsidP="00FE3B28">
            <w:pPr>
              <w:pStyle w:val="Tabletext"/>
              <w:jc w:val="center"/>
              <w:rPr>
                <w:rFonts w:cs="Calibri"/>
                <w:b/>
                <w:bCs/>
                <w:color w:val="FFFFFF" w:themeColor="background1"/>
                <w:sz w:val="18"/>
                <w:szCs w:val="18"/>
              </w:rPr>
            </w:pPr>
            <w:r w:rsidRPr="00714A85">
              <w:rPr>
                <w:rFonts w:cs="Calibri"/>
                <w:b/>
                <w:bCs/>
                <w:color w:val="FFFFFF" w:themeColor="background1"/>
                <w:sz w:val="18"/>
                <w:szCs w:val="18"/>
              </w:rPr>
              <w:t>HEV</w:t>
            </w:r>
          </w:p>
        </w:tc>
        <w:tc>
          <w:tcPr>
            <w:tcW w:w="998" w:type="dxa"/>
            <w:tcBorders>
              <w:bottom w:val="single" w:sz="18" w:space="0" w:color="auto"/>
            </w:tcBorders>
            <w:shd w:val="clear" w:color="auto" w:fill="3C3A4C"/>
          </w:tcPr>
          <w:p w14:paraId="3D183A56" w14:textId="7DA77382" w:rsidR="002C3CCE" w:rsidRPr="00714A85" w:rsidRDefault="002C3CCE" w:rsidP="00FE3B28">
            <w:pPr>
              <w:pStyle w:val="Tabletext"/>
              <w:jc w:val="center"/>
              <w:rPr>
                <w:rFonts w:cs="Calibri"/>
                <w:b/>
                <w:bCs/>
                <w:color w:val="FFFFFF" w:themeColor="background1"/>
                <w:sz w:val="18"/>
                <w:szCs w:val="18"/>
              </w:rPr>
            </w:pPr>
            <w:r w:rsidRPr="00714A85">
              <w:rPr>
                <w:rFonts w:cs="Calibri"/>
                <w:b/>
                <w:bCs/>
                <w:color w:val="FFFFFF" w:themeColor="background1"/>
                <w:sz w:val="18"/>
                <w:szCs w:val="18"/>
              </w:rPr>
              <w:t>FFV</w:t>
            </w:r>
          </w:p>
        </w:tc>
        <w:tc>
          <w:tcPr>
            <w:tcW w:w="998" w:type="dxa"/>
            <w:tcBorders>
              <w:bottom w:val="single" w:sz="18" w:space="0" w:color="auto"/>
            </w:tcBorders>
            <w:shd w:val="clear" w:color="auto" w:fill="3C3A4C"/>
          </w:tcPr>
          <w:p w14:paraId="23406042" w14:textId="5071C1DA" w:rsidR="002C3CCE" w:rsidRPr="00714A85" w:rsidRDefault="002C3CCE" w:rsidP="00FE3B28">
            <w:pPr>
              <w:pStyle w:val="Tabletext"/>
              <w:jc w:val="center"/>
              <w:rPr>
                <w:rFonts w:cs="Calibri"/>
                <w:b/>
                <w:bCs/>
                <w:color w:val="FFFFFF" w:themeColor="background1"/>
                <w:sz w:val="18"/>
                <w:szCs w:val="18"/>
              </w:rPr>
            </w:pPr>
            <w:r w:rsidRPr="00714A85">
              <w:rPr>
                <w:rFonts w:cs="Calibri"/>
                <w:b/>
                <w:bCs/>
                <w:color w:val="FFFFFF" w:themeColor="background1"/>
                <w:sz w:val="18"/>
                <w:szCs w:val="18"/>
              </w:rPr>
              <w:t>CNG</w:t>
            </w:r>
          </w:p>
        </w:tc>
        <w:tc>
          <w:tcPr>
            <w:tcW w:w="1440" w:type="dxa"/>
            <w:tcBorders>
              <w:bottom w:val="single" w:sz="18" w:space="0" w:color="auto"/>
            </w:tcBorders>
            <w:shd w:val="clear" w:color="auto" w:fill="3C3A4C"/>
          </w:tcPr>
          <w:p w14:paraId="39F15AE8" w14:textId="3442608C" w:rsidR="002C3CCE" w:rsidRPr="00714A85" w:rsidRDefault="002C3CCE" w:rsidP="00FE3B28">
            <w:pPr>
              <w:pStyle w:val="Tabletext"/>
              <w:jc w:val="center"/>
              <w:rPr>
                <w:rFonts w:cs="Calibri"/>
                <w:b/>
                <w:bCs/>
                <w:color w:val="FFFFFF" w:themeColor="background1"/>
                <w:sz w:val="18"/>
                <w:szCs w:val="18"/>
              </w:rPr>
            </w:pPr>
            <w:r w:rsidRPr="00714A85">
              <w:rPr>
                <w:rFonts w:cs="Calibri"/>
                <w:b/>
                <w:bCs/>
                <w:color w:val="FFFFFF" w:themeColor="background1"/>
                <w:sz w:val="18"/>
                <w:szCs w:val="18"/>
              </w:rPr>
              <w:t>Other alt. fuel</w:t>
            </w:r>
          </w:p>
        </w:tc>
        <w:tc>
          <w:tcPr>
            <w:tcW w:w="1510" w:type="dxa"/>
            <w:tcBorders>
              <w:bottom w:val="single" w:sz="18" w:space="0" w:color="auto"/>
            </w:tcBorders>
            <w:shd w:val="clear" w:color="auto" w:fill="3C3A4C"/>
          </w:tcPr>
          <w:p w14:paraId="660E5BB8" w14:textId="5E7F825C" w:rsidR="002C3CCE" w:rsidRPr="00714A85" w:rsidRDefault="003726B0" w:rsidP="00FE3B28">
            <w:pPr>
              <w:pStyle w:val="Tabletext"/>
              <w:jc w:val="center"/>
              <w:rPr>
                <w:rFonts w:cs="Calibri"/>
                <w:b/>
                <w:bCs/>
                <w:color w:val="FFFFFF" w:themeColor="background1"/>
                <w:sz w:val="18"/>
                <w:szCs w:val="18"/>
              </w:rPr>
            </w:pPr>
            <w:r w:rsidRPr="00714A85">
              <w:rPr>
                <w:rFonts w:cs="Calibri"/>
                <w:b/>
                <w:bCs/>
                <w:color w:val="FFFFFF" w:themeColor="background1"/>
                <w:sz w:val="18"/>
                <w:szCs w:val="18"/>
              </w:rPr>
              <w:t>BEV/PHEV/FCEV</w:t>
            </w:r>
          </w:p>
        </w:tc>
      </w:tr>
      <w:tr w:rsidR="007838C4" w14:paraId="31F2FEFE" w14:textId="36B9DB1B" w:rsidTr="000F6D7D">
        <w:trPr>
          <w:trHeight w:val="20"/>
        </w:trPr>
        <w:tc>
          <w:tcPr>
            <w:tcW w:w="1423" w:type="dxa"/>
            <w:tcBorders>
              <w:right w:val="single" w:sz="18" w:space="0" w:color="auto"/>
            </w:tcBorders>
            <w:shd w:val="clear" w:color="auto" w:fill="FFFFFF" w:themeFill="background1"/>
          </w:tcPr>
          <w:p w14:paraId="0D37F1A5" w14:textId="46D74C3B" w:rsidR="007838C4" w:rsidRPr="002C3CCE" w:rsidRDefault="007838C4" w:rsidP="007838C4">
            <w:pPr>
              <w:pStyle w:val="Tabletext"/>
              <w:rPr>
                <w:b/>
                <w:bCs/>
                <w:sz w:val="18"/>
                <w:szCs w:val="18"/>
              </w:rPr>
            </w:pPr>
            <w:r w:rsidRPr="002C3CCE">
              <w:rPr>
                <w:b/>
                <w:bCs/>
                <w:sz w:val="18"/>
                <w:szCs w:val="18"/>
              </w:rPr>
              <w:t>2023</w:t>
            </w:r>
          </w:p>
        </w:tc>
        <w:tc>
          <w:tcPr>
            <w:tcW w:w="1005" w:type="dxa"/>
            <w:tcBorders>
              <w:top w:val="single" w:sz="18" w:space="0" w:color="auto"/>
              <w:left w:val="single" w:sz="18" w:space="0" w:color="auto"/>
              <w:right w:val="single" w:sz="4" w:space="0" w:color="auto"/>
            </w:tcBorders>
            <w:shd w:val="clear" w:color="auto" w:fill="C9EAFD" w:themeFill="accent3" w:themeFillTint="33"/>
          </w:tcPr>
          <w:p w14:paraId="363DFD1E" w14:textId="58CC7B05" w:rsidR="007838C4" w:rsidRPr="007838C4" w:rsidRDefault="007838C4" w:rsidP="007838C4">
            <w:pPr>
              <w:pStyle w:val="Tabletext"/>
              <w:jc w:val="left"/>
              <w:rPr>
                <w:rFonts w:cs="Calibri"/>
                <w:sz w:val="18"/>
                <w:szCs w:val="18"/>
              </w:rPr>
            </w:pPr>
            <w:r w:rsidRPr="007838C4">
              <w:rPr>
                <w:sz w:val="18"/>
                <w:szCs w:val="18"/>
              </w:rPr>
              <w:t>28.4</w:t>
            </w:r>
          </w:p>
        </w:tc>
        <w:tc>
          <w:tcPr>
            <w:tcW w:w="1001" w:type="dxa"/>
            <w:tcBorders>
              <w:top w:val="single" w:sz="18" w:space="0" w:color="auto"/>
              <w:left w:val="single" w:sz="4" w:space="0" w:color="auto"/>
              <w:right w:val="single" w:sz="18" w:space="0" w:color="auto"/>
            </w:tcBorders>
            <w:shd w:val="clear" w:color="auto" w:fill="C9EAFD" w:themeFill="accent3" w:themeFillTint="33"/>
          </w:tcPr>
          <w:p w14:paraId="032427E4" w14:textId="3798424A" w:rsidR="007838C4" w:rsidRPr="007838C4" w:rsidRDefault="007838C4" w:rsidP="007838C4">
            <w:pPr>
              <w:pStyle w:val="Tabletext"/>
              <w:jc w:val="left"/>
              <w:rPr>
                <w:i/>
                <w:iCs/>
                <w:sz w:val="18"/>
                <w:szCs w:val="18"/>
              </w:rPr>
            </w:pPr>
            <w:r w:rsidRPr="007838C4">
              <w:rPr>
                <w:sz w:val="18"/>
                <w:szCs w:val="18"/>
              </w:rPr>
              <w:t>28.4</w:t>
            </w:r>
          </w:p>
        </w:tc>
        <w:tc>
          <w:tcPr>
            <w:tcW w:w="998" w:type="dxa"/>
            <w:tcBorders>
              <w:top w:val="single" w:sz="18" w:space="0" w:color="auto"/>
              <w:left w:val="single" w:sz="18" w:space="0" w:color="auto"/>
            </w:tcBorders>
            <w:shd w:val="clear" w:color="auto" w:fill="5EC2FA" w:themeFill="accent3" w:themeFillTint="99"/>
          </w:tcPr>
          <w:p w14:paraId="1D1B0DF4" w14:textId="6733D1B2" w:rsidR="007838C4" w:rsidRPr="007838C4" w:rsidRDefault="007838C4" w:rsidP="007838C4">
            <w:pPr>
              <w:pStyle w:val="Tabletext"/>
              <w:rPr>
                <w:sz w:val="18"/>
                <w:szCs w:val="18"/>
              </w:rPr>
            </w:pPr>
            <w:r w:rsidRPr="007838C4">
              <w:rPr>
                <w:sz w:val="18"/>
                <w:szCs w:val="18"/>
              </w:rPr>
              <w:t>43.2</w:t>
            </w:r>
          </w:p>
        </w:tc>
        <w:tc>
          <w:tcPr>
            <w:tcW w:w="998" w:type="dxa"/>
            <w:tcBorders>
              <w:top w:val="single" w:sz="18" w:space="0" w:color="auto"/>
            </w:tcBorders>
            <w:shd w:val="clear" w:color="auto" w:fill="5EC2FA" w:themeFill="accent3" w:themeFillTint="99"/>
          </w:tcPr>
          <w:p w14:paraId="17FCED69" w14:textId="4A007813" w:rsidR="007838C4" w:rsidRPr="007838C4" w:rsidRDefault="007838C4" w:rsidP="007838C4">
            <w:pPr>
              <w:pStyle w:val="Tabletext"/>
              <w:rPr>
                <w:sz w:val="18"/>
                <w:szCs w:val="18"/>
              </w:rPr>
            </w:pPr>
            <w:r w:rsidRPr="007838C4">
              <w:rPr>
                <w:sz w:val="18"/>
                <w:szCs w:val="18"/>
              </w:rPr>
              <w:t>43.2</w:t>
            </w:r>
          </w:p>
        </w:tc>
        <w:tc>
          <w:tcPr>
            <w:tcW w:w="998" w:type="dxa"/>
            <w:tcBorders>
              <w:top w:val="single" w:sz="18" w:space="0" w:color="auto"/>
            </w:tcBorders>
            <w:shd w:val="clear" w:color="auto" w:fill="5EC2FA" w:themeFill="accent3" w:themeFillTint="99"/>
          </w:tcPr>
          <w:p w14:paraId="4242D413" w14:textId="0F0B45A6" w:rsidR="007838C4" w:rsidRPr="007838C4" w:rsidRDefault="007838C4" w:rsidP="007838C4">
            <w:pPr>
              <w:pStyle w:val="Tabletext"/>
              <w:rPr>
                <w:sz w:val="18"/>
                <w:szCs w:val="18"/>
              </w:rPr>
            </w:pPr>
            <w:r w:rsidRPr="007838C4">
              <w:rPr>
                <w:sz w:val="18"/>
                <w:szCs w:val="18"/>
              </w:rPr>
              <w:t>43.2</w:t>
            </w:r>
          </w:p>
        </w:tc>
        <w:tc>
          <w:tcPr>
            <w:tcW w:w="1440" w:type="dxa"/>
            <w:tcBorders>
              <w:top w:val="single" w:sz="18" w:space="0" w:color="auto"/>
              <w:right w:val="single" w:sz="18" w:space="0" w:color="auto"/>
            </w:tcBorders>
            <w:shd w:val="clear" w:color="auto" w:fill="5EC2FA" w:themeFill="accent3" w:themeFillTint="99"/>
          </w:tcPr>
          <w:p w14:paraId="6D91EBD6" w14:textId="3E7BB57D" w:rsidR="007838C4" w:rsidRPr="007838C4" w:rsidRDefault="007838C4" w:rsidP="007838C4">
            <w:pPr>
              <w:pStyle w:val="Tabletext"/>
              <w:rPr>
                <w:sz w:val="18"/>
                <w:szCs w:val="18"/>
              </w:rPr>
            </w:pPr>
            <w:r w:rsidRPr="007838C4">
              <w:rPr>
                <w:sz w:val="18"/>
                <w:szCs w:val="18"/>
              </w:rPr>
              <w:t>43.2</w:t>
            </w:r>
          </w:p>
        </w:tc>
        <w:tc>
          <w:tcPr>
            <w:tcW w:w="1510" w:type="dxa"/>
            <w:tcBorders>
              <w:top w:val="single" w:sz="18" w:space="0" w:color="auto"/>
              <w:left w:val="single" w:sz="18" w:space="0" w:color="auto"/>
              <w:right w:val="single" w:sz="18" w:space="0" w:color="auto"/>
            </w:tcBorders>
            <w:shd w:val="clear" w:color="auto" w:fill="A7A7A7" w:themeFill="text2"/>
          </w:tcPr>
          <w:p w14:paraId="131773E7" w14:textId="2B4AF2BF" w:rsidR="007838C4" w:rsidRPr="007F2A87" w:rsidRDefault="007838C4" w:rsidP="007838C4">
            <w:pPr>
              <w:pStyle w:val="Tabletext"/>
              <w:rPr>
                <w:sz w:val="18"/>
                <w:szCs w:val="18"/>
              </w:rPr>
            </w:pPr>
            <w:r w:rsidRPr="007F2A87">
              <w:rPr>
                <w:sz w:val="18"/>
                <w:szCs w:val="18"/>
              </w:rPr>
              <w:t>N/A</w:t>
            </w:r>
          </w:p>
        </w:tc>
      </w:tr>
      <w:tr w:rsidR="007838C4" w14:paraId="1E9FCF3E" w14:textId="549B10D0" w:rsidTr="000F6D7D">
        <w:trPr>
          <w:trHeight w:val="20"/>
        </w:trPr>
        <w:tc>
          <w:tcPr>
            <w:tcW w:w="1423" w:type="dxa"/>
            <w:tcBorders>
              <w:right w:val="single" w:sz="18" w:space="0" w:color="auto"/>
            </w:tcBorders>
            <w:shd w:val="clear" w:color="auto" w:fill="FFFFFF" w:themeFill="background1"/>
          </w:tcPr>
          <w:p w14:paraId="6DA1C616" w14:textId="37FA79CE" w:rsidR="007838C4" w:rsidRPr="002C3CCE" w:rsidRDefault="007838C4" w:rsidP="007838C4">
            <w:pPr>
              <w:pStyle w:val="Tabletext"/>
              <w:rPr>
                <w:rFonts w:cs="Calibri"/>
                <w:b/>
                <w:bCs/>
                <w:sz w:val="18"/>
                <w:szCs w:val="18"/>
              </w:rPr>
            </w:pPr>
            <w:r w:rsidRPr="002C3CCE">
              <w:rPr>
                <w:b/>
                <w:bCs/>
                <w:sz w:val="18"/>
                <w:szCs w:val="18"/>
              </w:rPr>
              <w:t>2022</w:t>
            </w:r>
          </w:p>
        </w:tc>
        <w:tc>
          <w:tcPr>
            <w:tcW w:w="1005" w:type="dxa"/>
            <w:tcBorders>
              <w:left w:val="single" w:sz="18" w:space="0" w:color="auto"/>
            </w:tcBorders>
            <w:shd w:val="clear" w:color="auto" w:fill="C9EAFD" w:themeFill="accent3" w:themeFillTint="33"/>
          </w:tcPr>
          <w:p w14:paraId="72393492" w14:textId="161ED387" w:rsidR="007838C4" w:rsidRPr="007838C4" w:rsidRDefault="007838C4" w:rsidP="007838C4">
            <w:pPr>
              <w:pStyle w:val="Tabletext"/>
              <w:jc w:val="left"/>
              <w:rPr>
                <w:rFonts w:cs="Calibri"/>
                <w:sz w:val="18"/>
                <w:szCs w:val="18"/>
              </w:rPr>
            </w:pPr>
            <w:r w:rsidRPr="007838C4">
              <w:rPr>
                <w:sz w:val="18"/>
                <w:szCs w:val="18"/>
              </w:rPr>
              <w:t>28.3</w:t>
            </w:r>
          </w:p>
        </w:tc>
        <w:tc>
          <w:tcPr>
            <w:tcW w:w="1001" w:type="dxa"/>
            <w:tcBorders>
              <w:right w:val="single" w:sz="18" w:space="0" w:color="auto"/>
            </w:tcBorders>
            <w:shd w:val="clear" w:color="auto" w:fill="C9EAFD" w:themeFill="accent3" w:themeFillTint="33"/>
          </w:tcPr>
          <w:p w14:paraId="17A2CB8A" w14:textId="65ADE943" w:rsidR="007838C4" w:rsidRPr="007838C4" w:rsidRDefault="007838C4" w:rsidP="007838C4">
            <w:pPr>
              <w:pStyle w:val="Tabletext"/>
              <w:jc w:val="left"/>
              <w:rPr>
                <w:rFonts w:cs="Calibri"/>
                <w:sz w:val="18"/>
                <w:szCs w:val="18"/>
              </w:rPr>
            </w:pPr>
            <w:r w:rsidRPr="007838C4">
              <w:rPr>
                <w:sz w:val="18"/>
                <w:szCs w:val="18"/>
              </w:rPr>
              <w:t>28.3</w:t>
            </w:r>
          </w:p>
        </w:tc>
        <w:tc>
          <w:tcPr>
            <w:tcW w:w="998" w:type="dxa"/>
            <w:tcBorders>
              <w:left w:val="single" w:sz="18" w:space="0" w:color="auto"/>
            </w:tcBorders>
            <w:shd w:val="clear" w:color="auto" w:fill="5EC2FA" w:themeFill="accent3" w:themeFillTint="99"/>
          </w:tcPr>
          <w:p w14:paraId="5B672268" w14:textId="6EC40238" w:rsidR="007838C4" w:rsidRPr="007838C4" w:rsidRDefault="007838C4" w:rsidP="007838C4">
            <w:pPr>
              <w:pStyle w:val="Tabletext"/>
              <w:rPr>
                <w:rFonts w:cs="Calibri"/>
                <w:sz w:val="18"/>
                <w:szCs w:val="18"/>
              </w:rPr>
            </w:pPr>
            <w:r w:rsidRPr="007838C4">
              <w:rPr>
                <w:sz w:val="18"/>
                <w:szCs w:val="18"/>
              </w:rPr>
              <w:t>43.5</w:t>
            </w:r>
          </w:p>
        </w:tc>
        <w:tc>
          <w:tcPr>
            <w:tcW w:w="998" w:type="dxa"/>
            <w:shd w:val="clear" w:color="auto" w:fill="5EC2FA" w:themeFill="accent3" w:themeFillTint="99"/>
          </w:tcPr>
          <w:p w14:paraId="446B9AAB" w14:textId="70960BA9" w:rsidR="007838C4" w:rsidRPr="007838C4" w:rsidRDefault="007838C4" w:rsidP="007838C4">
            <w:pPr>
              <w:pStyle w:val="Tabletext"/>
              <w:rPr>
                <w:sz w:val="18"/>
                <w:szCs w:val="18"/>
              </w:rPr>
            </w:pPr>
            <w:r w:rsidRPr="007838C4">
              <w:rPr>
                <w:sz w:val="18"/>
                <w:szCs w:val="18"/>
              </w:rPr>
              <w:t>43.5</w:t>
            </w:r>
          </w:p>
        </w:tc>
        <w:tc>
          <w:tcPr>
            <w:tcW w:w="998" w:type="dxa"/>
            <w:shd w:val="clear" w:color="auto" w:fill="5EC2FA" w:themeFill="accent3" w:themeFillTint="99"/>
          </w:tcPr>
          <w:p w14:paraId="0094A83A" w14:textId="474A5332" w:rsidR="007838C4" w:rsidRPr="007838C4" w:rsidRDefault="007838C4" w:rsidP="007838C4">
            <w:pPr>
              <w:pStyle w:val="Tabletext"/>
              <w:rPr>
                <w:sz w:val="18"/>
                <w:szCs w:val="18"/>
              </w:rPr>
            </w:pPr>
            <w:r w:rsidRPr="007838C4">
              <w:rPr>
                <w:sz w:val="18"/>
                <w:szCs w:val="18"/>
              </w:rPr>
              <w:t>43.5</w:t>
            </w:r>
          </w:p>
        </w:tc>
        <w:tc>
          <w:tcPr>
            <w:tcW w:w="1440" w:type="dxa"/>
            <w:tcBorders>
              <w:right w:val="single" w:sz="18" w:space="0" w:color="auto"/>
            </w:tcBorders>
            <w:shd w:val="clear" w:color="auto" w:fill="5EC2FA" w:themeFill="accent3" w:themeFillTint="99"/>
          </w:tcPr>
          <w:p w14:paraId="171DF238" w14:textId="0966884C" w:rsidR="007838C4" w:rsidRPr="007838C4" w:rsidRDefault="007838C4" w:rsidP="007838C4">
            <w:pPr>
              <w:pStyle w:val="Tabletext"/>
              <w:rPr>
                <w:sz w:val="18"/>
                <w:szCs w:val="18"/>
              </w:rPr>
            </w:pPr>
            <w:r w:rsidRPr="007838C4">
              <w:rPr>
                <w:sz w:val="18"/>
                <w:szCs w:val="18"/>
              </w:rPr>
              <w:t>43.5</w:t>
            </w:r>
          </w:p>
        </w:tc>
        <w:tc>
          <w:tcPr>
            <w:tcW w:w="1510" w:type="dxa"/>
            <w:tcBorders>
              <w:left w:val="single" w:sz="18" w:space="0" w:color="auto"/>
              <w:right w:val="single" w:sz="18" w:space="0" w:color="auto"/>
            </w:tcBorders>
            <w:shd w:val="clear" w:color="auto" w:fill="A7A7A7" w:themeFill="text2"/>
          </w:tcPr>
          <w:p w14:paraId="5BE0EA88" w14:textId="754F43AE" w:rsidR="007838C4" w:rsidRPr="007F2A87" w:rsidRDefault="007838C4" w:rsidP="007838C4">
            <w:pPr>
              <w:pStyle w:val="Tabletext"/>
              <w:rPr>
                <w:sz w:val="18"/>
                <w:szCs w:val="18"/>
              </w:rPr>
            </w:pPr>
            <w:r w:rsidRPr="007F2A87">
              <w:rPr>
                <w:sz w:val="18"/>
                <w:szCs w:val="18"/>
              </w:rPr>
              <w:t>N/A</w:t>
            </w:r>
          </w:p>
        </w:tc>
      </w:tr>
      <w:tr w:rsidR="007838C4" w14:paraId="2E61FB30" w14:textId="223F37CB" w:rsidTr="000F6D7D">
        <w:trPr>
          <w:trHeight w:val="20"/>
        </w:trPr>
        <w:tc>
          <w:tcPr>
            <w:tcW w:w="1423" w:type="dxa"/>
            <w:tcBorders>
              <w:right w:val="single" w:sz="18" w:space="0" w:color="auto"/>
            </w:tcBorders>
            <w:shd w:val="clear" w:color="auto" w:fill="FFFFFF" w:themeFill="background1"/>
          </w:tcPr>
          <w:p w14:paraId="73DE40BB" w14:textId="1AFAF2AE" w:rsidR="007838C4" w:rsidRPr="002C3CCE" w:rsidRDefault="007838C4" w:rsidP="007838C4">
            <w:pPr>
              <w:pStyle w:val="Tabletext"/>
              <w:rPr>
                <w:rFonts w:cs="Calibri"/>
                <w:b/>
                <w:bCs/>
                <w:sz w:val="18"/>
                <w:szCs w:val="18"/>
              </w:rPr>
            </w:pPr>
            <w:r w:rsidRPr="002C3CCE">
              <w:rPr>
                <w:b/>
                <w:bCs/>
                <w:sz w:val="18"/>
                <w:szCs w:val="18"/>
              </w:rPr>
              <w:t>2021</w:t>
            </w:r>
          </w:p>
        </w:tc>
        <w:tc>
          <w:tcPr>
            <w:tcW w:w="1005" w:type="dxa"/>
            <w:tcBorders>
              <w:left w:val="single" w:sz="18" w:space="0" w:color="auto"/>
            </w:tcBorders>
            <w:shd w:val="clear" w:color="auto" w:fill="C9EAFD" w:themeFill="accent3" w:themeFillTint="33"/>
          </w:tcPr>
          <w:p w14:paraId="30664384" w14:textId="13EC4C1B" w:rsidR="007838C4" w:rsidRPr="007838C4" w:rsidRDefault="007838C4" w:rsidP="007838C4">
            <w:pPr>
              <w:pStyle w:val="Tabletext"/>
              <w:jc w:val="left"/>
              <w:rPr>
                <w:rFonts w:cs="Calibri"/>
                <w:sz w:val="18"/>
                <w:szCs w:val="18"/>
              </w:rPr>
            </w:pPr>
            <w:r w:rsidRPr="007838C4">
              <w:rPr>
                <w:sz w:val="18"/>
                <w:szCs w:val="18"/>
              </w:rPr>
              <w:t>28.3</w:t>
            </w:r>
          </w:p>
        </w:tc>
        <w:tc>
          <w:tcPr>
            <w:tcW w:w="1001" w:type="dxa"/>
            <w:tcBorders>
              <w:right w:val="single" w:sz="18" w:space="0" w:color="auto"/>
            </w:tcBorders>
            <w:shd w:val="clear" w:color="auto" w:fill="C9EAFD" w:themeFill="accent3" w:themeFillTint="33"/>
          </w:tcPr>
          <w:p w14:paraId="5E38E2E9" w14:textId="38A3B745" w:rsidR="007838C4" w:rsidRPr="007838C4" w:rsidRDefault="007838C4" w:rsidP="007838C4">
            <w:pPr>
              <w:pStyle w:val="Tabletext"/>
              <w:jc w:val="left"/>
              <w:rPr>
                <w:rFonts w:cs="Calibri"/>
                <w:sz w:val="18"/>
                <w:szCs w:val="18"/>
              </w:rPr>
            </w:pPr>
            <w:r w:rsidRPr="007838C4">
              <w:rPr>
                <w:sz w:val="18"/>
                <w:szCs w:val="18"/>
              </w:rPr>
              <w:t>28.3</w:t>
            </w:r>
          </w:p>
        </w:tc>
        <w:tc>
          <w:tcPr>
            <w:tcW w:w="998" w:type="dxa"/>
            <w:tcBorders>
              <w:left w:val="single" w:sz="18" w:space="0" w:color="auto"/>
            </w:tcBorders>
            <w:shd w:val="clear" w:color="auto" w:fill="5EC2FA" w:themeFill="accent3" w:themeFillTint="99"/>
          </w:tcPr>
          <w:p w14:paraId="4765FB2E" w14:textId="439B325E" w:rsidR="007838C4" w:rsidRPr="007838C4" w:rsidRDefault="007838C4" w:rsidP="007838C4">
            <w:pPr>
              <w:pStyle w:val="Tabletext"/>
              <w:rPr>
                <w:rFonts w:cs="Calibri"/>
                <w:sz w:val="18"/>
                <w:szCs w:val="18"/>
              </w:rPr>
            </w:pPr>
            <w:r w:rsidRPr="007838C4">
              <w:rPr>
                <w:sz w:val="18"/>
                <w:szCs w:val="18"/>
              </w:rPr>
              <w:t>42.1</w:t>
            </w:r>
          </w:p>
        </w:tc>
        <w:tc>
          <w:tcPr>
            <w:tcW w:w="998" w:type="dxa"/>
            <w:shd w:val="clear" w:color="auto" w:fill="5EC2FA" w:themeFill="accent3" w:themeFillTint="99"/>
          </w:tcPr>
          <w:p w14:paraId="4FE02DC8" w14:textId="33E813FF" w:rsidR="007838C4" w:rsidRPr="007838C4" w:rsidRDefault="007838C4" w:rsidP="007838C4">
            <w:pPr>
              <w:pStyle w:val="Tabletext"/>
              <w:rPr>
                <w:sz w:val="18"/>
                <w:szCs w:val="18"/>
              </w:rPr>
            </w:pPr>
            <w:r w:rsidRPr="007838C4">
              <w:rPr>
                <w:sz w:val="18"/>
                <w:szCs w:val="18"/>
              </w:rPr>
              <w:t>42.1</w:t>
            </w:r>
          </w:p>
        </w:tc>
        <w:tc>
          <w:tcPr>
            <w:tcW w:w="998" w:type="dxa"/>
            <w:shd w:val="clear" w:color="auto" w:fill="5EC2FA" w:themeFill="accent3" w:themeFillTint="99"/>
          </w:tcPr>
          <w:p w14:paraId="7DA35933" w14:textId="6953DAED" w:rsidR="007838C4" w:rsidRPr="007838C4" w:rsidRDefault="007838C4" w:rsidP="007838C4">
            <w:pPr>
              <w:pStyle w:val="Tabletext"/>
              <w:rPr>
                <w:sz w:val="18"/>
                <w:szCs w:val="18"/>
              </w:rPr>
            </w:pPr>
            <w:r w:rsidRPr="007838C4">
              <w:rPr>
                <w:sz w:val="18"/>
                <w:szCs w:val="18"/>
              </w:rPr>
              <w:t>42.1</w:t>
            </w:r>
          </w:p>
        </w:tc>
        <w:tc>
          <w:tcPr>
            <w:tcW w:w="1440" w:type="dxa"/>
            <w:tcBorders>
              <w:right w:val="single" w:sz="18" w:space="0" w:color="auto"/>
            </w:tcBorders>
            <w:shd w:val="clear" w:color="auto" w:fill="5EC2FA" w:themeFill="accent3" w:themeFillTint="99"/>
          </w:tcPr>
          <w:p w14:paraId="300CC6BB" w14:textId="5102A644" w:rsidR="007838C4" w:rsidRPr="007838C4" w:rsidRDefault="007838C4" w:rsidP="007838C4">
            <w:pPr>
              <w:pStyle w:val="Tabletext"/>
              <w:rPr>
                <w:sz w:val="18"/>
                <w:szCs w:val="18"/>
              </w:rPr>
            </w:pPr>
            <w:r w:rsidRPr="007838C4">
              <w:rPr>
                <w:sz w:val="18"/>
                <w:szCs w:val="18"/>
              </w:rPr>
              <w:t>42.1</w:t>
            </w:r>
          </w:p>
        </w:tc>
        <w:tc>
          <w:tcPr>
            <w:tcW w:w="1510" w:type="dxa"/>
            <w:tcBorders>
              <w:left w:val="single" w:sz="18" w:space="0" w:color="auto"/>
              <w:right w:val="single" w:sz="18" w:space="0" w:color="auto"/>
            </w:tcBorders>
            <w:shd w:val="clear" w:color="auto" w:fill="A7A7A7" w:themeFill="text2"/>
          </w:tcPr>
          <w:p w14:paraId="6E4C36D8" w14:textId="7CE4502F" w:rsidR="007838C4" w:rsidRPr="007F2A87" w:rsidRDefault="007838C4" w:rsidP="007838C4">
            <w:pPr>
              <w:pStyle w:val="Tabletext"/>
              <w:rPr>
                <w:sz w:val="18"/>
                <w:szCs w:val="18"/>
              </w:rPr>
            </w:pPr>
            <w:r w:rsidRPr="007F2A87">
              <w:rPr>
                <w:sz w:val="18"/>
                <w:szCs w:val="18"/>
              </w:rPr>
              <w:t>N/A</w:t>
            </w:r>
          </w:p>
        </w:tc>
      </w:tr>
      <w:tr w:rsidR="007838C4" w14:paraId="624B4759" w14:textId="2700F43F" w:rsidTr="000F6D7D">
        <w:trPr>
          <w:trHeight w:val="20"/>
        </w:trPr>
        <w:tc>
          <w:tcPr>
            <w:tcW w:w="1423" w:type="dxa"/>
            <w:tcBorders>
              <w:right w:val="single" w:sz="18" w:space="0" w:color="auto"/>
            </w:tcBorders>
            <w:shd w:val="clear" w:color="auto" w:fill="FFFFFF" w:themeFill="background1"/>
          </w:tcPr>
          <w:p w14:paraId="7FEE345B" w14:textId="3E77FD66" w:rsidR="007838C4" w:rsidRPr="002C3CCE" w:rsidRDefault="007838C4" w:rsidP="007838C4">
            <w:pPr>
              <w:pStyle w:val="Tabletext"/>
              <w:rPr>
                <w:rFonts w:cs="Calibri"/>
                <w:b/>
                <w:bCs/>
                <w:sz w:val="18"/>
                <w:szCs w:val="18"/>
              </w:rPr>
            </w:pPr>
            <w:r w:rsidRPr="002C3CCE">
              <w:rPr>
                <w:b/>
                <w:bCs/>
                <w:sz w:val="18"/>
                <w:szCs w:val="18"/>
              </w:rPr>
              <w:t>2020</w:t>
            </w:r>
          </w:p>
        </w:tc>
        <w:tc>
          <w:tcPr>
            <w:tcW w:w="1005" w:type="dxa"/>
            <w:tcBorders>
              <w:left w:val="single" w:sz="18" w:space="0" w:color="auto"/>
            </w:tcBorders>
            <w:shd w:val="clear" w:color="auto" w:fill="C9EAFD" w:themeFill="accent3" w:themeFillTint="33"/>
          </w:tcPr>
          <w:p w14:paraId="705B71AE" w14:textId="472303BB" w:rsidR="007838C4" w:rsidRPr="007838C4" w:rsidRDefault="007838C4" w:rsidP="007838C4">
            <w:pPr>
              <w:pStyle w:val="Tabletext"/>
              <w:jc w:val="left"/>
              <w:rPr>
                <w:rFonts w:cs="Calibri"/>
                <w:sz w:val="18"/>
                <w:szCs w:val="18"/>
              </w:rPr>
            </w:pPr>
            <w:r w:rsidRPr="007838C4">
              <w:rPr>
                <w:sz w:val="18"/>
                <w:szCs w:val="18"/>
              </w:rPr>
              <w:t>29.0</w:t>
            </w:r>
          </w:p>
        </w:tc>
        <w:tc>
          <w:tcPr>
            <w:tcW w:w="1001" w:type="dxa"/>
            <w:tcBorders>
              <w:right w:val="single" w:sz="18" w:space="0" w:color="auto"/>
            </w:tcBorders>
            <w:shd w:val="clear" w:color="auto" w:fill="C9EAFD" w:themeFill="accent3" w:themeFillTint="33"/>
          </w:tcPr>
          <w:p w14:paraId="7F250C54" w14:textId="7892F577" w:rsidR="007838C4" w:rsidRPr="007838C4" w:rsidRDefault="007838C4" w:rsidP="007838C4">
            <w:pPr>
              <w:pStyle w:val="Tabletext"/>
              <w:jc w:val="left"/>
              <w:rPr>
                <w:rFonts w:cs="Calibri"/>
                <w:sz w:val="18"/>
                <w:szCs w:val="18"/>
              </w:rPr>
            </w:pPr>
            <w:r w:rsidRPr="007838C4">
              <w:rPr>
                <w:sz w:val="18"/>
                <w:szCs w:val="18"/>
              </w:rPr>
              <w:t>29.0</w:t>
            </w:r>
          </w:p>
        </w:tc>
        <w:tc>
          <w:tcPr>
            <w:tcW w:w="998" w:type="dxa"/>
            <w:tcBorders>
              <w:left w:val="single" w:sz="18" w:space="0" w:color="auto"/>
            </w:tcBorders>
            <w:shd w:val="clear" w:color="auto" w:fill="5EC2FA" w:themeFill="accent3" w:themeFillTint="99"/>
          </w:tcPr>
          <w:p w14:paraId="4B56F6EA" w14:textId="7B2A14FC" w:rsidR="007838C4" w:rsidRPr="007838C4" w:rsidRDefault="007838C4" w:rsidP="007838C4">
            <w:pPr>
              <w:pStyle w:val="Tabletext"/>
              <w:rPr>
                <w:rFonts w:cs="Calibri"/>
                <w:sz w:val="18"/>
                <w:szCs w:val="18"/>
              </w:rPr>
            </w:pPr>
            <w:r w:rsidRPr="007838C4">
              <w:rPr>
                <w:sz w:val="18"/>
                <w:szCs w:val="18"/>
              </w:rPr>
              <w:t>44.4</w:t>
            </w:r>
          </w:p>
        </w:tc>
        <w:tc>
          <w:tcPr>
            <w:tcW w:w="998" w:type="dxa"/>
            <w:shd w:val="clear" w:color="auto" w:fill="5EC2FA" w:themeFill="accent3" w:themeFillTint="99"/>
          </w:tcPr>
          <w:p w14:paraId="6C9E793A" w14:textId="18740E6C" w:rsidR="007838C4" w:rsidRPr="007838C4" w:rsidRDefault="007838C4" w:rsidP="007838C4">
            <w:pPr>
              <w:pStyle w:val="Tabletext"/>
              <w:rPr>
                <w:sz w:val="18"/>
                <w:szCs w:val="18"/>
              </w:rPr>
            </w:pPr>
            <w:r w:rsidRPr="007838C4">
              <w:rPr>
                <w:sz w:val="18"/>
                <w:szCs w:val="18"/>
              </w:rPr>
              <w:t>44.4</w:t>
            </w:r>
          </w:p>
        </w:tc>
        <w:tc>
          <w:tcPr>
            <w:tcW w:w="998" w:type="dxa"/>
            <w:shd w:val="clear" w:color="auto" w:fill="5EC2FA" w:themeFill="accent3" w:themeFillTint="99"/>
          </w:tcPr>
          <w:p w14:paraId="50B94A5F" w14:textId="3759F6EA" w:rsidR="007838C4" w:rsidRPr="007838C4" w:rsidRDefault="007838C4" w:rsidP="007838C4">
            <w:pPr>
              <w:pStyle w:val="Tabletext"/>
              <w:rPr>
                <w:sz w:val="18"/>
                <w:szCs w:val="18"/>
              </w:rPr>
            </w:pPr>
            <w:r w:rsidRPr="007838C4">
              <w:rPr>
                <w:sz w:val="18"/>
                <w:szCs w:val="18"/>
              </w:rPr>
              <w:t>44.4</w:t>
            </w:r>
          </w:p>
        </w:tc>
        <w:tc>
          <w:tcPr>
            <w:tcW w:w="1440" w:type="dxa"/>
            <w:tcBorders>
              <w:right w:val="single" w:sz="18" w:space="0" w:color="auto"/>
            </w:tcBorders>
            <w:shd w:val="clear" w:color="auto" w:fill="5EC2FA" w:themeFill="accent3" w:themeFillTint="99"/>
          </w:tcPr>
          <w:p w14:paraId="58062C60" w14:textId="116232E5" w:rsidR="007838C4" w:rsidRPr="007838C4" w:rsidRDefault="007838C4" w:rsidP="007838C4">
            <w:pPr>
              <w:pStyle w:val="Tabletext"/>
              <w:rPr>
                <w:sz w:val="18"/>
                <w:szCs w:val="18"/>
              </w:rPr>
            </w:pPr>
            <w:r w:rsidRPr="007838C4">
              <w:rPr>
                <w:sz w:val="18"/>
                <w:szCs w:val="18"/>
              </w:rPr>
              <w:t>44.4</w:t>
            </w:r>
          </w:p>
        </w:tc>
        <w:tc>
          <w:tcPr>
            <w:tcW w:w="1510" w:type="dxa"/>
            <w:tcBorders>
              <w:left w:val="single" w:sz="18" w:space="0" w:color="auto"/>
              <w:right w:val="single" w:sz="18" w:space="0" w:color="auto"/>
            </w:tcBorders>
            <w:shd w:val="clear" w:color="auto" w:fill="A7A7A7" w:themeFill="text2"/>
          </w:tcPr>
          <w:p w14:paraId="6AA6E50F" w14:textId="5DE52384" w:rsidR="007838C4" w:rsidRPr="007F2A87" w:rsidRDefault="007838C4" w:rsidP="007838C4">
            <w:pPr>
              <w:pStyle w:val="Tabletext"/>
              <w:rPr>
                <w:sz w:val="18"/>
                <w:szCs w:val="18"/>
              </w:rPr>
            </w:pPr>
            <w:r w:rsidRPr="007F2A87">
              <w:rPr>
                <w:sz w:val="18"/>
                <w:szCs w:val="18"/>
              </w:rPr>
              <w:t>N/A</w:t>
            </w:r>
          </w:p>
        </w:tc>
      </w:tr>
      <w:tr w:rsidR="007838C4" w:rsidRPr="006F44F5" w14:paraId="0954F1AA" w14:textId="27CACB14" w:rsidTr="000F6D7D">
        <w:trPr>
          <w:trHeight w:val="20"/>
        </w:trPr>
        <w:tc>
          <w:tcPr>
            <w:tcW w:w="1423" w:type="dxa"/>
            <w:tcBorders>
              <w:right w:val="single" w:sz="18" w:space="0" w:color="auto"/>
            </w:tcBorders>
            <w:shd w:val="clear" w:color="auto" w:fill="FFFFFF" w:themeFill="background1"/>
          </w:tcPr>
          <w:p w14:paraId="7CFD0116" w14:textId="05EDE7D1" w:rsidR="007838C4" w:rsidRPr="002C3CCE" w:rsidRDefault="007838C4" w:rsidP="007838C4">
            <w:pPr>
              <w:pStyle w:val="Tabletext"/>
              <w:rPr>
                <w:rFonts w:cs="Calibri"/>
                <w:b/>
                <w:bCs/>
                <w:sz w:val="18"/>
                <w:szCs w:val="18"/>
              </w:rPr>
            </w:pPr>
            <w:r w:rsidRPr="002C3CCE">
              <w:rPr>
                <w:b/>
                <w:bCs/>
                <w:sz w:val="18"/>
                <w:szCs w:val="18"/>
              </w:rPr>
              <w:t>2019</w:t>
            </w:r>
          </w:p>
        </w:tc>
        <w:tc>
          <w:tcPr>
            <w:tcW w:w="1005" w:type="dxa"/>
            <w:tcBorders>
              <w:left w:val="single" w:sz="18" w:space="0" w:color="auto"/>
            </w:tcBorders>
            <w:shd w:val="clear" w:color="auto" w:fill="C9EAFD" w:themeFill="accent3" w:themeFillTint="33"/>
          </w:tcPr>
          <w:p w14:paraId="111FAE71" w14:textId="6C17C249" w:rsidR="007838C4" w:rsidRPr="007838C4" w:rsidRDefault="007838C4" w:rsidP="007838C4">
            <w:pPr>
              <w:pStyle w:val="Tabletext"/>
              <w:jc w:val="left"/>
              <w:rPr>
                <w:rFonts w:cs="Calibri"/>
                <w:sz w:val="18"/>
                <w:szCs w:val="18"/>
              </w:rPr>
            </w:pPr>
            <w:r w:rsidRPr="007838C4">
              <w:rPr>
                <w:sz w:val="18"/>
                <w:szCs w:val="18"/>
              </w:rPr>
              <w:t>28.8</w:t>
            </w:r>
          </w:p>
        </w:tc>
        <w:tc>
          <w:tcPr>
            <w:tcW w:w="1001" w:type="dxa"/>
            <w:tcBorders>
              <w:right w:val="single" w:sz="18" w:space="0" w:color="auto"/>
            </w:tcBorders>
            <w:shd w:val="clear" w:color="auto" w:fill="C9EAFD" w:themeFill="accent3" w:themeFillTint="33"/>
          </w:tcPr>
          <w:p w14:paraId="0773EBDD" w14:textId="266A97D2" w:rsidR="007838C4" w:rsidRPr="007838C4" w:rsidRDefault="007838C4" w:rsidP="007838C4">
            <w:pPr>
              <w:pStyle w:val="Tabletext"/>
              <w:jc w:val="left"/>
              <w:rPr>
                <w:rFonts w:cs="Calibri"/>
                <w:sz w:val="18"/>
                <w:szCs w:val="18"/>
              </w:rPr>
            </w:pPr>
            <w:r w:rsidRPr="007838C4">
              <w:rPr>
                <w:sz w:val="18"/>
                <w:szCs w:val="18"/>
              </w:rPr>
              <w:t>28.8</w:t>
            </w:r>
          </w:p>
        </w:tc>
        <w:tc>
          <w:tcPr>
            <w:tcW w:w="998" w:type="dxa"/>
            <w:tcBorders>
              <w:left w:val="single" w:sz="18" w:space="0" w:color="auto"/>
            </w:tcBorders>
            <w:shd w:val="clear" w:color="auto" w:fill="5EC2FA" w:themeFill="accent3" w:themeFillTint="99"/>
          </w:tcPr>
          <w:p w14:paraId="052C235A" w14:textId="0DDFF213" w:rsidR="007838C4" w:rsidRPr="007838C4" w:rsidRDefault="007838C4" w:rsidP="007838C4">
            <w:pPr>
              <w:pStyle w:val="Tabletext"/>
              <w:rPr>
                <w:rFonts w:cs="Calibri"/>
                <w:sz w:val="18"/>
                <w:szCs w:val="18"/>
              </w:rPr>
            </w:pPr>
            <w:r w:rsidRPr="007838C4">
              <w:rPr>
                <w:sz w:val="18"/>
                <w:szCs w:val="18"/>
              </w:rPr>
              <w:t>44.9</w:t>
            </w:r>
          </w:p>
        </w:tc>
        <w:tc>
          <w:tcPr>
            <w:tcW w:w="998" w:type="dxa"/>
            <w:shd w:val="clear" w:color="auto" w:fill="5EC2FA" w:themeFill="accent3" w:themeFillTint="99"/>
          </w:tcPr>
          <w:p w14:paraId="66CBF63A" w14:textId="635683F0" w:rsidR="007838C4" w:rsidRPr="007838C4" w:rsidRDefault="007838C4" w:rsidP="007838C4">
            <w:pPr>
              <w:pStyle w:val="Tabletext"/>
              <w:rPr>
                <w:sz w:val="18"/>
                <w:szCs w:val="18"/>
              </w:rPr>
            </w:pPr>
            <w:r w:rsidRPr="007838C4">
              <w:rPr>
                <w:sz w:val="18"/>
                <w:szCs w:val="18"/>
              </w:rPr>
              <w:t>44.9</w:t>
            </w:r>
          </w:p>
        </w:tc>
        <w:tc>
          <w:tcPr>
            <w:tcW w:w="998" w:type="dxa"/>
            <w:shd w:val="clear" w:color="auto" w:fill="5EC2FA" w:themeFill="accent3" w:themeFillTint="99"/>
          </w:tcPr>
          <w:p w14:paraId="1569D86C" w14:textId="09108181" w:rsidR="007838C4" w:rsidRPr="007838C4" w:rsidRDefault="007838C4" w:rsidP="007838C4">
            <w:pPr>
              <w:pStyle w:val="Tabletext"/>
              <w:rPr>
                <w:sz w:val="18"/>
                <w:szCs w:val="18"/>
              </w:rPr>
            </w:pPr>
            <w:r w:rsidRPr="007838C4">
              <w:rPr>
                <w:sz w:val="18"/>
                <w:szCs w:val="18"/>
              </w:rPr>
              <w:t>44.9</w:t>
            </w:r>
          </w:p>
        </w:tc>
        <w:tc>
          <w:tcPr>
            <w:tcW w:w="1440" w:type="dxa"/>
            <w:tcBorders>
              <w:right w:val="single" w:sz="18" w:space="0" w:color="auto"/>
            </w:tcBorders>
            <w:shd w:val="clear" w:color="auto" w:fill="5EC2FA" w:themeFill="accent3" w:themeFillTint="99"/>
          </w:tcPr>
          <w:p w14:paraId="6E8AEC68" w14:textId="5944FA3E" w:rsidR="007838C4" w:rsidRPr="007838C4" w:rsidRDefault="007838C4" w:rsidP="007838C4">
            <w:pPr>
              <w:pStyle w:val="Tabletext"/>
              <w:rPr>
                <w:sz w:val="18"/>
                <w:szCs w:val="18"/>
              </w:rPr>
            </w:pPr>
            <w:r w:rsidRPr="007838C4">
              <w:rPr>
                <w:sz w:val="18"/>
                <w:szCs w:val="18"/>
              </w:rPr>
              <w:t>44.9</w:t>
            </w:r>
          </w:p>
        </w:tc>
        <w:tc>
          <w:tcPr>
            <w:tcW w:w="1510" w:type="dxa"/>
            <w:tcBorders>
              <w:left w:val="single" w:sz="18" w:space="0" w:color="auto"/>
              <w:right w:val="single" w:sz="18" w:space="0" w:color="auto"/>
            </w:tcBorders>
            <w:shd w:val="clear" w:color="auto" w:fill="A7A7A7" w:themeFill="text2"/>
          </w:tcPr>
          <w:p w14:paraId="29DD8407" w14:textId="3A907651" w:rsidR="007838C4" w:rsidRPr="007F2A87" w:rsidRDefault="007838C4" w:rsidP="007838C4">
            <w:pPr>
              <w:pStyle w:val="Tabletext"/>
              <w:rPr>
                <w:sz w:val="18"/>
                <w:szCs w:val="18"/>
              </w:rPr>
            </w:pPr>
            <w:r w:rsidRPr="007F2A87">
              <w:rPr>
                <w:sz w:val="18"/>
                <w:szCs w:val="18"/>
              </w:rPr>
              <w:t>N/A</w:t>
            </w:r>
          </w:p>
        </w:tc>
      </w:tr>
      <w:tr w:rsidR="007838C4" w:rsidRPr="006F44F5" w14:paraId="3E8EDFA4" w14:textId="74B355C8" w:rsidTr="000F6D7D">
        <w:trPr>
          <w:trHeight w:val="20"/>
        </w:trPr>
        <w:tc>
          <w:tcPr>
            <w:tcW w:w="1423" w:type="dxa"/>
            <w:tcBorders>
              <w:right w:val="single" w:sz="18" w:space="0" w:color="auto"/>
            </w:tcBorders>
            <w:shd w:val="clear" w:color="auto" w:fill="FFFFFF" w:themeFill="background1"/>
          </w:tcPr>
          <w:p w14:paraId="1AC7C28E" w14:textId="26C5F5BF" w:rsidR="007838C4" w:rsidRPr="002C3CCE" w:rsidRDefault="007838C4" w:rsidP="007838C4">
            <w:pPr>
              <w:pStyle w:val="Tabletext"/>
              <w:rPr>
                <w:rFonts w:cs="Calibri"/>
                <w:b/>
                <w:bCs/>
                <w:sz w:val="18"/>
                <w:szCs w:val="18"/>
              </w:rPr>
            </w:pPr>
            <w:r w:rsidRPr="002C3CCE">
              <w:rPr>
                <w:b/>
                <w:bCs/>
                <w:sz w:val="18"/>
                <w:szCs w:val="18"/>
              </w:rPr>
              <w:t>2018</w:t>
            </w:r>
          </w:p>
        </w:tc>
        <w:tc>
          <w:tcPr>
            <w:tcW w:w="1005" w:type="dxa"/>
            <w:tcBorders>
              <w:left w:val="single" w:sz="18" w:space="0" w:color="auto"/>
            </w:tcBorders>
            <w:shd w:val="clear" w:color="auto" w:fill="C9EAFD" w:themeFill="accent3" w:themeFillTint="33"/>
          </w:tcPr>
          <w:p w14:paraId="7C7F731C" w14:textId="47E440AD" w:rsidR="007838C4" w:rsidRPr="007838C4" w:rsidRDefault="007838C4" w:rsidP="007838C4">
            <w:pPr>
              <w:pStyle w:val="Tabletext"/>
              <w:jc w:val="left"/>
              <w:rPr>
                <w:rFonts w:cs="Calibri"/>
                <w:sz w:val="18"/>
                <w:szCs w:val="18"/>
              </w:rPr>
            </w:pPr>
            <w:r w:rsidRPr="007838C4">
              <w:rPr>
                <w:sz w:val="18"/>
                <w:szCs w:val="18"/>
              </w:rPr>
              <w:t>28.6</w:t>
            </w:r>
          </w:p>
        </w:tc>
        <w:tc>
          <w:tcPr>
            <w:tcW w:w="1001" w:type="dxa"/>
            <w:tcBorders>
              <w:right w:val="single" w:sz="18" w:space="0" w:color="auto"/>
            </w:tcBorders>
            <w:shd w:val="clear" w:color="auto" w:fill="C9EAFD" w:themeFill="accent3" w:themeFillTint="33"/>
          </w:tcPr>
          <w:p w14:paraId="406FFBD9" w14:textId="718443AC" w:rsidR="007838C4" w:rsidRPr="007838C4" w:rsidRDefault="007838C4" w:rsidP="007838C4">
            <w:pPr>
              <w:pStyle w:val="Tabletext"/>
              <w:jc w:val="left"/>
              <w:rPr>
                <w:rFonts w:cs="Calibri"/>
                <w:sz w:val="18"/>
                <w:szCs w:val="18"/>
              </w:rPr>
            </w:pPr>
            <w:r w:rsidRPr="007838C4">
              <w:rPr>
                <w:sz w:val="18"/>
                <w:szCs w:val="18"/>
              </w:rPr>
              <w:t>28.6</w:t>
            </w:r>
          </w:p>
        </w:tc>
        <w:tc>
          <w:tcPr>
            <w:tcW w:w="998" w:type="dxa"/>
            <w:tcBorders>
              <w:left w:val="single" w:sz="18" w:space="0" w:color="auto"/>
            </w:tcBorders>
            <w:shd w:val="clear" w:color="auto" w:fill="5EC2FA" w:themeFill="accent3" w:themeFillTint="99"/>
          </w:tcPr>
          <w:p w14:paraId="231D8548" w14:textId="7BB488E8" w:rsidR="007838C4" w:rsidRPr="007838C4" w:rsidRDefault="007838C4" w:rsidP="007838C4">
            <w:pPr>
              <w:pStyle w:val="Tabletext"/>
              <w:rPr>
                <w:rFonts w:cs="Calibri"/>
                <w:sz w:val="18"/>
                <w:szCs w:val="18"/>
              </w:rPr>
            </w:pPr>
            <w:r w:rsidRPr="007838C4">
              <w:rPr>
                <w:sz w:val="18"/>
                <w:szCs w:val="18"/>
              </w:rPr>
              <w:t>44.3</w:t>
            </w:r>
          </w:p>
        </w:tc>
        <w:tc>
          <w:tcPr>
            <w:tcW w:w="998" w:type="dxa"/>
            <w:shd w:val="clear" w:color="auto" w:fill="5EC2FA" w:themeFill="accent3" w:themeFillTint="99"/>
          </w:tcPr>
          <w:p w14:paraId="4E6C6E5E" w14:textId="57F52C08" w:rsidR="007838C4" w:rsidRPr="007838C4" w:rsidRDefault="007838C4" w:rsidP="007838C4">
            <w:pPr>
              <w:pStyle w:val="Tabletext"/>
              <w:rPr>
                <w:sz w:val="18"/>
                <w:szCs w:val="18"/>
              </w:rPr>
            </w:pPr>
            <w:r w:rsidRPr="007838C4">
              <w:rPr>
                <w:sz w:val="18"/>
                <w:szCs w:val="18"/>
              </w:rPr>
              <w:t>44.3</w:t>
            </w:r>
          </w:p>
        </w:tc>
        <w:tc>
          <w:tcPr>
            <w:tcW w:w="998" w:type="dxa"/>
            <w:shd w:val="clear" w:color="auto" w:fill="5EC2FA" w:themeFill="accent3" w:themeFillTint="99"/>
          </w:tcPr>
          <w:p w14:paraId="6AC7D18F" w14:textId="73A72391" w:rsidR="007838C4" w:rsidRPr="007838C4" w:rsidRDefault="007838C4" w:rsidP="007838C4">
            <w:pPr>
              <w:pStyle w:val="Tabletext"/>
              <w:rPr>
                <w:sz w:val="18"/>
                <w:szCs w:val="18"/>
              </w:rPr>
            </w:pPr>
            <w:r w:rsidRPr="007838C4">
              <w:rPr>
                <w:sz w:val="18"/>
                <w:szCs w:val="18"/>
              </w:rPr>
              <w:t>44.3</w:t>
            </w:r>
          </w:p>
        </w:tc>
        <w:tc>
          <w:tcPr>
            <w:tcW w:w="1440" w:type="dxa"/>
            <w:tcBorders>
              <w:right w:val="single" w:sz="18" w:space="0" w:color="auto"/>
            </w:tcBorders>
            <w:shd w:val="clear" w:color="auto" w:fill="5EC2FA" w:themeFill="accent3" w:themeFillTint="99"/>
          </w:tcPr>
          <w:p w14:paraId="4ABC83A5" w14:textId="6E0C6AC2" w:rsidR="007838C4" w:rsidRPr="007838C4" w:rsidRDefault="007838C4" w:rsidP="007838C4">
            <w:pPr>
              <w:pStyle w:val="Tabletext"/>
              <w:rPr>
                <w:sz w:val="18"/>
                <w:szCs w:val="18"/>
              </w:rPr>
            </w:pPr>
            <w:r w:rsidRPr="007838C4">
              <w:rPr>
                <w:sz w:val="18"/>
                <w:szCs w:val="18"/>
              </w:rPr>
              <w:t>44.3</w:t>
            </w:r>
          </w:p>
        </w:tc>
        <w:tc>
          <w:tcPr>
            <w:tcW w:w="1510" w:type="dxa"/>
            <w:tcBorders>
              <w:left w:val="single" w:sz="18" w:space="0" w:color="auto"/>
              <w:right w:val="single" w:sz="18" w:space="0" w:color="auto"/>
            </w:tcBorders>
            <w:shd w:val="clear" w:color="auto" w:fill="A7A7A7" w:themeFill="text2"/>
          </w:tcPr>
          <w:p w14:paraId="1EEEE2DA" w14:textId="5317C276" w:rsidR="007838C4" w:rsidRPr="007F2A87" w:rsidRDefault="007838C4" w:rsidP="007838C4">
            <w:pPr>
              <w:pStyle w:val="Tabletext"/>
              <w:rPr>
                <w:sz w:val="18"/>
                <w:szCs w:val="18"/>
              </w:rPr>
            </w:pPr>
            <w:r w:rsidRPr="007F2A87">
              <w:rPr>
                <w:sz w:val="18"/>
                <w:szCs w:val="18"/>
              </w:rPr>
              <w:t>N/A</w:t>
            </w:r>
          </w:p>
        </w:tc>
      </w:tr>
      <w:tr w:rsidR="007838C4" w14:paraId="6E1C6CB0" w14:textId="656B5F1E" w:rsidTr="000F6D7D">
        <w:trPr>
          <w:trHeight w:val="20"/>
        </w:trPr>
        <w:tc>
          <w:tcPr>
            <w:tcW w:w="1423" w:type="dxa"/>
            <w:tcBorders>
              <w:right w:val="single" w:sz="18" w:space="0" w:color="auto"/>
            </w:tcBorders>
            <w:shd w:val="clear" w:color="auto" w:fill="FFFFFF" w:themeFill="background1"/>
          </w:tcPr>
          <w:p w14:paraId="0A26712C" w14:textId="02961E51" w:rsidR="007838C4" w:rsidRPr="002C3CCE" w:rsidRDefault="007838C4" w:rsidP="007838C4">
            <w:pPr>
              <w:pStyle w:val="Tabletext"/>
              <w:rPr>
                <w:rFonts w:cs="Calibri"/>
                <w:b/>
                <w:bCs/>
                <w:sz w:val="18"/>
                <w:szCs w:val="18"/>
              </w:rPr>
            </w:pPr>
            <w:r w:rsidRPr="002C3CCE">
              <w:rPr>
                <w:b/>
                <w:bCs/>
                <w:sz w:val="18"/>
                <w:szCs w:val="18"/>
              </w:rPr>
              <w:t>2017</w:t>
            </w:r>
          </w:p>
        </w:tc>
        <w:tc>
          <w:tcPr>
            <w:tcW w:w="1005" w:type="dxa"/>
            <w:tcBorders>
              <w:left w:val="single" w:sz="18" w:space="0" w:color="auto"/>
            </w:tcBorders>
            <w:shd w:val="clear" w:color="auto" w:fill="C9EAFD" w:themeFill="accent3" w:themeFillTint="33"/>
          </w:tcPr>
          <w:p w14:paraId="7FD0493F" w14:textId="5D6AC7FF" w:rsidR="007838C4" w:rsidRPr="007838C4" w:rsidRDefault="007838C4" w:rsidP="007838C4">
            <w:pPr>
              <w:pStyle w:val="Tabletext"/>
              <w:jc w:val="left"/>
              <w:rPr>
                <w:rFonts w:cs="Calibri"/>
                <w:sz w:val="18"/>
                <w:szCs w:val="18"/>
              </w:rPr>
            </w:pPr>
            <w:r w:rsidRPr="007838C4">
              <w:rPr>
                <w:sz w:val="18"/>
                <w:szCs w:val="18"/>
              </w:rPr>
              <w:t>28.4</w:t>
            </w:r>
          </w:p>
        </w:tc>
        <w:tc>
          <w:tcPr>
            <w:tcW w:w="1001" w:type="dxa"/>
            <w:tcBorders>
              <w:right w:val="single" w:sz="18" w:space="0" w:color="auto"/>
            </w:tcBorders>
            <w:shd w:val="clear" w:color="auto" w:fill="C9EAFD" w:themeFill="accent3" w:themeFillTint="33"/>
          </w:tcPr>
          <w:p w14:paraId="7496F2CA" w14:textId="37882C19" w:rsidR="007838C4" w:rsidRPr="007838C4" w:rsidRDefault="007838C4" w:rsidP="007838C4">
            <w:pPr>
              <w:pStyle w:val="Tabletext"/>
              <w:jc w:val="left"/>
              <w:rPr>
                <w:rFonts w:cs="Calibri"/>
                <w:sz w:val="18"/>
                <w:szCs w:val="18"/>
              </w:rPr>
            </w:pPr>
            <w:r w:rsidRPr="007838C4">
              <w:rPr>
                <w:sz w:val="18"/>
                <w:szCs w:val="18"/>
              </w:rPr>
              <w:t>28.4</w:t>
            </w:r>
          </w:p>
        </w:tc>
        <w:tc>
          <w:tcPr>
            <w:tcW w:w="998" w:type="dxa"/>
            <w:tcBorders>
              <w:left w:val="single" w:sz="18" w:space="0" w:color="auto"/>
            </w:tcBorders>
            <w:shd w:val="clear" w:color="auto" w:fill="5EC2FA" w:themeFill="accent3" w:themeFillTint="99"/>
          </w:tcPr>
          <w:p w14:paraId="5DED27CB" w14:textId="5AAFD01E" w:rsidR="007838C4" w:rsidRPr="007838C4" w:rsidRDefault="007838C4" w:rsidP="007838C4">
            <w:pPr>
              <w:pStyle w:val="Tabletext"/>
              <w:rPr>
                <w:rFonts w:cs="Calibri"/>
                <w:sz w:val="18"/>
                <w:szCs w:val="18"/>
              </w:rPr>
            </w:pPr>
            <w:r w:rsidRPr="007838C4">
              <w:rPr>
                <w:sz w:val="18"/>
                <w:szCs w:val="18"/>
              </w:rPr>
              <w:t>44.9</w:t>
            </w:r>
          </w:p>
        </w:tc>
        <w:tc>
          <w:tcPr>
            <w:tcW w:w="998" w:type="dxa"/>
            <w:shd w:val="clear" w:color="auto" w:fill="5EC2FA" w:themeFill="accent3" w:themeFillTint="99"/>
          </w:tcPr>
          <w:p w14:paraId="31BCEDA7" w14:textId="25CFE272" w:rsidR="007838C4" w:rsidRPr="007838C4" w:rsidRDefault="007838C4" w:rsidP="007838C4">
            <w:pPr>
              <w:pStyle w:val="Tabletext"/>
              <w:rPr>
                <w:sz w:val="18"/>
                <w:szCs w:val="18"/>
              </w:rPr>
            </w:pPr>
            <w:r w:rsidRPr="007838C4">
              <w:rPr>
                <w:sz w:val="18"/>
                <w:szCs w:val="18"/>
              </w:rPr>
              <w:t>44.9</w:t>
            </w:r>
          </w:p>
        </w:tc>
        <w:tc>
          <w:tcPr>
            <w:tcW w:w="998" w:type="dxa"/>
            <w:shd w:val="clear" w:color="auto" w:fill="5EC2FA" w:themeFill="accent3" w:themeFillTint="99"/>
          </w:tcPr>
          <w:p w14:paraId="607B8C12" w14:textId="332EF732" w:rsidR="007838C4" w:rsidRPr="007838C4" w:rsidRDefault="007838C4" w:rsidP="007838C4">
            <w:pPr>
              <w:pStyle w:val="Tabletext"/>
              <w:rPr>
                <w:sz w:val="18"/>
                <w:szCs w:val="18"/>
              </w:rPr>
            </w:pPr>
            <w:r w:rsidRPr="007838C4">
              <w:rPr>
                <w:sz w:val="18"/>
                <w:szCs w:val="18"/>
              </w:rPr>
              <w:t>44.9</w:t>
            </w:r>
          </w:p>
        </w:tc>
        <w:tc>
          <w:tcPr>
            <w:tcW w:w="1440" w:type="dxa"/>
            <w:tcBorders>
              <w:right w:val="single" w:sz="18" w:space="0" w:color="auto"/>
            </w:tcBorders>
            <w:shd w:val="clear" w:color="auto" w:fill="5EC2FA" w:themeFill="accent3" w:themeFillTint="99"/>
          </w:tcPr>
          <w:p w14:paraId="72589E76" w14:textId="2BCE1374" w:rsidR="007838C4" w:rsidRPr="007838C4" w:rsidRDefault="007838C4" w:rsidP="007838C4">
            <w:pPr>
              <w:pStyle w:val="Tabletext"/>
              <w:rPr>
                <w:sz w:val="18"/>
                <w:szCs w:val="18"/>
              </w:rPr>
            </w:pPr>
            <w:r w:rsidRPr="007838C4">
              <w:rPr>
                <w:sz w:val="18"/>
                <w:szCs w:val="18"/>
              </w:rPr>
              <w:t>44.9</w:t>
            </w:r>
          </w:p>
        </w:tc>
        <w:tc>
          <w:tcPr>
            <w:tcW w:w="1510" w:type="dxa"/>
            <w:tcBorders>
              <w:left w:val="single" w:sz="18" w:space="0" w:color="auto"/>
              <w:right w:val="single" w:sz="18" w:space="0" w:color="auto"/>
            </w:tcBorders>
            <w:shd w:val="clear" w:color="auto" w:fill="A7A7A7" w:themeFill="text2"/>
          </w:tcPr>
          <w:p w14:paraId="632CF3DD" w14:textId="518C1C2E" w:rsidR="007838C4" w:rsidRPr="007F2A87" w:rsidRDefault="007838C4" w:rsidP="007838C4">
            <w:pPr>
              <w:pStyle w:val="Tabletext"/>
              <w:rPr>
                <w:sz w:val="18"/>
                <w:szCs w:val="18"/>
              </w:rPr>
            </w:pPr>
            <w:r w:rsidRPr="007F2A87">
              <w:rPr>
                <w:sz w:val="18"/>
                <w:szCs w:val="18"/>
              </w:rPr>
              <w:t>N/A</w:t>
            </w:r>
          </w:p>
        </w:tc>
      </w:tr>
      <w:tr w:rsidR="007838C4" w:rsidRPr="006F44F5" w14:paraId="1E256125" w14:textId="707D0F94" w:rsidTr="000F6D7D">
        <w:trPr>
          <w:trHeight w:val="20"/>
        </w:trPr>
        <w:tc>
          <w:tcPr>
            <w:tcW w:w="1423" w:type="dxa"/>
            <w:tcBorders>
              <w:right w:val="single" w:sz="18" w:space="0" w:color="auto"/>
            </w:tcBorders>
            <w:shd w:val="clear" w:color="auto" w:fill="FFFFFF" w:themeFill="background1"/>
          </w:tcPr>
          <w:p w14:paraId="538282E3" w14:textId="60A0BFBB" w:rsidR="007838C4" w:rsidRPr="002C3CCE" w:rsidRDefault="007838C4" w:rsidP="007838C4">
            <w:pPr>
              <w:pStyle w:val="Tabletext"/>
              <w:rPr>
                <w:rFonts w:cs="Calibri"/>
                <w:b/>
                <w:bCs/>
                <w:sz w:val="18"/>
                <w:szCs w:val="18"/>
              </w:rPr>
            </w:pPr>
            <w:r w:rsidRPr="002C3CCE">
              <w:rPr>
                <w:b/>
                <w:bCs/>
                <w:sz w:val="18"/>
                <w:szCs w:val="18"/>
              </w:rPr>
              <w:t>2016</w:t>
            </w:r>
          </w:p>
        </w:tc>
        <w:tc>
          <w:tcPr>
            <w:tcW w:w="1005" w:type="dxa"/>
            <w:tcBorders>
              <w:left w:val="single" w:sz="18" w:space="0" w:color="auto"/>
            </w:tcBorders>
            <w:shd w:val="clear" w:color="auto" w:fill="C9EAFD" w:themeFill="accent3" w:themeFillTint="33"/>
          </w:tcPr>
          <w:p w14:paraId="50E42E7B" w14:textId="270EB101" w:rsidR="007838C4" w:rsidRPr="007838C4" w:rsidRDefault="007838C4" w:rsidP="007838C4">
            <w:pPr>
              <w:pStyle w:val="Tabletext"/>
              <w:jc w:val="left"/>
              <w:rPr>
                <w:rFonts w:cs="Calibri"/>
                <w:sz w:val="18"/>
                <w:szCs w:val="18"/>
              </w:rPr>
            </w:pPr>
            <w:r w:rsidRPr="007838C4">
              <w:rPr>
                <w:sz w:val="18"/>
                <w:szCs w:val="18"/>
              </w:rPr>
              <w:t>28.6</w:t>
            </w:r>
          </w:p>
        </w:tc>
        <w:tc>
          <w:tcPr>
            <w:tcW w:w="1001" w:type="dxa"/>
            <w:tcBorders>
              <w:right w:val="single" w:sz="18" w:space="0" w:color="auto"/>
            </w:tcBorders>
            <w:shd w:val="clear" w:color="auto" w:fill="C9EAFD" w:themeFill="accent3" w:themeFillTint="33"/>
          </w:tcPr>
          <w:p w14:paraId="5CD813BA" w14:textId="6D9C45BA" w:rsidR="007838C4" w:rsidRPr="007838C4" w:rsidRDefault="007838C4" w:rsidP="007838C4">
            <w:pPr>
              <w:pStyle w:val="Tabletext"/>
              <w:jc w:val="left"/>
              <w:rPr>
                <w:rFonts w:cs="Calibri"/>
                <w:sz w:val="18"/>
                <w:szCs w:val="18"/>
              </w:rPr>
            </w:pPr>
            <w:r w:rsidRPr="007838C4">
              <w:rPr>
                <w:sz w:val="18"/>
                <w:szCs w:val="18"/>
              </w:rPr>
              <w:t>28.6</w:t>
            </w:r>
          </w:p>
        </w:tc>
        <w:tc>
          <w:tcPr>
            <w:tcW w:w="998" w:type="dxa"/>
            <w:tcBorders>
              <w:left w:val="single" w:sz="18" w:space="0" w:color="auto"/>
            </w:tcBorders>
            <w:shd w:val="clear" w:color="auto" w:fill="5EC2FA" w:themeFill="accent3" w:themeFillTint="99"/>
          </w:tcPr>
          <w:p w14:paraId="6879A7C0" w14:textId="70681437" w:rsidR="007838C4" w:rsidRPr="007838C4" w:rsidRDefault="007838C4" w:rsidP="007838C4">
            <w:pPr>
              <w:pStyle w:val="Tabletext"/>
              <w:rPr>
                <w:rFonts w:cs="Calibri"/>
                <w:sz w:val="18"/>
                <w:szCs w:val="18"/>
              </w:rPr>
            </w:pPr>
            <w:r w:rsidRPr="007838C4">
              <w:rPr>
                <w:sz w:val="18"/>
                <w:szCs w:val="18"/>
              </w:rPr>
              <w:t>45.9</w:t>
            </w:r>
          </w:p>
        </w:tc>
        <w:tc>
          <w:tcPr>
            <w:tcW w:w="998" w:type="dxa"/>
            <w:shd w:val="clear" w:color="auto" w:fill="5EC2FA" w:themeFill="accent3" w:themeFillTint="99"/>
          </w:tcPr>
          <w:p w14:paraId="0DDF8EC6" w14:textId="63DC62C9" w:rsidR="007838C4" w:rsidRPr="007838C4" w:rsidRDefault="007838C4" w:rsidP="007838C4">
            <w:pPr>
              <w:pStyle w:val="Tabletext"/>
              <w:rPr>
                <w:sz w:val="18"/>
                <w:szCs w:val="18"/>
              </w:rPr>
            </w:pPr>
            <w:r w:rsidRPr="007838C4">
              <w:rPr>
                <w:sz w:val="18"/>
                <w:szCs w:val="18"/>
              </w:rPr>
              <w:t>45.9</w:t>
            </w:r>
          </w:p>
        </w:tc>
        <w:tc>
          <w:tcPr>
            <w:tcW w:w="998" w:type="dxa"/>
            <w:shd w:val="clear" w:color="auto" w:fill="5EC2FA" w:themeFill="accent3" w:themeFillTint="99"/>
          </w:tcPr>
          <w:p w14:paraId="3E660464" w14:textId="18C6ACF0" w:rsidR="007838C4" w:rsidRPr="007838C4" w:rsidRDefault="007838C4" w:rsidP="007838C4">
            <w:pPr>
              <w:pStyle w:val="Tabletext"/>
              <w:rPr>
                <w:sz w:val="18"/>
                <w:szCs w:val="18"/>
              </w:rPr>
            </w:pPr>
            <w:r w:rsidRPr="007838C4">
              <w:rPr>
                <w:sz w:val="18"/>
                <w:szCs w:val="18"/>
              </w:rPr>
              <w:t>45.9</w:t>
            </w:r>
          </w:p>
        </w:tc>
        <w:tc>
          <w:tcPr>
            <w:tcW w:w="1440" w:type="dxa"/>
            <w:tcBorders>
              <w:right w:val="single" w:sz="18" w:space="0" w:color="auto"/>
            </w:tcBorders>
            <w:shd w:val="clear" w:color="auto" w:fill="5EC2FA" w:themeFill="accent3" w:themeFillTint="99"/>
          </w:tcPr>
          <w:p w14:paraId="4CCB45F7" w14:textId="18E52697" w:rsidR="007838C4" w:rsidRPr="007838C4" w:rsidRDefault="007838C4" w:rsidP="007838C4">
            <w:pPr>
              <w:pStyle w:val="Tabletext"/>
              <w:rPr>
                <w:sz w:val="18"/>
                <w:szCs w:val="18"/>
              </w:rPr>
            </w:pPr>
            <w:r w:rsidRPr="007838C4">
              <w:rPr>
                <w:sz w:val="18"/>
                <w:szCs w:val="18"/>
              </w:rPr>
              <w:t>45.9</w:t>
            </w:r>
          </w:p>
        </w:tc>
        <w:tc>
          <w:tcPr>
            <w:tcW w:w="1510" w:type="dxa"/>
            <w:tcBorders>
              <w:left w:val="single" w:sz="18" w:space="0" w:color="auto"/>
              <w:right w:val="single" w:sz="18" w:space="0" w:color="auto"/>
            </w:tcBorders>
            <w:shd w:val="clear" w:color="auto" w:fill="A7A7A7" w:themeFill="text2"/>
          </w:tcPr>
          <w:p w14:paraId="08CBA3D2" w14:textId="0721FF75" w:rsidR="007838C4" w:rsidRPr="007F2A87" w:rsidRDefault="007838C4" w:rsidP="007838C4">
            <w:pPr>
              <w:pStyle w:val="Tabletext"/>
              <w:rPr>
                <w:sz w:val="18"/>
                <w:szCs w:val="18"/>
              </w:rPr>
            </w:pPr>
            <w:r w:rsidRPr="007F2A87">
              <w:rPr>
                <w:sz w:val="18"/>
                <w:szCs w:val="18"/>
              </w:rPr>
              <w:t>N/A</w:t>
            </w:r>
          </w:p>
        </w:tc>
      </w:tr>
      <w:tr w:rsidR="007838C4" w:rsidRPr="006F44F5" w14:paraId="528791A3" w14:textId="4FEB720A" w:rsidTr="000F6D7D">
        <w:trPr>
          <w:trHeight w:val="20"/>
        </w:trPr>
        <w:tc>
          <w:tcPr>
            <w:tcW w:w="1423" w:type="dxa"/>
            <w:tcBorders>
              <w:right w:val="single" w:sz="18" w:space="0" w:color="auto"/>
            </w:tcBorders>
            <w:shd w:val="clear" w:color="auto" w:fill="FFFFFF" w:themeFill="background1"/>
          </w:tcPr>
          <w:p w14:paraId="1B0C8D9A" w14:textId="167BD5EC" w:rsidR="007838C4" w:rsidRPr="002C3CCE" w:rsidRDefault="007838C4" w:rsidP="007838C4">
            <w:pPr>
              <w:pStyle w:val="Tabletext"/>
              <w:rPr>
                <w:rFonts w:cs="Calibri"/>
                <w:b/>
                <w:bCs/>
                <w:sz w:val="18"/>
                <w:szCs w:val="18"/>
              </w:rPr>
            </w:pPr>
            <w:r w:rsidRPr="002C3CCE">
              <w:rPr>
                <w:b/>
                <w:bCs/>
                <w:sz w:val="18"/>
                <w:szCs w:val="18"/>
              </w:rPr>
              <w:t>2015</w:t>
            </w:r>
          </w:p>
        </w:tc>
        <w:tc>
          <w:tcPr>
            <w:tcW w:w="1005" w:type="dxa"/>
            <w:tcBorders>
              <w:left w:val="single" w:sz="18" w:space="0" w:color="auto"/>
              <w:bottom w:val="single" w:sz="4" w:space="0" w:color="auto"/>
            </w:tcBorders>
            <w:shd w:val="clear" w:color="auto" w:fill="C9EAFD" w:themeFill="accent3" w:themeFillTint="33"/>
          </w:tcPr>
          <w:p w14:paraId="4BA11986" w14:textId="4BDB0076" w:rsidR="007838C4" w:rsidRPr="007838C4" w:rsidRDefault="007838C4" w:rsidP="007838C4">
            <w:pPr>
              <w:pStyle w:val="Tabletext"/>
              <w:jc w:val="left"/>
              <w:rPr>
                <w:rFonts w:cs="Calibri"/>
                <w:sz w:val="18"/>
                <w:szCs w:val="18"/>
              </w:rPr>
            </w:pPr>
            <w:r w:rsidRPr="007838C4">
              <w:rPr>
                <w:sz w:val="18"/>
                <w:szCs w:val="18"/>
              </w:rPr>
              <w:t>28.2</w:t>
            </w:r>
          </w:p>
        </w:tc>
        <w:tc>
          <w:tcPr>
            <w:tcW w:w="1001" w:type="dxa"/>
            <w:tcBorders>
              <w:bottom w:val="single" w:sz="4" w:space="0" w:color="auto"/>
              <w:right w:val="single" w:sz="18" w:space="0" w:color="auto"/>
            </w:tcBorders>
            <w:shd w:val="clear" w:color="auto" w:fill="C9EAFD" w:themeFill="accent3" w:themeFillTint="33"/>
          </w:tcPr>
          <w:p w14:paraId="7E5CF594" w14:textId="39966E1E" w:rsidR="007838C4" w:rsidRPr="007838C4" w:rsidRDefault="007838C4" w:rsidP="007838C4">
            <w:pPr>
              <w:pStyle w:val="Tabletext"/>
              <w:jc w:val="left"/>
              <w:rPr>
                <w:rFonts w:cs="Calibri"/>
                <w:sz w:val="18"/>
                <w:szCs w:val="18"/>
              </w:rPr>
            </w:pPr>
            <w:r w:rsidRPr="007838C4">
              <w:rPr>
                <w:sz w:val="18"/>
                <w:szCs w:val="18"/>
              </w:rPr>
              <w:t>28.2</w:t>
            </w:r>
          </w:p>
        </w:tc>
        <w:tc>
          <w:tcPr>
            <w:tcW w:w="998" w:type="dxa"/>
            <w:tcBorders>
              <w:left w:val="single" w:sz="18" w:space="0" w:color="auto"/>
              <w:bottom w:val="single" w:sz="4" w:space="0" w:color="auto"/>
            </w:tcBorders>
            <w:shd w:val="clear" w:color="auto" w:fill="5EC2FA" w:themeFill="accent3" w:themeFillTint="99"/>
          </w:tcPr>
          <w:p w14:paraId="4F462F0B" w14:textId="5CDB2EB1" w:rsidR="007838C4" w:rsidRPr="007838C4" w:rsidRDefault="007838C4" w:rsidP="007838C4">
            <w:pPr>
              <w:pStyle w:val="Tabletext"/>
              <w:rPr>
                <w:rFonts w:cs="Calibri"/>
                <w:sz w:val="18"/>
                <w:szCs w:val="18"/>
              </w:rPr>
            </w:pPr>
            <w:r w:rsidRPr="007838C4">
              <w:rPr>
                <w:sz w:val="18"/>
                <w:szCs w:val="18"/>
              </w:rPr>
              <w:t>44.5</w:t>
            </w:r>
          </w:p>
        </w:tc>
        <w:tc>
          <w:tcPr>
            <w:tcW w:w="998" w:type="dxa"/>
            <w:tcBorders>
              <w:bottom w:val="single" w:sz="4" w:space="0" w:color="auto"/>
            </w:tcBorders>
            <w:shd w:val="clear" w:color="auto" w:fill="5EC2FA" w:themeFill="accent3" w:themeFillTint="99"/>
          </w:tcPr>
          <w:p w14:paraId="09608EC4" w14:textId="5F9B226D" w:rsidR="007838C4" w:rsidRPr="007838C4" w:rsidRDefault="007838C4" w:rsidP="007838C4">
            <w:pPr>
              <w:pStyle w:val="Tabletext"/>
              <w:rPr>
                <w:sz w:val="18"/>
                <w:szCs w:val="18"/>
              </w:rPr>
            </w:pPr>
            <w:r w:rsidRPr="007838C4">
              <w:rPr>
                <w:sz w:val="18"/>
                <w:szCs w:val="18"/>
              </w:rPr>
              <w:t>44.5</w:t>
            </w:r>
          </w:p>
        </w:tc>
        <w:tc>
          <w:tcPr>
            <w:tcW w:w="998" w:type="dxa"/>
            <w:tcBorders>
              <w:bottom w:val="single" w:sz="4" w:space="0" w:color="auto"/>
            </w:tcBorders>
            <w:shd w:val="clear" w:color="auto" w:fill="5EC2FA" w:themeFill="accent3" w:themeFillTint="99"/>
          </w:tcPr>
          <w:p w14:paraId="014FED44" w14:textId="5D849F8A" w:rsidR="007838C4" w:rsidRPr="007838C4" w:rsidRDefault="007838C4" w:rsidP="007838C4">
            <w:pPr>
              <w:pStyle w:val="Tabletext"/>
              <w:rPr>
                <w:sz w:val="18"/>
                <w:szCs w:val="18"/>
              </w:rPr>
            </w:pPr>
            <w:r w:rsidRPr="007838C4">
              <w:rPr>
                <w:sz w:val="18"/>
                <w:szCs w:val="18"/>
              </w:rPr>
              <w:t>44.5</w:t>
            </w:r>
          </w:p>
        </w:tc>
        <w:tc>
          <w:tcPr>
            <w:tcW w:w="1440" w:type="dxa"/>
            <w:tcBorders>
              <w:bottom w:val="single" w:sz="4" w:space="0" w:color="auto"/>
              <w:right w:val="single" w:sz="18" w:space="0" w:color="auto"/>
            </w:tcBorders>
            <w:shd w:val="clear" w:color="auto" w:fill="5EC2FA" w:themeFill="accent3" w:themeFillTint="99"/>
          </w:tcPr>
          <w:p w14:paraId="0AD4D680" w14:textId="43E95935" w:rsidR="007838C4" w:rsidRPr="007838C4" w:rsidRDefault="007838C4" w:rsidP="007838C4">
            <w:pPr>
              <w:pStyle w:val="Tabletext"/>
              <w:rPr>
                <w:sz w:val="18"/>
                <w:szCs w:val="18"/>
              </w:rPr>
            </w:pPr>
            <w:r w:rsidRPr="007838C4">
              <w:rPr>
                <w:sz w:val="18"/>
                <w:szCs w:val="18"/>
              </w:rPr>
              <w:t>44.5</w:t>
            </w:r>
          </w:p>
        </w:tc>
        <w:tc>
          <w:tcPr>
            <w:tcW w:w="1510" w:type="dxa"/>
            <w:tcBorders>
              <w:left w:val="single" w:sz="18" w:space="0" w:color="auto"/>
              <w:bottom w:val="single" w:sz="4" w:space="0" w:color="auto"/>
              <w:right w:val="single" w:sz="18" w:space="0" w:color="auto"/>
            </w:tcBorders>
            <w:shd w:val="clear" w:color="auto" w:fill="A7A7A7" w:themeFill="text2"/>
          </w:tcPr>
          <w:p w14:paraId="1682C965" w14:textId="3E51F0D0" w:rsidR="007838C4" w:rsidRPr="007F2A87" w:rsidRDefault="007838C4" w:rsidP="007838C4">
            <w:pPr>
              <w:pStyle w:val="Tabletext"/>
              <w:rPr>
                <w:sz w:val="18"/>
                <w:szCs w:val="18"/>
              </w:rPr>
            </w:pPr>
            <w:r w:rsidRPr="007F2A87">
              <w:rPr>
                <w:sz w:val="18"/>
                <w:szCs w:val="18"/>
              </w:rPr>
              <w:t>N/A</w:t>
            </w:r>
          </w:p>
        </w:tc>
      </w:tr>
      <w:tr w:rsidR="007838C4" w14:paraId="71C3DE9E" w14:textId="3CB954FC" w:rsidTr="000F6D7D">
        <w:trPr>
          <w:trHeight w:val="20"/>
        </w:trPr>
        <w:tc>
          <w:tcPr>
            <w:tcW w:w="1423" w:type="dxa"/>
            <w:tcBorders>
              <w:right w:val="single" w:sz="18" w:space="0" w:color="auto"/>
            </w:tcBorders>
            <w:shd w:val="clear" w:color="auto" w:fill="FFFFFF" w:themeFill="background1"/>
          </w:tcPr>
          <w:p w14:paraId="35EAEF7C" w14:textId="1FF34C1B" w:rsidR="007838C4" w:rsidRPr="002C3CCE" w:rsidRDefault="007838C4" w:rsidP="007838C4">
            <w:pPr>
              <w:pStyle w:val="Tabletext"/>
              <w:rPr>
                <w:rFonts w:cs="Calibri"/>
                <w:b/>
                <w:bCs/>
                <w:sz w:val="18"/>
                <w:szCs w:val="18"/>
              </w:rPr>
            </w:pPr>
            <w:r w:rsidRPr="002C3CCE">
              <w:rPr>
                <w:b/>
                <w:bCs/>
                <w:sz w:val="18"/>
                <w:szCs w:val="18"/>
              </w:rPr>
              <w:t>2014</w:t>
            </w:r>
          </w:p>
        </w:tc>
        <w:tc>
          <w:tcPr>
            <w:tcW w:w="1005" w:type="dxa"/>
            <w:tcBorders>
              <w:left w:val="single" w:sz="18" w:space="0" w:color="auto"/>
              <w:bottom w:val="single" w:sz="4" w:space="0" w:color="auto"/>
            </w:tcBorders>
            <w:shd w:val="clear" w:color="auto" w:fill="C9EAFD" w:themeFill="accent3" w:themeFillTint="33"/>
          </w:tcPr>
          <w:p w14:paraId="10F236A6" w14:textId="0963D69B" w:rsidR="007838C4" w:rsidRPr="007838C4" w:rsidRDefault="007838C4" w:rsidP="007838C4">
            <w:pPr>
              <w:pStyle w:val="Tabletext"/>
              <w:jc w:val="left"/>
              <w:rPr>
                <w:rFonts w:cs="Calibri"/>
                <w:sz w:val="18"/>
                <w:szCs w:val="18"/>
              </w:rPr>
            </w:pPr>
            <w:r w:rsidRPr="007838C4">
              <w:rPr>
                <w:sz w:val="18"/>
                <w:szCs w:val="18"/>
              </w:rPr>
              <w:t>27.9</w:t>
            </w:r>
          </w:p>
        </w:tc>
        <w:tc>
          <w:tcPr>
            <w:tcW w:w="1001" w:type="dxa"/>
            <w:tcBorders>
              <w:bottom w:val="single" w:sz="4" w:space="0" w:color="auto"/>
              <w:right w:val="single" w:sz="18" w:space="0" w:color="auto"/>
            </w:tcBorders>
            <w:shd w:val="clear" w:color="auto" w:fill="C9EAFD" w:themeFill="accent3" w:themeFillTint="33"/>
          </w:tcPr>
          <w:p w14:paraId="37274689" w14:textId="0DF48B18" w:rsidR="007838C4" w:rsidRPr="007838C4" w:rsidRDefault="007838C4" w:rsidP="007838C4">
            <w:pPr>
              <w:pStyle w:val="Tabletext"/>
              <w:jc w:val="left"/>
              <w:rPr>
                <w:rFonts w:cs="Calibri"/>
                <w:i/>
                <w:iCs/>
                <w:sz w:val="18"/>
                <w:szCs w:val="18"/>
              </w:rPr>
            </w:pPr>
            <w:r w:rsidRPr="007838C4">
              <w:rPr>
                <w:sz w:val="18"/>
                <w:szCs w:val="18"/>
              </w:rPr>
              <w:t>27.9</w:t>
            </w:r>
          </w:p>
        </w:tc>
        <w:tc>
          <w:tcPr>
            <w:tcW w:w="998" w:type="dxa"/>
            <w:tcBorders>
              <w:left w:val="single" w:sz="18" w:space="0" w:color="auto"/>
              <w:bottom w:val="single" w:sz="4" w:space="0" w:color="auto"/>
            </w:tcBorders>
            <w:shd w:val="clear" w:color="auto" w:fill="5EC2FA" w:themeFill="accent3" w:themeFillTint="99"/>
          </w:tcPr>
          <w:p w14:paraId="78C9D380" w14:textId="134947E9" w:rsidR="007838C4" w:rsidRPr="007838C4" w:rsidRDefault="007838C4" w:rsidP="007838C4">
            <w:pPr>
              <w:pStyle w:val="Tabletext"/>
              <w:rPr>
                <w:rFonts w:cs="Calibri"/>
                <w:sz w:val="18"/>
                <w:szCs w:val="18"/>
              </w:rPr>
            </w:pPr>
            <w:r w:rsidRPr="007838C4">
              <w:rPr>
                <w:sz w:val="18"/>
                <w:szCs w:val="18"/>
              </w:rPr>
              <w:t>43.5</w:t>
            </w:r>
          </w:p>
        </w:tc>
        <w:tc>
          <w:tcPr>
            <w:tcW w:w="998" w:type="dxa"/>
            <w:tcBorders>
              <w:bottom w:val="single" w:sz="4" w:space="0" w:color="auto"/>
            </w:tcBorders>
            <w:shd w:val="clear" w:color="auto" w:fill="5EC2FA" w:themeFill="accent3" w:themeFillTint="99"/>
          </w:tcPr>
          <w:p w14:paraId="1F8CC8CA" w14:textId="7D58824B" w:rsidR="007838C4" w:rsidRPr="007838C4" w:rsidRDefault="007838C4" w:rsidP="007838C4">
            <w:pPr>
              <w:pStyle w:val="Tabletext"/>
              <w:rPr>
                <w:rFonts w:cs="Calibri"/>
                <w:sz w:val="18"/>
                <w:szCs w:val="18"/>
              </w:rPr>
            </w:pPr>
            <w:r w:rsidRPr="007838C4">
              <w:rPr>
                <w:sz w:val="18"/>
                <w:szCs w:val="18"/>
              </w:rPr>
              <w:t>43.5</w:t>
            </w:r>
          </w:p>
        </w:tc>
        <w:tc>
          <w:tcPr>
            <w:tcW w:w="998" w:type="dxa"/>
            <w:tcBorders>
              <w:bottom w:val="single" w:sz="4" w:space="0" w:color="auto"/>
            </w:tcBorders>
            <w:shd w:val="clear" w:color="auto" w:fill="5EC2FA" w:themeFill="accent3" w:themeFillTint="99"/>
          </w:tcPr>
          <w:p w14:paraId="2ACEB7B4" w14:textId="478B707B" w:rsidR="007838C4" w:rsidRPr="007838C4" w:rsidRDefault="007838C4" w:rsidP="007838C4">
            <w:pPr>
              <w:pStyle w:val="Tabletext"/>
              <w:rPr>
                <w:rFonts w:cs="Calibri"/>
                <w:sz w:val="18"/>
                <w:szCs w:val="18"/>
              </w:rPr>
            </w:pPr>
            <w:r w:rsidRPr="007838C4">
              <w:rPr>
                <w:sz w:val="18"/>
                <w:szCs w:val="18"/>
              </w:rPr>
              <w:t>43.5</w:t>
            </w:r>
          </w:p>
        </w:tc>
        <w:tc>
          <w:tcPr>
            <w:tcW w:w="1440" w:type="dxa"/>
            <w:tcBorders>
              <w:bottom w:val="single" w:sz="4" w:space="0" w:color="auto"/>
              <w:right w:val="single" w:sz="18" w:space="0" w:color="auto"/>
            </w:tcBorders>
            <w:shd w:val="clear" w:color="auto" w:fill="5EC2FA" w:themeFill="accent3" w:themeFillTint="99"/>
          </w:tcPr>
          <w:p w14:paraId="06E8EB8B" w14:textId="4B66F4A0" w:rsidR="007838C4" w:rsidRPr="007838C4" w:rsidRDefault="007838C4" w:rsidP="007838C4">
            <w:pPr>
              <w:pStyle w:val="Tabletext"/>
              <w:rPr>
                <w:rFonts w:cs="Calibri"/>
                <w:sz w:val="18"/>
                <w:szCs w:val="18"/>
              </w:rPr>
            </w:pPr>
            <w:r w:rsidRPr="007838C4">
              <w:rPr>
                <w:sz w:val="18"/>
                <w:szCs w:val="18"/>
              </w:rPr>
              <w:t>43.5</w:t>
            </w:r>
          </w:p>
        </w:tc>
        <w:tc>
          <w:tcPr>
            <w:tcW w:w="1510" w:type="dxa"/>
            <w:tcBorders>
              <w:left w:val="single" w:sz="18" w:space="0" w:color="auto"/>
              <w:bottom w:val="single" w:sz="4" w:space="0" w:color="auto"/>
              <w:right w:val="single" w:sz="18" w:space="0" w:color="auto"/>
            </w:tcBorders>
            <w:shd w:val="clear" w:color="auto" w:fill="A7A7A7" w:themeFill="text2"/>
          </w:tcPr>
          <w:p w14:paraId="2CFE09A3" w14:textId="68903613" w:rsidR="007838C4" w:rsidRPr="007F2A87" w:rsidRDefault="007838C4" w:rsidP="007838C4">
            <w:pPr>
              <w:pStyle w:val="Tabletext"/>
              <w:rPr>
                <w:rFonts w:cs="Calibri"/>
                <w:sz w:val="18"/>
                <w:szCs w:val="18"/>
              </w:rPr>
            </w:pPr>
            <w:r w:rsidRPr="007F2A87">
              <w:rPr>
                <w:sz w:val="18"/>
                <w:szCs w:val="18"/>
              </w:rPr>
              <w:t>N/A</w:t>
            </w:r>
          </w:p>
        </w:tc>
      </w:tr>
      <w:tr w:rsidR="007838C4" w:rsidRPr="006F44F5" w14:paraId="307D6D9F" w14:textId="5452EA42" w:rsidTr="000F6D7D">
        <w:trPr>
          <w:trHeight w:val="20"/>
        </w:trPr>
        <w:tc>
          <w:tcPr>
            <w:tcW w:w="1423" w:type="dxa"/>
            <w:tcBorders>
              <w:right w:val="single" w:sz="18" w:space="0" w:color="auto"/>
            </w:tcBorders>
            <w:shd w:val="clear" w:color="auto" w:fill="FFFFFF" w:themeFill="background1"/>
          </w:tcPr>
          <w:p w14:paraId="02403CD4" w14:textId="58309418" w:rsidR="007838C4" w:rsidRPr="002C3CCE" w:rsidRDefault="007838C4" w:rsidP="007838C4">
            <w:pPr>
              <w:pStyle w:val="Tabletext"/>
              <w:rPr>
                <w:rFonts w:cs="Calibri"/>
                <w:b/>
                <w:bCs/>
                <w:sz w:val="18"/>
                <w:szCs w:val="18"/>
              </w:rPr>
            </w:pPr>
            <w:r w:rsidRPr="002C3CCE">
              <w:rPr>
                <w:b/>
                <w:bCs/>
                <w:sz w:val="18"/>
                <w:szCs w:val="18"/>
              </w:rPr>
              <w:t>2013</w:t>
            </w:r>
          </w:p>
        </w:tc>
        <w:tc>
          <w:tcPr>
            <w:tcW w:w="1005" w:type="dxa"/>
            <w:tcBorders>
              <w:left w:val="single" w:sz="18" w:space="0" w:color="auto"/>
            </w:tcBorders>
            <w:shd w:val="clear" w:color="auto" w:fill="C9EAFD" w:themeFill="accent3" w:themeFillTint="33"/>
          </w:tcPr>
          <w:p w14:paraId="756A3401" w14:textId="32D519C5" w:rsidR="007838C4" w:rsidRPr="007838C4" w:rsidRDefault="007838C4" w:rsidP="007838C4">
            <w:pPr>
              <w:pStyle w:val="Tabletext"/>
              <w:jc w:val="left"/>
              <w:rPr>
                <w:rFonts w:cs="Calibri"/>
                <w:sz w:val="18"/>
                <w:szCs w:val="18"/>
              </w:rPr>
            </w:pPr>
            <w:r w:rsidRPr="007838C4">
              <w:rPr>
                <w:sz w:val="18"/>
                <w:szCs w:val="18"/>
              </w:rPr>
              <w:t>27.6</w:t>
            </w:r>
          </w:p>
        </w:tc>
        <w:tc>
          <w:tcPr>
            <w:tcW w:w="1001" w:type="dxa"/>
            <w:tcBorders>
              <w:right w:val="single" w:sz="18" w:space="0" w:color="auto"/>
            </w:tcBorders>
            <w:shd w:val="clear" w:color="auto" w:fill="C9EAFD" w:themeFill="accent3" w:themeFillTint="33"/>
          </w:tcPr>
          <w:p w14:paraId="065A03E7" w14:textId="28775EE9" w:rsidR="007838C4" w:rsidRPr="007838C4" w:rsidRDefault="007838C4" w:rsidP="007838C4">
            <w:pPr>
              <w:pStyle w:val="Tabletext"/>
              <w:jc w:val="left"/>
              <w:rPr>
                <w:rFonts w:cs="Calibri"/>
                <w:sz w:val="18"/>
                <w:szCs w:val="18"/>
              </w:rPr>
            </w:pPr>
            <w:r w:rsidRPr="007838C4">
              <w:rPr>
                <w:sz w:val="18"/>
                <w:szCs w:val="18"/>
              </w:rPr>
              <w:t>27.6</w:t>
            </w:r>
          </w:p>
        </w:tc>
        <w:tc>
          <w:tcPr>
            <w:tcW w:w="998" w:type="dxa"/>
            <w:tcBorders>
              <w:left w:val="single" w:sz="18" w:space="0" w:color="auto"/>
            </w:tcBorders>
            <w:shd w:val="clear" w:color="auto" w:fill="5EC2FA" w:themeFill="accent3" w:themeFillTint="99"/>
          </w:tcPr>
          <w:p w14:paraId="465470EF" w14:textId="1835254D" w:rsidR="007838C4" w:rsidRPr="007838C4" w:rsidRDefault="007838C4" w:rsidP="007838C4">
            <w:pPr>
              <w:pStyle w:val="Tabletext"/>
              <w:rPr>
                <w:rFonts w:cs="Calibri"/>
                <w:sz w:val="18"/>
                <w:szCs w:val="18"/>
              </w:rPr>
            </w:pPr>
            <w:r w:rsidRPr="007838C4">
              <w:rPr>
                <w:sz w:val="18"/>
                <w:szCs w:val="18"/>
              </w:rPr>
              <w:t>43.4</w:t>
            </w:r>
          </w:p>
        </w:tc>
        <w:tc>
          <w:tcPr>
            <w:tcW w:w="998" w:type="dxa"/>
            <w:shd w:val="clear" w:color="auto" w:fill="5EC2FA" w:themeFill="accent3" w:themeFillTint="99"/>
          </w:tcPr>
          <w:p w14:paraId="5093F002" w14:textId="49E4CA65" w:rsidR="007838C4" w:rsidRPr="007838C4" w:rsidRDefault="007838C4" w:rsidP="007838C4">
            <w:pPr>
              <w:pStyle w:val="Tabletext"/>
              <w:rPr>
                <w:sz w:val="18"/>
                <w:szCs w:val="18"/>
              </w:rPr>
            </w:pPr>
            <w:r w:rsidRPr="007838C4">
              <w:rPr>
                <w:sz w:val="18"/>
                <w:szCs w:val="18"/>
              </w:rPr>
              <w:t>43.4</w:t>
            </w:r>
          </w:p>
        </w:tc>
        <w:tc>
          <w:tcPr>
            <w:tcW w:w="998" w:type="dxa"/>
            <w:shd w:val="clear" w:color="auto" w:fill="5EC2FA" w:themeFill="accent3" w:themeFillTint="99"/>
          </w:tcPr>
          <w:p w14:paraId="2CEB38B0" w14:textId="69357335" w:rsidR="007838C4" w:rsidRPr="007838C4" w:rsidRDefault="007838C4" w:rsidP="007838C4">
            <w:pPr>
              <w:pStyle w:val="Tabletext"/>
              <w:rPr>
                <w:sz w:val="18"/>
                <w:szCs w:val="18"/>
              </w:rPr>
            </w:pPr>
            <w:r w:rsidRPr="007838C4">
              <w:rPr>
                <w:sz w:val="18"/>
                <w:szCs w:val="18"/>
              </w:rPr>
              <w:t>43.4</w:t>
            </w:r>
          </w:p>
        </w:tc>
        <w:tc>
          <w:tcPr>
            <w:tcW w:w="1440" w:type="dxa"/>
            <w:tcBorders>
              <w:right w:val="single" w:sz="18" w:space="0" w:color="auto"/>
            </w:tcBorders>
            <w:shd w:val="clear" w:color="auto" w:fill="5EC2FA" w:themeFill="accent3" w:themeFillTint="99"/>
          </w:tcPr>
          <w:p w14:paraId="7379A0D0" w14:textId="4291B562" w:rsidR="007838C4" w:rsidRPr="007838C4" w:rsidRDefault="007838C4" w:rsidP="007838C4">
            <w:pPr>
              <w:pStyle w:val="Tabletext"/>
              <w:rPr>
                <w:sz w:val="18"/>
                <w:szCs w:val="18"/>
              </w:rPr>
            </w:pPr>
            <w:r w:rsidRPr="007838C4">
              <w:rPr>
                <w:sz w:val="18"/>
                <w:szCs w:val="18"/>
              </w:rPr>
              <w:t>43.4</w:t>
            </w:r>
          </w:p>
        </w:tc>
        <w:tc>
          <w:tcPr>
            <w:tcW w:w="1510" w:type="dxa"/>
            <w:tcBorders>
              <w:left w:val="single" w:sz="18" w:space="0" w:color="auto"/>
              <w:right w:val="single" w:sz="18" w:space="0" w:color="auto"/>
            </w:tcBorders>
            <w:shd w:val="clear" w:color="auto" w:fill="A7A7A7" w:themeFill="text2"/>
          </w:tcPr>
          <w:p w14:paraId="0BF1B58E" w14:textId="7F7760EC" w:rsidR="007838C4" w:rsidRPr="007F2A87" w:rsidRDefault="007838C4" w:rsidP="007838C4">
            <w:pPr>
              <w:pStyle w:val="Tabletext"/>
              <w:rPr>
                <w:sz w:val="18"/>
                <w:szCs w:val="18"/>
              </w:rPr>
            </w:pPr>
            <w:r w:rsidRPr="007F2A87">
              <w:rPr>
                <w:sz w:val="18"/>
                <w:szCs w:val="18"/>
              </w:rPr>
              <w:t>N/A</w:t>
            </w:r>
          </w:p>
        </w:tc>
      </w:tr>
      <w:tr w:rsidR="007838C4" w:rsidRPr="7ACA0E52" w14:paraId="2699DBB8" w14:textId="112D56E8" w:rsidTr="000F6D7D">
        <w:trPr>
          <w:trHeight w:val="20"/>
        </w:trPr>
        <w:tc>
          <w:tcPr>
            <w:tcW w:w="1423" w:type="dxa"/>
            <w:tcBorders>
              <w:right w:val="single" w:sz="18" w:space="0" w:color="auto"/>
            </w:tcBorders>
            <w:shd w:val="clear" w:color="auto" w:fill="FFFFFF" w:themeFill="background1"/>
          </w:tcPr>
          <w:p w14:paraId="56E33CB6" w14:textId="676489A5" w:rsidR="007838C4" w:rsidRPr="002C3CCE" w:rsidRDefault="007838C4" w:rsidP="007838C4">
            <w:pPr>
              <w:pStyle w:val="Tabletext"/>
              <w:rPr>
                <w:rFonts w:cs="Calibri"/>
                <w:b/>
                <w:bCs/>
                <w:sz w:val="18"/>
                <w:szCs w:val="18"/>
              </w:rPr>
            </w:pPr>
            <w:r w:rsidRPr="002C3CCE">
              <w:rPr>
                <w:b/>
                <w:bCs/>
                <w:sz w:val="18"/>
                <w:szCs w:val="18"/>
              </w:rPr>
              <w:t>2012</w:t>
            </w:r>
          </w:p>
        </w:tc>
        <w:tc>
          <w:tcPr>
            <w:tcW w:w="1005" w:type="dxa"/>
            <w:tcBorders>
              <w:left w:val="single" w:sz="18" w:space="0" w:color="auto"/>
            </w:tcBorders>
            <w:shd w:val="clear" w:color="auto" w:fill="C9EAFD" w:themeFill="accent3" w:themeFillTint="33"/>
          </w:tcPr>
          <w:p w14:paraId="669CE4B0" w14:textId="6E70CC38" w:rsidR="007838C4" w:rsidRPr="007838C4" w:rsidRDefault="007838C4" w:rsidP="007838C4">
            <w:pPr>
              <w:pStyle w:val="Tabletext"/>
              <w:jc w:val="left"/>
              <w:rPr>
                <w:rFonts w:cs="Calibri"/>
                <w:sz w:val="18"/>
                <w:szCs w:val="18"/>
              </w:rPr>
            </w:pPr>
            <w:r w:rsidRPr="007838C4">
              <w:rPr>
                <w:sz w:val="18"/>
                <w:szCs w:val="18"/>
              </w:rPr>
              <w:t>27.0</w:t>
            </w:r>
          </w:p>
        </w:tc>
        <w:tc>
          <w:tcPr>
            <w:tcW w:w="1001" w:type="dxa"/>
            <w:tcBorders>
              <w:right w:val="single" w:sz="18" w:space="0" w:color="auto"/>
            </w:tcBorders>
            <w:shd w:val="clear" w:color="auto" w:fill="C9EAFD" w:themeFill="accent3" w:themeFillTint="33"/>
          </w:tcPr>
          <w:p w14:paraId="2BFE1439" w14:textId="4BE07B2A" w:rsidR="007838C4" w:rsidRPr="007838C4" w:rsidRDefault="007838C4" w:rsidP="007838C4">
            <w:pPr>
              <w:pStyle w:val="Tabletext"/>
              <w:jc w:val="left"/>
              <w:rPr>
                <w:rFonts w:cs="Calibri"/>
                <w:sz w:val="18"/>
                <w:szCs w:val="18"/>
              </w:rPr>
            </w:pPr>
            <w:r w:rsidRPr="007838C4">
              <w:rPr>
                <w:sz w:val="18"/>
                <w:szCs w:val="18"/>
              </w:rPr>
              <w:t>27.0</w:t>
            </w:r>
          </w:p>
        </w:tc>
        <w:tc>
          <w:tcPr>
            <w:tcW w:w="998" w:type="dxa"/>
            <w:tcBorders>
              <w:left w:val="single" w:sz="18" w:space="0" w:color="auto"/>
            </w:tcBorders>
            <w:shd w:val="clear" w:color="auto" w:fill="5EC2FA" w:themeFill="accent3" w:themeFillTint="99"/>
          </w:tcPr>
          <w:p w14:paraId="4D5A91D8" w14:textId="5AAC9F19" w:rsidR="007838C4" w:rsidRPr="007838C4" w:rsidRDefault="007838C4" w:rsidP="007838C4">
            <w:pPr>
              <w:pStyle w:val="Tabletext"/>
              <w:rPr>
                <w:rFonts w:cs="Calibri"/>
                <w:sz w:val="18"/>
                <w:szCs w:val="18"/>
              </w:rPr>
            </w:pPr>
            <w:r w:rsidRPr="007838C4">
              <w:rPr>
                <w:sz w:val="18"/>
                <w:szCs w:val="18"/>
              </w:rPr>
              <w:t>43.7</w:t>
            </w:r>
          </w:p>
        </w:tc>
        <w:tc>
          <w:tcPr>
            <w:tcW w:w="998" w:type="dxa"/>
            <w:shd w:val="clear" w:color="auto" w:fill="5EC2FA" w:themeFill="accent3" w:themeFillTint="99"/>
          </w:tcPr>
          <w:p w14:paraId="10AEED36" w14:textId="2B607267" w:rsidR="007838C4" w:rsidRPr="007838C4" w:rsidRDefault="007838C4" w:rsidP="007838C4">
            <w:pPr>
              <w:pStyle w:val="Tabletext"/>
              <w:rPr>
                <w:sz w:val="18"/>
                <w:szCs w:val="18"/>
              </w:rPr>
            </w:pPr>
            <w:r w:rsidRPr="007838C4">
              <w:rPr>
                <w:sz w:val="18"/>
                <w:szCs w:val="18"/>
              </w:rPr>
              <w:t>43.7</w:t>
            </w:r>
          </w:p>
        </w:tc>
        <w:tc>
          <w:tcPr>
            <w:tcW w:w="998" w:type="dxa"/>
            <w:shd w:val="clear" w:color="auto" w:fill="5EC2FA" w:themeFill="accent3" w:themeFillTint="99"/>
          </w:tcPr>
          <w:p w14:paraId="2203522B" w14:textId="2E11979C" w:rsidR="007838C4" w:rsidRPr="007838C4" w:rsidRDefault="007838C4" w:rsidP="007838C4">
            <w:pPr>
              <w:pStyle w:val="Tabletext"/>
              <w:rPr>
                <w:sz w:val="18"/>
                <w:szCs w:val="18"/>
              </w:rPr>
            </w:pPr>
            <w:r w:rsidRPr="007838C4">
              <w:rPr>
                <w:sz w:val="18"/>
                <w:szCs w:val="18"/>
              </w:rPr>
              <w:t>43.7</w:t>
            </w:r>
          </w:p>
        </w:tc>
        <w:tc>
          <w:tcPr>
            <w:tcW w:w="1440" w:type="dxa"/>
            <w:tcBorders>
              <w:right w:val="single" w:sz="18" w:space="0" w:color="auto"/>
            </w:tcBorders>
            <w:shd w:val="clear" w:color="auto" w:fill="5EC2FA" w:themeFill="accent3" w:themeFillTint="99"/>
          </w:tcPr>
          <w:p w14:paraId="582D7A91" w14:textId="73F20C5E" w:rsidR="007838C4" w:rsidRPr="007838C4" w:rsidRDefault="007838C4" w:rsidP="007838C4">
            <w:pPr>
              <w:pStyle w:val="Tabletext"/>
              <w:rPr>
                <w:sz w:val="18"/>
                <w:szCs w:val="18"/>
              </w:rPr>
            </w:pPr>
            <w:r w:rsidRPr="007838C4">
              <w:rPr>
                <w:sz w:val="18"/>
                <w:szCs w:val="18"/>
              </w:rPr>
              <w:t>43.7</w:t>
            </w:r>
          </w:p>
        </w:tc>
        <w:tc>
          <w:tcPr>
            <w:tcW w:w="1510" w:type="dxa"/>
            <w:tcBorders>
              <w:left w:val="single" w:sz="18" w:space="0" w:color="auto"/>
              <w:right w:val="single" w:sz="18" w:space="0" w:color="auto"/>
            </w:tcBorders>
            <w:shd w:val="clear" w:color="auto" w:fill="A7A7A7" w:themeFill="text2"/>
          </w:tcPr>
          <w:p w14:paraId="136BBDC7" w14:textId="21CE3EC3" w:rsidR="007838C4" w:rsidRPr="007F2A87" w:rsidRDefault="007838C4" w:rsidP="007838C4">
            <w:pPr>
              <w:pStyle w:val="Tabletext"/>
              <w:rPr>
                <w:sz w:val="18"/>
                <w:szCs w:val="18"/>
              </w:rPr>
            </w:pPr>
            <w:r w:rsidRPr="007F2A87">
              <w:rPr>
                <w:sz w:val="18"/>
                <w:szCs w:val="18"/>
              </w:rPr>
              <w:t>N/A</w:t>
            </w:r>
          </w:p>
        </w:tc>
      </w:tr>
      <w:tr w:rsidR="007838C4" w14:paraId="44123902" w14:textId="2512DE16" w:rsidTr="000F6D7D">
        <w:trPr>
          <w:trHeight w:val="20"/>
        </w:trPr>
        <w:tc>
          <w:tcPr>
            <w:tcW w:w="1423" w:type="dxa"/>
            <w:tcBorders>
              <w:right w:val="single" w:sz="18" w:space="0" w:color="auto"/>
            </w:tcBorders>
            <w:shd w:val="clear" w:color="auto" w:fill="FFFFFF" w:themeFill="background1"/>
          </w:tcPr>
          <w:p w14:paraId="778EE9EC" w14:textId="2F57E18A" w:rsidR="007838C4" w:rsidRPr="002C3CCE" w:rsidRDefault="007838C4" w:rsidP="007838C4">
            <w:pPr>
              <w:pStyle w:val="Tabletext"/>
              <w:rPr>
                <w:rFonts w:cs="Calibri"/>
                <w:b/>
                <w:bCs/>
                <w:sz w:val="18"/>
                <w:szCs w:val="18"/>
              </w:rPr>
            </w:pPr>
            <w:r w:rsidRPr="002C3CCE">
              <w:rPr>
                <w:b/>
                <w:bCs/>
                <w:sz w:val="18"/>
                <w:szCs w:val="18"/>
              </w:rPr>
              <w:t>2011</w:t>
            </w:r>
          </w:p>
        </w:tc>
        <w:tc>
          <w:tcPr>
            <w:tcW w:w="1005" w:type="dxa"/>
            <w:tcBorders>
              <w:left w:val="single" w:sz="18" w:space="0" w:color="auto"/>
            </w:tcBorders>
            <w:shd w:val="clear" w:color="auto" w:fill="C9EAFD" w:themeFill="accent3" w:themeFillTint="33"/>
          </w:tcPr>
          <w:p w14:paraId="40B0F8E6" w14:textId="26F7B112" w:rsidR="007838C4" w:rsidRPr="007838C4" w:rsidRDefault="007838C4" w:rsidP="007838C4">
            <w:pPr>
              <w:pStyle w:val="Tabletext"/>
              <w:jc w:val="left"/>
              <w:rPr>
                <w:rFonts w:cs="Calibri"/>
                <w:sz w:val="18"/>
                <w:szCs w:val="18"/>
              </w:rPr>
            </w:pPr>
            <w:r w:rsidRPr="007838C4">
              <w:rPr>
                <w:sz w:val="18"/>
                <w:szCs w:val="18"/>
              </w:rPr>
              <w:t>24.7</w:t>
            </w:r>
          </w:p>
        </w:tc>
        <w:tc>
          <w:tcPr>
            <w:tcW w:w="1001" w:type="dxa"/>
            <w:tcBorders>
              <w:right w:val="single" w:sz="18" w:space="0" w:color="auto"/>
            </w:tcBorders>
            <w:shd w:val="clear" w:color="auto" w:fill="C9EAFD" w:themeFill="accent3" w:themeFillTint="33"/>
          </w:tcPr>
          <w:p w14:paraId="60495443" w14:textId="40D8F0A1" w:rsidR="007838C4" w:rsidRPr="007838C4" w:rsidRDefault="007838C4" w:rsidP="007838C4">
            <w:pPr>
              <w:pStyle w:val="Tabletext"/>
              <w:jc w:val="left"/>
              <w:rPr>
                <w:rFonts w:cs="Calibri"/>
                <w:sz w:val="18"/>
                <w:szCs w:val="18"/>
              </w:rPr>
            </w:pPr>
            <w:r w:rsidRPr="007838C4">
              <w:rPr>
                <w:sz w:val="18"/>
                <w:szCs w:val="18"/>
              </w:rPr>
              <w:t>24.7</w:t>
            </w:r>
          </w:p>
        </w:tc>
        <w:tc>
          <w:tcPr>
            <w:tcW w:w="998" w:type="dxa"/>
            <w:tcBorders>
              <w:left w:val="single" w:sz="18" w:space="0" w:color="auto"/>
            </w:tcBorders>
            <w:shd w:val="clear" w:color="auto" w:fill="5EC2FA" w:themeFill="accent3" w:themeFillTint="99"/>
          </w:tcPr>
          <w:p w14:paraId="78327DD4" w14:textId="191CFF33" w:rsidR="007838C4" w:rsidRPr="007838C4" w:rsidRDefault="007838C4" w:rsidP="007838C4">
            <w:pPr>
              <w:pStyle w:val="Tabletext"/>
              <w:rPr>
                <w:rFonts w:cs="Calibri"/>
                <w:sz w:val="18"/>
                <w:szCs w:val="18"/>
              </w:rPr>
            </w:pPr>
            <w:r w:rsidRPr="007838C4">
              <w:rPr>
                <w:sz w:val="18"/>
                <w:szCs w:val="18"/>
              </w:rPr>
              <w:t>43.4</w:t>
            </w:r>
          </w:p>
        </w:tc>
        <w:tc>
          <w:tcPr>
            <w:tcW w:w="998" w:type="dxa"/>
            <w:shd w:val="clear" w:color="auto" w:fill="5EC2FA" w:themeFill="accent3" w:themeFillTint="99"/>
          </w:tcPr>
          <w:p w14:paraId="0A618C71" w14:textId="0876F589" w:rsidR="007838C4" w:rsidRPr="007838C4" w:rsidRDefault="007838C4" w:rsidP="007838C4">
            <w:pPr>
              <w:pStyle w:val="Tabletext"/>
              <w:rPr>
                <w:sz w:val="18"/>
                <w:szCs w:val="18"/>
              </w:rPr>
            </w:pPr>
            <w:r w:rsidRPr="007838C4">
              <w:rPr>
                <w:sz w:val="18"/>
                <w:szCs w:val="18"/>
              </w:rPr>
              <w:t>43.4</w:t>
            </w:r>
          </w:p>
        </w:tc>
        <w:tc>
          <w:tcPr>
            <w:tcW w:w="998" w:type="dxa"/>
            <w:shd w:val="clear" w:color="auto" w:fill="5EC2FA" w:themeFill="accent3" w:themeFillTint="99"/>
          </w:tcPr>
          <w:p w14:paraId="4FA35C40" w14:textId="56B6507A" w:rsidR="007838C4" w:rsidRPr="007838C4" w:rsidRDefault="007838C4" w:rsidP="007838C4">
            <w:pPr>
              <w:pStyle w:val="Tabletext"/>
              <w:rPr>
                <w:sz w:val="18"/>
                <w:szCs w:val="18"/>
              </w:rPr>
            </w:pPr>
            <w:r w:rsidRPr="007838C4">
              <w:rPr>
                <w:sz w:val="18"/>
                <w:szCs w:val="18"/>
              </w:rPr>
              <w:t>43.4</w:t>
            </w:r>
          </w:p>
        </w:tc>
        <w:tc>
          <w:tcPr>
            <w:tcW w:w="1440" w:type="dxa"/>
            <w:tcBorders>
              <w:right w:val="single" w:sz="18" w:space="0" w:color="auto"/>
            </w:tcBorders>
            <w:shd w:val="clear" w:color="auto" w:fill="5EC2FA" w:themeFill="accent3" w:themeFillTint="99"/>
          </w:tcPr>
          <w:p w14:paraId="7893433D" w14:textId="2B3A2BA4" w:rsidR="007838C4" w:rsidRPr="007838C4" w:rsidRDefault="007838C4" w:rsidP="007838C4">
            <w:pPr>
              <w:pStyle w:val="Tabletext"/>
              <w:rPr>
                <w:sz w:val="18"/>
                <w:szCs w:val="18"/>
              </w:rPr>
            </w:pPr>
            <w:r w:rsidRPr="007838C4">
              <w:rPr>
                <w:sz w:val="18"/>
                <w:szCs w:val="18"/>
              </w:rPr>
              <w:t>43.4</w:t>
            </w:r>
          </w:p>
        </w:tc>
        <w:tc>
          <w:tcPr>
            <w:tcW w:w="1510" w:type="dxa"/>
            <w:tcBorders>
              <w:left w:val="single" w:sz="18" w:space="0" w:color="auto"/>
              <w:right w:val="single" w:sz="18" w:space="0" w:color="auto"/>
            </w:tcBorders>
            <w:shd w:val="clear" w:color="auto" w:fill="A7A7A7" w:themeFill="text2"/>
          </w:tcPr>
          <w:p w14:paraId="5FDEC490" w14:textId="004A9097" w:rsidR="007838C4" w:rsidRPr="007F2A87" w:rsidRDefault="007838C4" w:rsidP="007838C4">
            <w:pPr>
              <w:pStyle w:val="Tabletext"/>
              <w:rPr>
                <w:sz w:val="18"/>
                <w:szCs w:val="18"/>
              </w:rPr>
            </w:pPr>
            <w:r w:rsidRPr="007F2A87">
              <w:rPr>
                <w:sz w:val="18"/>
                <w:szCs w:val="18"/>
              </w:rPr>
              <w:t>N/A</w:t>
            </w:r>
          </w:p>
        </w:tc>
      </w:tr>
      <w:tr w:rsidR="007838C4" w14:paraId="1E5858BF" w14:textId="016A3B19" w:rsidTr="000F6D7D">
        <w:trPr>
          <w:trHeight w:val="20"/>
        </w:trPr>
        <w:tc>
          <w:tcPr>
            <w:tcW w:w="1423" w:type="dxa"/>
            <w:tcBorders>
              <w:right w:val="single" w:sz="18" w:space="0" w:color="auto"/>
            </w:tcBorders>
            <w:shd w:val="clear" w:color="auto" w:fill="FFFFFF" w:themeFill="background1"/>
          </w:tcPr>
          <w:p w14:paraId="0A21D979" w14:textId="57C12D17" w:rsidR="007838C4" w:rsidRPr="002C3CCE" w:rsidRDefault="007838C4" w:rsidP="007838C4">
            <w:pPr>
              <w:pStyle w:val="Tabletext"/>
              <w:rPr>
                <w:rFonts w:cs="Calibri"/>
                <w:b/>
                <w:bCs/>
                <w:sz w:val="18"/>
                <w:szCs w:val="18"/>
              </w:rPr>
            </w:pPr>
            <w:r w:rsidRPr="002C3CCE">
              <w:rPr>
                <w:b/>
                <w:bCs/>
                <w:sz w:val="18"/>
                <w:szCs w:val="18"/>
              </w:rPr>
              <w:t>2010</w:t>
            </w:r>
          </w:p>
        </w:tc>
        <w:tc>
          <w:tcPr>
            <w:tcW w:w="1005" w:type="dxa"/>
            <w:tcBorders>
              <w:left w:val="single" w:sz="18" w:space="0" w:color="auto"/>
              <w:bottom w:val="single" w:sz="18" w:space="0" w:color="auto"/>
              <w:right w:val="single" w:sz="4" w:space="0" w:color="auto"/>
            </w:tcBorders>
            <w:shd w:val="clear" w:color="auto" w:fill="C9EAFD" w:themeFill="accent3" w:themeFillTint="33"/>
          </w:tcPr>
          <w:p w14:paraId="4FA09EF8" w14:textId="7D373793" w:rsidR="007838C4" w:rsidRPr="007838C4" w:rsidRDefault="007838C4" w:rsidP="007838C4">
            <w:pPr>
              <w:pStyle w:val="Tabletext"/>
              <w:jc w:val="left"/>
              <w:rPr>
                <w:rFonts w:cs="Calibri"/>
                <w:sz w:val="18"/>
                <w:szCs w:val="18"/>
              </w:rPr>
            </w:pPr>
            <w:r w:rsidRPr="007838C4">
              <w:rPr>
                <w:sz w:val="18"/>
                <w:szCs w:val="18"/>
              </w:rPr>
              <w:t>25.4</w:t>
            </w:r>
          </w:p>
        </w:tc>
        <w:tc>
          <w:tcPr>
            <w:tcW w:w="1001" w:type="dxa"/>
            <w:tcBorders>
              <w:left w:val="single" w:sz="4" w:space="0" w:color="auto"/>
              <w:bottom w:val="single" w:sz="18" w:space="0" w:color="auto"/>
              <w:right w:val="single" w:sz="18" w:space="0" w:color="auto"/>
            </w:tcBorders>
            <w:shd w:val="clear" w:color="auto" w:fill="C9EAFD" w:themeFill="accent3" w:themeFillTint="33"/>
          </w:tcPr>
          <w:p w14:paraId="5FFF69C8" w14:textId="46024FE2" w:rsidR="007838C4" w:rsidRPr="007838C4" w:rsidRDefault="007838C4" w:rsidP="007838C4">
            <w:pPr>
              <w:pStyle w:val="Tabletext"/>
              <w:jc w:val="left"/>
              <w:rPr>
                <w:rFonts w:cs="Calibri"/>
                <w:sz w:val="18"/>
                <w:szCs w:val="18"/>
              </w:rPr>
            </w:pPr>
            <w:r w:rsidRPr="007838C4">
              <w:rPr>
                <w:sz w:val="18"/>
                <w:szCs w:val="18"/>
              </w:rPr>
              <w:t>25.4</w:t>
            </w:r>
          </w:p>
        </w:tc>
        <w:tc>
          <w:tcPr>
            <w:tcW w:w="998" w:type="dxa"/>
            <w:tcBorders>
              <w:left w:val="single" w:sz="18" w:space="0" w:color="auto"/>
              <w:bottom w:val="single" w:sz="18" w:space="0" w:color="auto"/>
            </w:tcBorders>
            <w:shd w:val="clear" w:color="auto" w:fill="5EC2FA" w:themeFill="accent3" w:themeFillTint="99"/>
          </w:tcPr>
          <w:p w14:paraId="648A07C1" w14:textId="0961FB1D" w:rsidR="007838C4" w:rsidRPr="007838C4" w:rsidRDefault="007838C4" w:rsidP="007838C4">
            <w:pPr>
              <w:pStyle w:val="Tabletext"/>
              <w:rPr>
                <w:rFonts w:cs="Calibri"/>
                <w:sz w:val="18"/>
                <w:szCs w:val="18"/>
              </w:rPr>
            </w:pPr>
            <w:r w:rsidRPr="007838C4">
              <w:rPr>
                <w:sz w:val="18"/>
                <w:szCs w:val="18"/>
              </w:rPr>
              <w:t>45.5</w:t>
            </w:r>
          </w:p>
        </w:tc>
        <w:tc>
          <w:tcPr>
            <w:tcW w:w="998" w:type="dxa"/>
            <w:tcBorders>
              <w:bottom w:val="single" w:sz="18" w:space="0" w:color="auto"/>
            </w:tcBorders>
            <w:shd w:val="clear" w:color="auto" w:fill="5EC2FA" w:themeFill="accent3" w:themeFillTint="99"/>
          </w:tcPr>
          <w:p w14:paraId="3F087FD6" w14:textId="0EEB2C67" w:rsidR="007838C4" w:rsidRPr="007838C4" w:rsidRDefault="007838C4" w:rsidP="007838C4">
            <w:pPr>
              <w:pStyle w:val="Tabletext"/>
              <w:rPr>
                <w:sz w:val="18"/>
                <w:szCs w:val="18"/>
              </w:rPr>
            </w:pPr>
            <w:r w:rsidRPr="007838C4">
              <w:rPr>
                <w:sz w:val="18"/>
                <w:szCs w:val="18"/>
              </w:rPr>
              <w:t>45.5</w:t>
            </w:r>
          </w:p>
        </w:tc>
        <w:tc>
          <w:tcPr>
            <w:tcW w:w="998" w:type="dxa"/>
            <w:tcBorders>
              <w:bottom w:val="single" w:sz="18" w:space="0" w:color="auto"/>
            </w:tcBorders>
            <w:shd w:val="clear" w:color="auto" w:fill="5EC2FA" w:themeFill="accent3" w:themeFillTint="99"/>
          </w:tcPr>
          <w:p w14:paraId="7A3F560B" w14:textId="6F132CFA" w:rsidR="007838C4" w:rsidRPr="007838C4" w:rsidRDefault="007838C4" w:rsidP="007838C4">
            <w:pPr>
              <w:pStyle w:val="Tabletext"/>
              <w:rPr>
                <w:sz w:val="18"/>
                <w:szCs w:val="18"/>
              </w:rPr>
            </w:pPr>
            <w:r w:rsidRPr="007838C4">
              <w:rPr>
                <w:sz w:val="18"/>
                <w:szCs w:val="18"/>
              </w:rPr>
              <w:t>45.5</w:t>
            </w:r>
          </w:p>
        </w:tc>
        <w:tc>
          <w:tcPr>
            <w:tcW w:w="1440" w:type="dxa"/>
            <w:tcBorders>
              <w:bottom w:val="single" w:sz="18" w:space="0" w:color="auto"/>
              <w:right w:val="single" w:sz="18" w:space="0" w:color="auto"/>
            </w:tcBorders>
            <w:shd w:val="clear" w:color="auto" w:fill="5EC2FA" w:themeFill="accent3" w:themeFillTint="99"/>
          </w:tcPr>
          <w:p w14:paraId="6EDEA910" w14:textId="4DB1708D" w:rsidR="007838C4" w:rsidRPr="007838C4" w:rsidRDefault="007838C4" w:rsidP="007838C4">
            <w:pPr>
              <w:pStyle w:val="Tabletext"/>
              <w:rPr>
                <w:sz w:val="18"/>
                <w:szCs w:val="18"/>
              </w:rPr>
            </w:pPr>
            <w:r w:rsidRPr="007838C4">
              <w:rPr>
                <w:sz w:val="18"/>
                <w:szCs w:val="18"/>
              </w:rPr>
              <w:t>45.5</w:t>
            </w:r>
          </w:p>
        </w:tc>
        <w:tc>
          <w:tcPr>
            <w:tcW w:w="1510" w:type="dxa"/>
            <w:tcBorders>
              <w:left w:val="single" w:sz="18" w:space="0" w:color="auto"/>
              <w:right w:val="single" w:sz="18" w:space="0" w:color="auto"/>
            </w:tcBorders>
            <w:shd w:val="clear" w:color="auto" w:fill="A7A7A7" w:themeFill="text2"/>
          </w:tcPr>
          <w:p w14:paraId="6369DE2D" w14:textId="4799AADA" w:rsidR="007838C4" w:rsidRPr="007F2A87" w:rsidRDefault="007838C4" w:rsidP="007838C4">
            <w:pPr>
              <w:pStyle w:val="Tabletext"/>
              <w:rPr>
                <w:sz w:val="18"/>
                <w:szCs w:val="18"/>
              </w:rPr>
            </w:pPr>
            <w:r w:rsidRPr="007F2A87">
              <w:rPr>
                <w:sz w:val="18"/>
                <w:szCs w:val="18"/>
              </w:rPr>
              <w:t>N/A</w:t>
            </w:r>
          </w:p>
        </w:tc>
      </w:tr>
      <w:tr w:rsidR="007838C4" w14:paraId="33F5453E" w14:textId="3937E071" w:rsidTr="000F6D7D">
        <w:trPr>
          <w:trHeight w:val="20"/>
        </w:trPr>
        <w:tc>
          <w:tcPr>
            <w:tcW w:w="1423" w:type="dxa"/>
            <w:tcBorders>
              <w:right w:val="single" w:sz="18" w:space="0" w:color="auto"/>
            </w:tcBorders>
            <w:shd w:val="clear" w:color="auto" w:fill="FFFFFF" w:themeFill="background1"/>
          </w:tcPr>
          <w:p w14:paraId="3E5164DD" w14:textId="76DEF649" w:rsidR="007838C4" w:rsidRPr="002C3CCE" w:rsidRDefault="007838C4" w:rsidP="007838C4">
            <w:pPr>
              <w:pStyle w:val="Tabletext"/>
              <w:rPr>
                <w:rFonts w:cs="Calibri"/>
                <w:b/>
                <w:bCs/>
                <w:sz w:val="18"/>
                <w:szCs w:val="18"/>
              </w:rPr>
            </w:pPr>
            <w:r w:rsidRPr="002C3CCE">
              <w:rPr>
                <w:b/>
                <w:bCs/>
                <w:sz w:val="18"/>
                <w:szCs w:val="18"/>
              </w:rPr>
              <w:t>2009</w:t>
            </w:r>
          </w:p>
        </w:tc>
        <w:tc>
          <w:tcPr>
            <w:tcW w:w="1005" w:type="dxa"/>
            <w:tcBorders>
              <w:top w:val="single" w:sz="18" w:space="0" w:color="auto"/>
              <w:left w:val="single" w:sz="18" w:space="0" w:color="auto"/>
            </w:tcBorders>
            <w:shd w:val="clear" w:color="auto" w:fill="93D6FC" w:themeFill="accent3" w:themeFillTint="66"/>
          </w:tcPr>
          <w:p w14:paraId="53974514" w14:textId="107F63F0" w:rsidR="007838C4" w:rsidRPr="007838C4" w:rsidRDefault="007838C4" w:rsidP="007838C4">
            <w:pPr>
              <w:pStyle w:val="Tabletext"/>
              <w:jc w:val="left"/>
              <w:rPr>
                <w:rFonts w:cs="Calibri"/>
                <w:sz w:val="18"/>
                <w:szCs w:val="18"/>
              </w:rPr>
            </w:pPr>
            <w:r w:rsidRPr="007838C4">
              <w:rPr>
                <w:sz w:val="18"/>
                <w:szCs w:val="18"/>
              </w:rPr>
              <w:t>25.0</w:t>
            </w:r>
          </w:p>
        </w:tc>
        <w:tc>
          <w:tcPr>
            <w:tcW w:w="1001" w:type="dxa"/>
            <w:tcBorders>
              <w:top w:val="single" w:sz="18" w:space="0" w:color="auto"/>
              <w:right w:val="single" w:sz="18" w:space="0" w:color="auto"/>
            </w:tcBorders>
            <w:shd w:val="clear" w:color="auto" w:fill="93D6FC" w:themeFill="accent3" w:themeFillTint="66"/>
          </w:tcPr>
          <w:p w14:paraId="6D420573" w14:textId="13177DD4" w:rsidR="007838C4" w:rsidRPr="007838C4" w:rsidRDefault="007838C4" w:rsidP="007838C4">
            <w:pPr>
              <w:pStyle w:val="Tabletext"/>
              <w:jc w:val="left"/>
              <w:rPr>
                <w:rFonts w:cs="Calibri"/>
                <w:sz w:val="18"/>
                <w:szCs w:val="18"/>
              </w:rPr>
            </w:pPr>
            <w:r w:rsidRPr="007838C4">
              <w:rPr>
                <w:sz w:val="18"/>
                <w:szCs w:val="18"/>
              </w:rPr>
              <w:t>25.0</w:t>
            </w:r>
          </w:p>
        </w:tc>
        <w:tc>
          <w:tcPr>
            <w:tcW w:w="998" w:type="dxa"/>
            <w:tcBorders>
              <w:top w:val="single" w:sz="18" w:space="0" w:color="auto"/>
              <w:left w:val="single" w:sz="18" w:space="0" w:color="auto"/>
            </w:tcBorders>
            <w:shd w:val="clear" w:color="auto" w:fill="0695E5" w:themeFill="accent3"/>
          </w:tcPr>
          <w:p w14:paraId="18D81047" w14:textId="2CD9FB8D" w:rsidR="007838C4" w:rsidRPr="007838C4" w:rsidRDefault="007838C4" w:rsidP="007838C4">
            <w:pPr>
              <w:pStyle w:val="Tabletext"/>
              <w:rPr>
                <w:rFonts w:cs="Calibri"/>
                <w:sz w:val="18"/>
                <w:szCs w:val="18"/>
              </w:rPr>
            </w:pPr>
            <w:r w:rsidRPr="007838C4">
              <w:rPr>
                <w:sz w:val="18"/>
                <w:szCs w:val="18"/>
              </w:rPr>
              <w:t>40.5</w:t>
            </w:r>
          </w:p>
        </w:tc>
        <w:tc>
          <w:tcPr>
            <w:tcW w:w="998" w:type="dxa"/>
            <w:tcBorders>
              <w:top w:val="single" w:sz="18" w:space="0" w:color="auto"/>
            </w:tcBorders>
            <w:shd w:val="clear" w:color="auto" w:fill="0695E5" w:themeFill="accent3"/>
          </w:tcPr>
          <w:p w14:paraId="25CB61EA" w14:textId="4194250B" w:rsidR="007838C4" w:rsidRPr="007838C4" w:rsidRDefault="007838C4" w:rsidP="007838C4">
            <w:pPr>
              <w:pStyle w:val="Tabletext"/>
              <w:rPr>
                <w:sz w:val="18"/>
                <w:szCs w:val="18"/>
              </w:rPr>
            </w:pPr>
            <w:r w:rsidRPr="007838C4">
              <w:rPr>
                <w:sz w:val="18"/>
                <w:szCs w:val="18"/>
              </w:rPr>
              <w:t>40.5</w:t>
            </w:r>
          </w:p>
        </w:tc>
        <w:tc>
          <w:tcPr>
            <w:tcW w:w="998" w:type="dxa"/>
            <w:tcBorders>
              <w:top w:val="single" w:sz="18" w:space="0" w:color="auto"/>
            </w:tcBorders>
            <w:shd w:val="clear" w:color="auto" w:fill="0695E5" w:themeFill="accent3"/>
          </w:tcPr>
          <w:p w14:paraId="5D4BB6BE" w14:textId="6B5DE226" w:rsidR="007838C4" w:rsidRPr="007838C4" w:rsidRDefault="007838C4" w:rsidP="007838C4">
            <w:pPr>
              <w:pStyle w:val="Tabletext"/>
              <w:rPr>
                <w:sz w:val="18"/>
                <w:szCs w:val="18"/>
              </w:rPr>
            </w:pPr>
            <w:r w:rsidRPr="007838C4">
              <w:rPr>
                <w:sz w:val="18"/>
                <w:szCs w:val="18"/>
              </w:rPr>
              <w:t>40.5</w:t>
            </w:r>
          </w:p>
        </w:tc>
        <w:tc>
          <w:tcPr>
            <w:tcW w:w="1440" w:type="dxa"/>
            <w:tcBorders>
              <w:top w:val="single" w:sz="18" w:space="0" w:color="auto"/>
              <w:right w:val="single" w:sz="18" w:space="0" w:color="auto"/>
            </w:tcBorders>
            <w:shd w:val="clear" w:color="auto" w:fill="0695E5" w:themeFill="accent3"/>
          </w:tcPr>
          <w:p w14:paraId="3AFA010E" w14:textId="0BB9ACC4" w:rsidR="007838C4" w:rsidRPr="007838C4" w:rsidRDefault="007838C4" w:rsidP="007838C4">
            <w:pPr>
              <w:pStyle w:val="Tabletext"/>
              <w:rPr>
                <w:sz w:val="18"/>
                <w:szCs w:val="18"/>
              </w:rPr>
            </w:pPr>
            <w:r w:rsidRPr="007838C4">
              <w:rPr>
                <w:sz w:val="18"/>
                <w:szCs w:val="18"/>
              </w:rPr>
              <w:t>40.5</w:t>
            </w:r>
          </w:p>
        </w:tc>
        <w:tc>
          <w:tcPr>
            <w:tcW w:w="1510" w:type="dxa"/>
            <w:tcBorders>
              <w:left w:val="single" w:sz="18" w:space="0" w:color="auto"/>
              <w:right w:val="single" w:sz="18" w:space="0" w:color="auto"/>
            </w:tcBorders>
            <w:shd w:val="clear" w:color="auto" w:fill="A7A7A7" w:themeFill="text2"/>
          </w:tcPr>
          <w:p w14:paraId="2FAA1D6D" w14:textId="6D3C374C" w:rsidR="007838C4" w:rsidRPr="007F2A87" w:rsidRDefault="007838C4" w:rsidP="007838C4">
            <w:pPr>
              <w:pStyle w:val="Tabletext"/>
              <w:rPr>
                <w:sz w:val="18"/>
                <w:szCs w:val="18"/>
              </w:rPr>
            </w:pPr>
            <w:r w:rsidRPr="007F2A87">
              <w:rPr>
                <w:sz w:val="18"/>
                <w:szCs w:val="18"/>
              </w:rPr>
              <w:t>N/A</w:t>
            </w:r>
          </w:p>
        </w:tc>
      </w:tr>
      <w:tr w:rsidR="007838C4" w14:paraId="55D68675" w14:textId="1FC23908" w:rsidTr="000F6D7D">
        <w:trPr>
          <w:trHeight w:val="20"/>
        </w:trPr>
        <w:tc>
          <w:tcPr>
            <w:tcW w:w="1423" w:type="dxa"/>
            <w:tcBorders>
              <w:right w:val="single" w:sz="18" w:space="0" w:color="auto"/>
            </w:tcBorders>
            <w:shd w:val="clear" w:color="auto" w:fill="FFFFFF" w:themeFill="background1"/>
          </w:tcPr>
          <w:p w14:paraId="636E2002" w14:textId="791F986F" w:rsidR="007838C4" w:rsidRPr="002C3CCE" w:rsidRDefault="007838C4" w:rsidP="007838C4">
            <w:pPr>
              <w:pStyle w:val="Tabletext"/>
              <w:rPr>
                <w:rFonts w:cs="Calibri"/>
                <w:b/>
                <w:bCs/>
                <w:sz w:val="18"/>
                <w:szCs w:val="18"/>
              </w:rPr>
            </w:pPr>
            <w:r w:rsidRPr="002C3CCE">
              <w:rPr>
                <w:b/>
                <w:bCs/>
                <w:sz w:val="18"/>
                <w:szCs w:val="18"/>
              </w:rPr>
              <w:t>2008</w:t>
            </w:r>
          </w:p>
        </w:tc>
        <w:tc>
          <w:tcPr>
            <w:tcW w:w="1005" w:type="dxa"/>
            <w:tcBorders>
              <w:left w:val="single" w:sz="18" w:space="0" w:color="auto"/>
            </w:tcBorders>
            <w:shd w:val="clear" w:color="auto" w:fill="93D6FC" w:themeFill="accent3" w:themeFillTint="66"/>
          </w:tcPr>
          <w:p w14:paraId="12CEC751" w14:textId="552477C7" w:rsidR="007838C4" w:rsidRPr="007838C4" w:rsidRDefault="007838C4" w:rsidP="007838C4">
            <w:pPr>
              <w:pStyle w:val="Tabletext"/>
              <w:jc w:val="left"/>
              <w:rPr>
                <w:rFonts w:cs="Calibri"/>
                <w:sz w:val="18"/>
                <w:szCs w:val="18"/>
              </w:rPr>
            </w:pPr>
            <w:r w:rsidRPr="007838C4">
              <w:rPr>
                <w:sz w:val="18"/>
                <w:szCs w:val="18"/>
              </w:rPr>
              <w:t>23.9</w:t>
            </w:r>
          </w:p>
        </w:tc>
        <w:tc>
          <w:tcPr>
            <w:tcW w:w="1001" w:type="dxa"/>
            <w:tcBorders>
              <w:right w:val="single" w:sz="18" w:space="0" w:color="auto"/>
            </w:tcBorders>
            <w:shd w:val="clear" w:color="auto" w:fill="93D6FC" w:themeFill="accent3" w:themeFillTint="66"/>
          </w:tcPr>
          <w:p w14:paraId="21C1390E" w14:textId="5FF8399B" w:rsidR="007838C4" w:rsidRPr="007838C4" w:rsidRDefault="007838C4" w:rsidP="007838C4">
            <w:pPr>
              <w:pStyle w:val="Tabletext"/>
              <w:jc w:val="left"/>
              <w:rPr>
                <w:rFonts w:cs="Calibri"/>
                <w:sz w:val="18"/>
                <w:szCs w:val="18"/>
              </w:rPr>
            </w:pPr>
            <w:r w:rsidRPr="007838C4">
              <w:rPr>
                <w:sz w:val="18"/>
                <w:szCs w:val="18"/>
              </w:rPr>
              <w:t>23.9</w:t>
            </w:r>
          </w:p>
        </w:tc>
        <w:tc>
          <w:tcPr>
            <w:tcW w:w="998" w:type="dxa"/>
            <w:tcBorders>
              <w:left w:val="single" w:sz="18" w:space="0" w:color="auto"/>
            </w:tcBorders>
            <w:shd w:val="clear" w:color="auto" w:fill="0695E5" w:themeFill="accent3"/>
          </w:tcPr>
          <w:p w14:paraId="0CB6A4A2" w14:textId="766179FD" w:rsidR="007838C4" w:rsidRPr="007838C4" w:rsidRDefault="007838C4" w:rsidP="007838C4">
            <w:pPr>
              <w:pStyle w:val="Tabletext"/>
              <w:rPr>
                <w:rFonts w:cs="Calibri"/>
                <w:sz w:val="18"/>
                <w:szCs w:val="18"/>
              </w:rPr>
            </w:pPr>
            <w:r w:rsidRPr="007838C4">
              <w:rPr>
                <w:sz w:val="18"/>
                <w:szCs w:val="18"/>
              </w:rPr>
              <w:t>39.2</w:t>
            </w:r>
          </w:p>
        </w:tc>
        <w:tc>
          <w:tcPr>
            <w:tcW w:w="998" w:type="dxa"/>
            <w:shd w:val="clear" w:color="auto" w:fill="0695E5" w:themeFill="accent3"/>
          </w:tcPr>
          <w:p w14:paraId="52A023DA" w14:textId="1491DD78" w:rsidR="007838C4" w:rsidRPr="007838C4" w:rsidRDefault="007838C4" w:rsidP="007838C4">
            <w:pPr>
              <w:pStyle w:val="Tabletext"/>
              <w:rPr>
                <w:sz w:val="18"/>
                <w:szCs w:val="18"/>
              </w:rPr>
            </w:pPr>
            <w:r w:rsidRPr="007838C4">
              <w:rPr>
                <w:sz w:val="18"/>
                <w:szCs w:val="18"/>
              </w:rPr>
              <w:t>39.2</w:t>
            </w:r>
          </w:p>
        </w:tc>
        <w:tc>
          <w:tcPr>
            <w:tcW w:w="998" w:type="dxa"/>
            <w:shd w:val="clear" w:color="auto" w:fill="0695E5" w:themeFill="accent3"/>
          </w:tcPr>
          <w:p w14:paraId="1FB54D7C" w14:textId="3AE9F021" w:rsidR="007838C4" w:rsidRPr="007838C4" w:rsidRDefault="007838C4" w:rsidP="007838C4">
            <w:pPr>
              <w:pStyle w:val="Tabletext"/>
              <w:rPr>
                <w:sz w:val="18"/>
                <w:szCs w:val="18"/>
              </w:rPr>
            </w:pPr>
            <w:r w:rsidRPr="007838C4">
              <w:rPr>
                <w:sz w:val="18"/>
                <w:szCs w:val="18"/>
              </w:rPr>
              <w:t>39.2</w:t>
            </w:r>
          </w:p>
        </w:tc>
        <w:tc>
          <w:tcPr>
            <w:tcW w:w="1440" w:type="dxa"/>
            <w:tcBorders>
              <w:right w:val="single" w:sz="18" w:space="0" w:color="auto"/>
            </w:tcBorders>
            <w:shd w:val="clear" w:color="auto" w:fill="0695E5" w:themeFill="accent3"/>
          </w:tcPr>
          <w:p w14:paraId="65EE257A" w14:textId="3BADE9EC" w:rsidR="007838C4" w:rsidRPr="007838C4" w:rsidRDefault="007838C4" w:rsidP="007838C4">
            <w:pPr>
              <w:pStyle w:val="Tabletext"/>
              <w:rPr>
                <w:sz w:val="18"/>
                <w:szCs w:val="18"/>
              </w:rPr>
            </w:pPr>
            <w:r w:rsidRPr="007838C4">
              <w:rPr>
                <w:sz w:val="18"/>
                <w:szCs w:val="18"/>
              </w:rPr>
              <w:t>39.2</w:t>
            </w:r>
          </w:p>
        </w:tc>
        <w:tc>
          <w:tcPr>
            <w:tcW w:w="1510" w:type="dxa"/>
            <w:tcBorders>
              <w:left w:val="single" w:sz="18" w:space="0" w:color="auto"/>
              <w:right w:val="single" w:sz="18" w:space="0" w:color="auto"/>
            </w:tcBorders>
            <w:shd w:val="clear" w:color="auto" w:fill="A7A7A7" w:themeFill="text2"/>
          </w:tcPr>
          <w:p w14:paraId="7912B574" w14:textId="3A225F7D" w:rsidR="007838C4" w:rsidRPr="007F2A87" w:rsidRDefault="007838C4" w:rsidP="007838C4">
            <w:pPr>
              <w:pStyle w:val="Tabletext"/>
              <w:rPr>
                <w:sz w:val="18"/>
                <w:szCs w:val="18"/>
              </w:rPr>
            </w:pPr>
            <w:r w:rsidRPr="007F2A87">
              <w:rPr>
                <w:sz w:val="18"/>
                <w:szCs w:val="18"/>
              </w:rPr>
              <w:t>N/A</w:t>
            </w:r>
          </w:p>
        </w:tc>
      </w:tr>
      <w:tr w:rsidR="007838C4" w:rsidRPr="7ACA0E52" w14:paraId="44A9F798" w14:textId="62779AD1" w:rsidTr="000F6D7D">
        <w:trPr>
          <w:trHeight w:val="20"/>
        </w:trPr>
        <w:tc>
          <w:tcPr>
            <w:tcW w:w="1423" w:type="dxa"/>
            <w:tcBorders>
              <w:right w:val="single" w:sz="18" w:space="0" w:color="auto"/>
            </w:tcBorders>
            <w:shd w:val="clear" w:color="auto" w:fill="FFFFFF" w:themeFill="background1"/>
          </w:tcPr>
          <w:p w14:paraId="21F12BC5" w14:textId="2EC96C72" w:rsidR="007838C4" w:rsidRPr="002C3CCE" w:rsidRDefault="007838C4" w:rsidP="007838C4">
            <w:pPr>
              <w:pStyle w:val="Tabletext"/>
              <w:jc w:val="left"/>
              <w:rPr>
                <w:rFonts w:cs="Calibri"/>
                <w:b/>
                <w:bCs/>
                <w:sz w:val="18"/>
                <w:szCs w:val="18"/>
              </w:rPr>
            </w:pPr>
            <w:r w:rsidRPr="002C3CCE">
              <w:rPr>
                <w:b/>
                <w:bCs/>
                <w:sz w:val="18"/>
                <w:szCs w:val="18"/>
              </w:rPr>
              <w:t>2007</w:t>
            </w:r>
          </w:p>
        </w:tc>
        <w:tc>
          <w:tcPr>
            <w:tcW w:w="1005" w:type="dxa"/>
            <w:tcBorders>
              <w:left w:val="single" w:sz="18" w:space="0" w:color="auto"/>
            </w:tcBorders>
            <w:shd w:val="clear" w:color="auto" w:fill="93D6FC" w:themeFill="accent3" w:themeFillTint="66"/>
          </w:tcPr>
          <w:p w14:paraId="3C28E24F" w14:textId="37C9EE76" w:rsidR="007838C4" w:rsidRPr="007838C4" w:rsidRDefault="007838C4" w:rsidP="007838C4">
            <w:pPr>
              <w:pStyle w:val="Tabletext"/>
              <w:jc w:val="left"/>
              <w:rPr>
                <w:rFonts w:cs="Calibri"/>
                <w:sz w:val="18"/>
                <w:szCs w:val="18"/>
              </w:rPr>
            </w:pPr>
            <w:r w:rsidRPr="007838C4">
              <w:rPr>
                <w:sz w:val="18"/>
                <w:szCs w:val="18"/>
              </w:rPr>
              <w:t>23.7</w:t>
            </w:r>
          </w:p>
        </w:tc>
        <w:tc>
          <w:tcPr>
            <w:tcW w:w="1001" w:type="dxa"/>
            <w:tcBorders>
              <w:right w:val="single" w:sz="18" w:space="0" w:color="auto"/>
            </w:tcBorders>
            <w:shd w:val="clear" w:color="auto" w:fill="93D6FC" w:themeFill="accent3" w:themeFillTint="66"/>
          </w:tcPr>
          <w:p w14:paraId="077EBDF4" w14:textId="6E082195" w:rsidR="007838C4" w:rsidRPr="007838C4" w:rsidRDefault="007838C4" w:rsidP="007838C4">
            <w:pPr>
              <w:pStyle w:val="Tabletext"/>
              <w:jc w:val="left"/>
              <w:rPr>
                <w:rFonts w:cs="Calibri"/>
                <w:sz w:val="18"/>
                <w:szCs w:val="18"/>
              </w:rPr>
            </w:pPr>
            <w:r w:rsidRPr="007838C4">
              <w:rPr>
                <w:sz w:val="18"/>
                <w:szCs w:val="18"/>
              </w:rPr>
              <w:t>23.7</w:t>
            </w:r>
          </w:p>
        </w:tc>
        <w:tc>
          <w:tcPr>
            <w:tcW w:w="998" w:type="dxa"/>
            <w:tcBorders>
              <w:left w:val="single" w:sz="18" w:space="0" w:color="auto"/>
            </w:tcBorders>
            <w:shd w:val="clear" w:color="auto" w:fill="0695E5" w:themeFill="accent3"/>
          </w:tcPr>
          <w:p w14:paraId="2449F789" w14:textId="39317B1C" w:rsidR="007838C4" w:rsidRPr="007838C4" w:rsidRDefault="007838C4" w:rsidP="007838C4">
            <w:pPr>
              <w:pStyle w:val="Tabletext"/>
              <w:rPr>
                <w:b/>
                <w:sz w:val="18"/>
                <w:szCs w:val="18"/>
              </w:rPr>
            </w:pPr>
            <w:r w:rsidRPr="007838C4">
              <w:rPr>
                <w:sz w:val="18"/>
                <w:szCs w:val="18"/>
              </w:rPr>
              <w:t>39.0</w:t>
            </w:r>
          </w:p>
        </w:tc>
        <w:tc>
          <w:tcPr>
            <w:tcW w:w="998" w:type="dxa"/>
            <w:shd w:val="clear" w:color="auto" w:fill="0695E5" w:themeFill="accent3"/>
          </w:tcPr>
          <w:p w14:paraId="5A52A132" w14:textId="3A4CB10C" w:rsidR="007838C4" w:rsidRPr="007838C4" w:rsidRDefault="007838C4" w:rsidP="007838C4">
            <w:pPr>
              <w:pStyle w:val="Tabletext"/>
              <w:rPr>
                <w:b/>
                <w:bCs/>
                <w:sz w:val="18"/>
                <w:szCs w:val="18"/>
              </w:rPr>
            </w:pPr>
            <w:r w:rsidRPr="007838C4">
              <w:rPr>
                <w:sz w:val="18"/>
                <w:szCs w:val="18"/>
              </w:rPr>
              <w:t>39.0</w:t>
            </w:r>
          </w:p>
        </w:tc>
        <w:tc>
          <w:tcPr>
            <w:tcW w:w="998" w:type="dxa"/>
            <w:shd w:val="clear" w:color="auto" w:fill="0695E5" w:themeFill="accent3"/>
          </w:tcPr>
          <w:p w14:paraId="1324A72F" w14:textId="2B30E4F7" w:rsidR="007838C4" w:rsidRPr="007838C4" w:rsidRDefault="007838C4" w:rsidP="007838C4">
            <w:pPr>
              <w:pStyle w:val="Tabletext"/>
              <w:rPr>
                <w:b/>
                <w:bCs/>
                <w:sz w:val="18"/>
                <w:szCs w:val="18"/>
              </w:rPr>
            </w:pPr>
            <w:r w:rsidRPr="007838C4">
              <w:rPr>
                <w:sz w:val="18"/>
                <w:szCs w:val="18"/>
              </w:rPr>
              <w:t>39.0</w:t>
            </w:r>
          </w:p>
        </w:tc>
        <w:tc>
          <w:tcPr>
            <w:tcW w:w="1440" w:type="dxa"/>
            <w:tcBorders>
              <w:right w:val="single" w:sz="18" w:space="0" w:color="auto"/>
            </w:tcBorders>
            <w:shd w:val="clear" w:color="auto" w:fill="0695E5" w:themeFill="accent3"/>
          </w:tcPr>
          <w:p w14:paraId="5F36A9ED" w14:textId="0DCC95C6" w:rsidR="007838C4" w:rsidRPr="007838C4" w:rsidRDefault="007838C4" w:rsidP="007838C4">
            <w:pPr>
              <w:pStyle w:val="Tabletext"/>
              <w:rPr>
                <w:b/>
                <w:bCs/>
                <w:sz w:val="18"/>
                <w:szCs w:val="18"/>
              </w:rPr>
            </w:pPr>
            <w:r w:rsidRPr="007838C4">
              <w:rPr>
                <w:sz w:val="18"/>
                <w:szCs w:val="18"/>
              </w:rPr>
              <w:t>39.0</w:t>
            </w:r>
          </w:p>
        </w:tc>
        <w:tc>
          <w:tcPr>
            <w:tcW w:w="1510" w:type="dxa"/>
            <w:tcBorders>
              <w:left w:val="single" w:sz="18" w:space="0" w:color="auto"/>
              <w:right w:val="single" w:sz="18" w:space="0" w:color="auto"/>
            </w:tcBorders>
            <w:shd w:val="clear" w:color="auto" w:fill="A7A7A7" w:themeFill="text2"/>
          </w:tcPr>
          <w:p w14:paraId="217B2FE6" w14:textId="53B60212" w:rsidR="007838C4" w:rsidRPr="007F2A87" w:rsidRDefault="007838C4" w:rsidP="007838C4">
            <w:pPr>
              <w:pStyle w:val="Tabletext"/>
              <w:rPr>
                <w:b/>
                <w:bCs/>
                <w:sz w:val="18"/>
                <w:szCs w:val="18"/>
              </w:rPr>
            </w:pPr>
            <w:r w:rsidRPr="007F2A87">
              <w:rPr>
                <w:sz w:val="18"/>
                <w:szCs w:val="18"/>
              </w:rPr>
              <w:t>N/A</w:t>
            </w:r>
          </w:p>
        </w:tc>
      </w:tr>
      <w:tr w:rsidR="007838C4" w:rsidRPr="7ACA0E52" w14:paraId="3136A479" w14:textId="0385C180" w:rsidTr="000F6D7D">
        <w:trPr>
          <w:trHeight w:val="20"/>
        </w:trPr>
        <w:tc>
          <w:tcPr>
            <w:tcW w:w="1423" w:type="dxa"/>
            <w:tcBorders>
              <w:right w:val="single" w:sz="18" w:space="0" w:color="auto"/>
            </w:tcBorders>
            <w:shd w:val="clear" w:color="auto" w:fill="FFFFFF" w:themeFill="background1"/>
            <w:vAlign w:val="bottom"/>
          </w:tcPr>
          <w:p w14:paraId="040C95E0" w14:textId="042E234F" w:rsidR="007838C4" w:rsidRPr="002C3CCE" w:rsidRDefault="007838C4" w:rsidP="007838C4">
            <w:pPr>
              <w:pStyle w:val="Tabletext"/>
              <w:jc w:val="left"/>
              <w:rPr>
                <w:b/>
                <w:bCs/>
                <w:sz w:val="18"/>
                <w:szCs w:val="18"/>
              </w:rPr>
            </w:pPr>
            <w:r w:rsidRPr="002C3CCE">
              <w:rPr>
                <w:rFonts w:cs="Calibri"/>
                <w:b/>
                <w:bCs/>
                <w:color w:val="000000"/>
                <w:sz w:val="18"/>
                <w:szCs w:val="18"/>
              </w:rPr>
              <w:t>2006</w:t>
            </w:r>
          </w:p>
        </w:tc>
        <w:tc>
          <w:tcPr>
            <w:tcW w:w="1005" w:type="dxa"/>
            <w:tcBorders>
              <w:left w:val="single" w:sz="18" w:space="0" w:color="auto"/>
            </w:tcBorders>
            <w:shd w:val="clear" w:color="auto" w:fill="93D6FC" w:themeFill="accent3" w:themeFillTint="66"/>
          </w:tcPr>
          <w:p w14:paraId="71DE6433" w14:textId="7C9A8FB0" w:rsidR="007838C4" w:rsidRPr="007838C4" w:rsidRDefault="007838C4" w:rsidP="007838C4">
            <w:pPr>
              <w:pStyle w:val="Tabletext"/>
              <w:jc w:val="left"/>
              <w:rPr>
                <w:b/>
                <w:bCs/>
                <w:sz w:val="18"/>
                <w:szCs w:val="18"/>
              </w:rPr>
            </w:pPr>
            <w:r w:rsidRPr="007838C4">
              <w:rPr>
                <w:sz w:val="18"/>
                <w:szCs w:val="18"/>
              </w:rPr>
              <w:t>23.0</w:t>
            </w:r>
          </w:p>
        </w:tc>
        <w:tc>
          <w:tcPr>
            <w:tcW w:w="1001" w:type="dxa"/>
            <w:tcBorders>
              <w:right w:val="single" w:sz="18" w:space="0" w:color="auto"/>
            </w:tcBorders>
            <w:shd w:val="clear" w:color="auto" w:fill="93D6FC" w:themeFill="accent3" w:themeFillTint="66"/>
          </w:tcPr>
          <w:p w14:paraId="7BB6F0B6" w14:textId="50874D12" w:rsidR="007838C4" w:rsidRPr="007838C4" w:rsidRDefault="007838C4" w:rsidP="007838C4">
            <w:pPr>
              <w:pStyle w:val="Tabletext"/>
              <w:jc w:val="left"/>
              <w:rPr>
                <w:rFonts w:cs="Calibri"/>
                <w:b/>
                <w:bCs/>
                <w:i/>
                <w:iCs/>
                <w:sz w:val="18"/>
                <w:szCs w:val="18"/>
              </w:rPr>
            </w:pPr>
            <w:r w:rsidRPr="007838C4">
              <w:rPr>
                <w:sz w:val="18"/>
                <w:szCs w:val="18"/>
              </w:rPr>
              <w:t>23.0</w:t>
            </w:r>
          </w:p>
        </w:tc>
        <w:tc>
          <w:tcPr>
            <w:tcW w:w="998" w:type="dxa"/>
            <w:tcBorders>
              <w:left w:val="single" w:sz="18" w:space="0" w:color="auto"/>
            </w:tcBorders>
            <w:shd w:val="clear" w:color="auto" w:fill="0695E5" w:themeFill="accent3"/>
          </w:tcPr>
          <w:p w14:paraId="343D5D72" w14:textId="71A4885F" w:rsidR="007838C4" w:rsidRPr="007838C4" w:rsidRDefault="007838C4" w:rsidP="007838C4">
            <w:pPr>
              <w:pStyle w:val="Tabletext"/>
              <w:rPr>
                <w:b/>
                <w:bCs/>
                <w:sz w:val="18"/>
                <w:szCs w:val="18"/>
              </w:rPr>
            </w:pPr>
            <w:r w:rsidRPr="007838C4">
              <w:rPr>
                <w:sz w:val="18"/>
                <w:szCs w:val="18"/>
              </w:rPr>
              <w:t>37.8</w:t>
            </w:r>
          </w:p>
        </w:tc>
        <w:tc>
          <w:tcPr>
            <w:tcW w:w="998" w:type="dxa"/>
            <w:shd w:val="clear" w:color="auto" w:fill="0695E5" w:themeFill="accent3"/>
          </w:tcPr>
          <w:p w14:paraId="62E59B9B" w14:textId="5010A6BD" w:rsidR="007838C4" w:rsidRPr="007838C4" w:rsidRDefault="007838C4" w:rsidP="007838C4">
            <w:pPr>
              <w:pStyle w:val="Tabletext"/>
              <w:rPr>
                <w:b/>
                <w:bCs/>
                <w:sz w:val="18"/>
                <w:szCs w:val="18"/>
              </w:rPr>
            </w:pPr>
            <w:r w:rsidRPr="007838C4">
              <w:rPr>
                <w:sz w:val="18"/>
                <w:szCs w:val="18"/>
              </w:rPr>
              <w:t>37.8</w:t>
            </w:r>
          </w:p>
        </w:tc>
        <w:tc>
          <w:tcPr>
            <w:tcW w:w="998" w:type="dxa"/>
            <w:shd w:val="clear" w:color="auto" w:fill="0695E5" w:themeFill="accent3"/>
          </w:tcPr>
          <w:p w14:paraId="56FE1390" w14:textId="29D96ED0" w:rsidR="007838C4" w:rsidRPr="007838C4" w:rsidRDefault="007838C4" w:rsidP="007838C4">
            <w:pPr>
              <w:pStyle w:val="Tabletext"/>
              <w:rPr>
                <w:b/>
                <w:bCs/>
                <w:sz w:val="18"/>
                <w:szCs w:val="18"/>
              </w:rPr>
            </w:pPr>
            <w:r w:rsidRPr="007838C4">
              <w:rPr>
                <w:sz w:val="18"/>
                <w:szCs w:val="18"/>
              </w:rPr>
              <w:t>37.8</w:t>
            </w:r>
          </w:p>
        </w:tc>
        <w:tc>
          <w:tcPr>
            <w:tcW w:w="1440" w:type="dxa"/>
            <w:tcBorders>
              <w:right w:val="single" w:sz="18" w:space="0" w:color="auto"/>
            </w:tcBorders>
            <w:shd w:val="clear" w:color="auto" w:fill="0695E5" w:themeFill="accent3"/>
          </w:tcPr>
          <w:p w14:paraId="71283E28" w14:textId="157CE659" w:rsidR="007838C4" w:rsidRPr="007838C4" w:rsidRDefault="007838C4" w:rsidP="007838C4">
            <w:pPr>
              <w:pStyle w:val="Tabletext"/>
              <w:rPr>
                <w:b/>
                <w:bCs/>
                <w:sz w:val="18"/>
                <w:szCs w:val="18"/>
              </w:rPr>
            </w:pPr>
            <w:r w:rsidRPr="007838C4">
              <w:rPr>
                <w:sz w:val="18"/>
                <w:szCs w:val="18"/>
              </w:rPr>
              <w:t>37.8</w:t>
            </w:r>
          </w:p>
        </w:tc>
        <w:tc>
          <w:tcPr>
            <w:tcW w:w="1510" w:type="dxa"/>
            <w:tcBorders>
              <w:left w:val="single" w:sz="18" w:space="0" w:color="auto"/>
              <w:right w:val="single" w:sz="18" w:space="0" w:color="auto"/>
            </w:tcBorders>
            <w:shd w:val="clear" w:color="auto" w:fill="A7A7A7" w:themeFill="text2"/>
          </w:tcPr>
          <w:p w14:paraId="3D5D0F03" w14:textId="087A4735" w:rsidR="007838C4" w:rsidRPr="007F2A87" w:rsidRDefault="007838C4" w:rsidP="007838C4">
            <w:pPr>
              <w:pStyle w:val="Tabletext"/>
              <w:rPr>
                <w:b/>
                <w:bCs/>
                <w:sz w:val="18"/>
                <w:szCs w:val="18"/>
              </w:rPr>
            </w:pPr>
            <w:r w:rsidRPr="007F2A87">
              <w:rPr>
                <w:sz w:val="18"/>
                <w:szCs w:val="18"/>
              </w:rPr>
              <w:t>N/A</w:t>
            </w:r>
          </w:p>
        </w:tc>
      </w:tr>
      <w:tr w:rsidR="007838C4" w:rsidRPr="7ACA0E52" w14:paraId="300D45E2" w14:textId="520A91E0" w:rsidTr="000F6D7D">
        <w:trPr>
          <w:trHeight w:val="20"/>
        </w:trPr>
        <w:tc>
          <w:tcPr>
            <w:tcW w:w="1423" w:type="dxa"/>
            <w:tcBorders>
              <w:right w:val="single" w:sz="18" w:space="0" w:color="auto"/>
            </w:tcBorders>
            <w:shd w:val="clear" w:color="auto" w:fill="FFFFFF" w:themeFill="background1"/>
            <w:vAlign w:val="bottom"/>
          </w:tcPr>
          <w:p w14:paraId="1850896E" w14:textId="790D3628" w:rsidR="007838C4" w:rsidRPr="002C3CCE" w:rsidRDefault="007838C4" w:rsidP="007838C4">
            <w:pPr>
              <w:pStyle w:val="Tabletext"/>
              <w:jc w:val="left"/>
              <w:rPr>
                <w:b/>
                <w:bCs/>
                <w:sz w:val="18"/>
                <w:szCs w:val="18"/>
              </w:rPr>
            </w:pPr>
            <w:r w:rsidRPr="002C3CCE">
              <w:rPr>
                <w:rFonts w:cs="Calibri"/>
                <w:b/>
                <w:bCs/>
                <w:color w:val="000000"/>
                <w:sz w:val="18"/>
                <w:szCs w:val="18"/>
              </w:rPr>
              <w:t>2005</w:t>
            </w:r>
          </w:p>
        </w:tc>
        <w:tc>
          <w:tcPr>
            <w:tcW w:w="1005" w:type="dxa"/>
            <w:tcBorders>
              <w:left w:val="single" w:sz="18" w:space="0" w:color="auto"/>
            </w:tcBorders>
            <w:shd w:val="clear" w:color="auto" w:fill="93D6FC" w:themeFill="accent3" w:themeFillTint="66"/>
          </w:tcPr>
          <w:p w14:paraId="64B501C6" w14:textId="739DB46D" w:rsidR="007838C4" w:rsidRPr="007838C4" w:rsidRDefault="007838C4" w:rsidP="007838C4">
            <w:pPr>
              <w:pStyle w:val="Tabletext"/>
              <w:jc w:val="left"/>
              <w:rPr>
                <w:b/>
                <w:bCs/>
                <w:sz w:val="18"/>
                <w:szCs w:val="18"/>
              </w:rPr>
            </w:pPr>
            <w:r w:rsidRPr="007838C4">
              <w:rPr>
                <w:sz w:val="18"/>
                <w:szCs w:val="18"/>
              </w:rPr>
              <w:t>23.1</w:t>
            </w:r>
          </w:p>
        </w:tc>
        <w:tc>
          <w:tcPr>
            <w:tcW w:w="1001" w:type="dxa"/>
            <w:tcBorders>
              <w:right w:val="single" w:sz="18" w:space="0" w:color="auto"/>
            </w:tcBorders>
            <w:shd w:val="clear" w:color="auto" w:fill="93D6FC" w:themeFill="accent3" w:themeFillTint="66"/>
          </w:tcPr>
          <w:p w14:paraId="0F11E758" w14:textId="041FC079" w:rsidR="007838C4" w:rsidRPr="007838C4" w:rsidRDefault="007838C4" w:rsidP="007838C4">
            <w:pPr>
              <w:pStyle w:val="Tabletext"/>
              <w:jc w:val="left"/>
              <w:rPr>
                <w:rFonts w:cs="Calibri"/>
                <w:b/>
                <w:bCs/>
                <w:i/>
                <w:iCs/>
                <w:sz w:val="18"/>
                <w:szCs w:val="18"/>
              </w:rPr>
            </w:pPr>
            <w:r w:rsidRPr="007838C4">
              <w:rPr>
                <w:sz w:val="18"/>
                <w:szCs w:val="18"/>
              </w:rPr>
              <w:t>23.1</w:t>
            </w:r>
          </w:p>
        </w:tc>
        <w:tc>
          <w:tcPr>
            <w:tcW w:w="998" w:type="dxa"/>
            <w:tcBorders>
              <w:left w:val="single" w:sz="18" w:space="0" w:color="auto"/>
            </w:tcBorders>
            <w:shd w:val="clear" w:color="auto" w:fill="0695E5" w:themeFill="accent3"/>
          </w:tcPr>
          <w:p w14:paraId="3CE4C95A" w14:textId="512793A2" w:rsidR="007838C4" w:rsidRPr="007838C4" w:rsidRDefault="007838C4" w:rsidP="007838C4">
            <w:pPr>
              <w:pStyle w:val="Tabletext"/>
              <w:rPr>
                <w:b/>
                <w:bCs/>
                <w:sz w:val="18"/>
                <w:szCs w:val="18"/>
              </w:rPr>
            </w:pPr>
            <w:r w:rsidRPr="007838C4">
              <w:rPr>
                <w:sz w:val="18"/>
                <w:szCs w:val="18"/>
              </w:rPr>
              <w:t>40.0</w:t>
            </w:r>
          </w:p>
        </w:tc>
        <w:tc>
          <w:tcPr>
            <w:tcW w:w="998" w:type="dxa"/>
            <w:shd w:val="clear" w:color="auto" w:fill="0695E5" w:themeFill="accent3"/>
          </w:tcPr>
          <w:p w14:paraId="0DE3770E" w14:textId="76579819" w:rsidR="007838C4" w:rsidRPr="007838C4" w:rsidRDefault="007838C4" w:rsidP="007838C4">
            <w:pPr>
              <w:pStyle w:val="Tabletext"/>
              <w:rPr>
                <w:b/>
                <w:bCs/>
                <w:sz w:val="18"/>
                <w:szCs w:val="18"/>
              </w:rPr>
            </w:pPr>
            <w:r w:rsidRPr="007838C4">
              <w:rPr>
                <w:sz w:val="18"/>
                <w:szCs w:val="18"/>
              </w:rPr>
              <w:t>40.0</w:t>
            </w:r>
          </w:p>
        </w:tc>
        <w:tc>
          <w:tcPr>
            <w:tcW w:w="998" w:type="dxa"/>
            <w:shd w:val="clear" w:color="auto" w:fill="0695E5" w:themeFill="accent3"/>
          </w:tcPr>
          <w:p w14:paraId="31040F22" w14:textId="1972E6A7" w:rsidR="007838C4" w:rsidRPr="007838C4" w:rsidRDefault="007838C4" w:rsidP="007838C4">
            <w:pPr>
              <w:pStyle w:val="Tabletext"/>
              <w:rPr>
                <w:b/>
                <w:bCs/>
                <w:sz w:val="18"/>
                <w:szCs w:val="18"/>
              </w:rPr>
            </w:pPr>
            <w:r w:rsidRPr="007838C4">
              <w:rPr>
                <w:sz w:val="18"/>
                <w:szCs w:val="18"/>
              </w:rPr>
              <w:t>40.0</w:t>
            </w:r>
          </w:p>
        </w:tc>
        <w:tc>
          <w:tcPr>
            <w:tcW w:w="1440" w:type="dxa"/>
            <w:tcBorders>
              <w:right w:val="single" w:sz="18" w:space="0" w:color="auto"/>
            </w:tcBorders>
            <w:shd w:val="clear" w:color="auto" w:fill="0695E5" w:themeFill="accent3"/>
          </w:tcPr>
          <w:p w14:paraId="5523D772" w14:textId="680759F9" w:rsidR="007838C4" w:rsidRPr="007838C4" w:rsidRDefault="007838C4" w:rsidP="007838C4">
            <w:pPr>
              <w:pStyle w:val="Tabletext"/>
              <w:rPr>
                <w:b/>
                <w:bCs/>
                <w:sz w:val="18"/>
                <w:szCs w:val="18"/>
              </w:rPr>
            </w:pPr>
            <w:r w:rsidRPr="007838C4">
              <w:rPr>
                <w:sz w:val="18"/>
                <w:szCs w:val="18"/>
              </w:rPr>
              <w:t>40.0</w:t>
            </w:r>
          </w:p>
        </w:tc>
        <w:tc>
          <w:tcPr>
            <w:tcW w:w="1510" w:type="dxa"/>
            <w:tcBorders>
              <w:left w:val="single" w:sz="18" w:space="0" w:color="auto"/>
              <w:right w:val="single" w:sz="18" w:space="0" w:color="auto"/>
            </w:tcBorders>
            <w:shd w:val="clear" w:color="auto" w:fill="A7A7A7" w:themeFill="text2"/>
          </w:tcPr>
          <w:p w14:paraId="7A8B17E9" w14:textId="560A677D" w:rsidR="007838C4" w:rsidRPr="007F2A87" w:rsidRDefault="007838C4" w:rsidP="007838C4">
            <w:pPr>
              <w:pStyle w:val="Tabletext"/>
              <w:rPr>
                <w:b/>
                <w:bCs/>
                <w:sz w:val="18"/>
                <w:szCs w:val="18"/>
              </w:rPr>
            </w:pPr>
            <w:r w:rsidRPr="007F2A87">
              <w:rPr>
                <w:sz w:val="18"/>
                <w:szCs w:val="18"/>
              </w:rPr>
              <w:t>N/A</w:t>
            </w:r>
          </w:p>
        </w:tc>
      </w:tr>
      <w:tr w:rsidR="007838C4" w:rsidRPr="7ACA0E52" w14:paraId="6D9EC6DF" w14:textId="61F92B9A" w:rsidTr="000F6D7D">
        <w:trPr>
          <w:trHeight w:val="20"/>
        </w:trPr>
        <w:tc>
          <w:tcPr>
            <w:tcW w:w="1423" w:type="dxa"/>
            <w:tcBorders>
              <w:right w:val="single" w:sz="18" w:space="0" w:color="auto"/>
            </w:tcBorders>
            <w:shd w:val="clear" w:color="auto" w:fill="FFFFFF" w:themeFill="background1"/>
            <w:vAlign w:val="bottom"/>
          </w:tcPr>
          <w:p w14:paraId="083EADD2" w14:textId="0AE3A009" w:rsidR="007838C4" w:rsidRPr="002C3CCE" w:rsidRDefault="007838C4" w:rsidP="007838C4">
            <w:pPr>
              <w:pStyle w:val="Tabletext"/>
              <w:jc w:val="left"/>
              <w:rPr>
                <w:b/>
                <w:bCs/>
                <w:sz w:val="18"/>
                <w:szCs w:val="18"/>
              </w:rPr>
            </w:pPr>
            <w:r w:rsidRPr="002C3CCE">
              <w:rPr>
                <w:rFonts w:cs="Calibri"/>
                <w:b/>
                <w:bCs/>
                <w:color w:val="000000"/>
                <w:sz w:val="18"/>
                <w:szCs w:val="18"/>
              </w:rPr>
              <w:t>2004</w:t>
            </w:r>
          </w:p>
        </w:tc>
        <w:tc>
          <w:tcPr>
            <w:tcW w:w="1005" w:type="dxa"/>
            <w:tcBorders>
              <w:left w:val="single" w:sz="18" w:space="0" w:color="auto"/>
            </w:tcBorders>
            <w:shd w:val="clear" w:color="auto" w:fill="93D6FC" w:themeFill="accent3" w:themeFillTint="66"/>
          </w:tcPr>
          <w:p w14:paraId="679F0609" w14:textId="7D13A655" w:rsidR="007838C4" w:rsidRPr="007838C4" w:rsidRDefault="007838C4" w:rsidP="007838C4">
            <w:pPr>
              <w:pStyle w:val="Tabletext"/>
              <w:jc w:val="left"/>
              <w:rPr>
                <w:b/>
                <w:bCs/>
                <w:sz w:val="18"/>
                <w:szCs w:val="18"/>
              </w:rPr>
            </w:pPr>
            <w:r w:rsidRPr="007838C4">
              <w:rPr>
                <w:sz w:val="18"/>
                <w:szCs w:val="18"/>
              </w:rPr>
              <w:t>22.9</w:t>
            </w:r>
          </w:p>
        </w:tc>
        <w:tc>
          <w:tcPr>
            <w:tcW w:w="1001" w:type="dxa"/>
            <w:tcBorders>
              <w:right w:val="single" w:sz="18" w:space="0" w:color="auto"/>
            </w:tcBorders>
            <w:shd w:val="clear" w:color="auto" w:fill="93D6FC" w:themeFill="accent3" w:themeFillTint="66"/>
          </w:tcPr>
          <w:p w14:paraId="5AB782AD" w14:textId="75E0F4E6" w:rsidR="007838C4" w:rsidRPr="007838C4" w:rsidRDefault="007838C4" w:rsidP="007838C4">
            <w:pPr>
              <w:pStyle w:val="Tabletext"/>
              <w:jc w:val="left"/>
              <w:rPr>
                <w:rFonts w:cs="Calibri"/>
                <w:b/>
                <w:bCs/>
                <w:i/>
                <w:iCs/>
                <w:sz w:val="18"/>
                <w:szCs w:val="18"/>
              </w:rPr>
            </w:pPr>
            <w:r w:rsidRPr="007838C4">
              <w:rPr>
                <w:sz w:val="18"/>
                <w:szCs w:val="18"/>
              </w:rPr>
              <w:t>22.9</w:t>
            </w:r>
          </w:p>
        </w:tc>
        <w:tc>
          <w:tcPr>
            <w:tcW w:w="998" w:type="dxa"/>
            <w:tcBorders>
              <w:left w:val="single" w:sz="18" w:space="0" w:color="auto"/>
            </w:tcBorders>
            <w:shd w:val="clear" w:color="auto" w:fill="0695E5" w:themeFill="accent3"/>
          </w:tcPr>
          <w:p w14:paraId="4D1D06E8" w14:textId="52201CA8" w:rsidR="007838C4" w:rsidRPr="007838C4" w:rsidRDefault="007838C4" w:rsidP="007838C4">
            <w:pPr>
              <w:pStyle w:val="Tabletext"/>
              <w:rPr>
                <w:b/>
                <w:bCs/>
                <w:sz w:val="18"/>
                <w:szCs w:val="18"/>
              </w:rPr>
            </w:pPr>
            <w:r w:rsidRPr="007838C4">
              <w:rPr>
                <w:sz w:val="18"/>
                <w:szCs w:val="18"/>
              </w:rPr>
              <w:t>44.4</w:t>
            </w:r>
          </w:p>
        </w:tc>
        <w:tc>
          <w:tcPr>
            <w:tcW w:w="998" w:type="dxa"/>
            <w:shd w:val="clear" w:color="auto" w:fill="0695E5" w:themeFill="accent3"/>
          </w:tcPr>
          <w:p w14:paraId="022138F0" w14:textId="34F831AC" w:rsidR="007838C4" w:rsidRPr="007838C4" w:rsidRDefault="007838C4" w:rsidP="007838C4">
            <w:pPr>
              <w:pStyle w:val="Tabletext"/>
              <w:rPr>
                <w:b/>
                <w:bCs/>
                <w:sz w:val="18"/>
                <w:szCs w:val="18"/>
              </w:rPr>
            </w:pPr>
            <w:r w:rsidRPr="007838C4">
              <w:rPr>
                <w:sz w:val="18"/>
                <w:szCs w:val="18"/>
              </w:rPr>
              <w:t>44.4</w:t>
            </w:r>
          </w:p>
        </w:tc>
        <w:tc>
          <w:tcPr>
            <w:tcW w:w="998" w:type="dxa"/>
            <w:shd w:val="clear" w:color="auto" w:fill="0695E5" w:themeFill="accent3"/>
          </w:tcPr>
          <w:p w14:paraId="4A5FFD85" w14:textId="309668C1" w:rsidR="007838C4" w:rsidRPr="007838C4" w:rsidRDefault="007838C4" w:rsidP="007838C4">
            <w:pPr>
              <w:pStyle w:val="Tabletext"/>
              <w:rPr>
                <w:b/>
                <w:bCs/>
                <w:sz w:val="18"/>
                <w:szCs w:val="18"/>
              </w:rPr>
            </w:pPr>
            <w:r w:rsidRPr="007838C4">
              <w:rPr>
                <w:sz w:val="18"/>
                <w:szCs w:val="18"/>
              </w:rPr>
              <w:t>44.4</w:t>
            </w:r>
          </w:p>
        </w:tc>
        <w:tc>
          <w:tcPr>
            <w:tcW w:w="1440" w:type="dxa"/>
            <w:tcBorders>
              <w:right w:val="single" w:sz="18" w:space="0" w:color="auto"/>
            </w:tcBorders>
            <w:shd w:val="clear" w:color="auto" w:fill="0695E5" w:themeFill="accent3"/>
          </w:tcPr>
          <w:p w14:paraId="0AB7817E" w14:textId="153D82B7" w:rsidR="007838C4" w:rsidRPr="007838C4" w:rsidRDefault="007838C4" w:rsidP="007838C4">
            <w:pPr>
              <w:pStyle w:val="Tabletext"/>
              <w:rPr>
                <w:b/>
                <w:bCs/>
                <w:sz w:val="18"/>
                <w:szCs w:val="18"/>
              </w:rPr>
            </w:pPr>
            <w:r w:rsidRPr="007838C4">
              <w:rPr>
                <w:sz w:val="18"/>
                <w:szCs w:val="18"/>
              </w:rPr>
              <w:t>44.4</w:t>
            </w:r>
          </w:p>
        </w:tc>
        <w:tc>
          <w:tcPr>
            <w:tcW w:w="1510" w:type="dxa"/>
            <w:tcBorders>
              <w:left w:val="single" w:sz="18" w:space="0" w:color="auto"/>
              <w:right w:val="single" w:sz="18" w:space="0" w:color="auto"/>
            </w:tcBorders>
            <w:shd w:val="clear" w:color="auto" w:fill="A7A7A7" w:themeFill="text2"/>
          </w:tcPr>
          <w:p w14:paraId="2F0AAAE8" w14:textId="6830F8D4" w:rsidR="007838C4" w:rsidRPr="007F2A87" w:rsidRDefault="007838C4" w:rsidP="007838C4">
            <w:pPr>
              <w:pStyle w:val="Tabletext"/>
              <w:rPr>
                <w:b/>
                <w:bCs/>
                <w:sz w:val="18"/>
                <w:szCs w:val="18"/>
              </w:rPr>
            </w:pPr>
            <w:r w:rsidRPr="007F2A87">
              <w:rPr>
                <w:sz w:val="18"/>
                <w:szCs w:val="18"/>
              </w:rPr>
              <w:t>N/A</w:t>
            </w:r>
          </w:p>
        </w:tc>
      </w:tr>
      <w:tr w:rsidR="007838C4" w:rsidRPr="7ACA0E52" w14:paraId="35A7D025" w14:textId="22DFF50A" w:rsidTr="000F6D7D">
        <w:trPr>
          <w:trHeight w:val="20"/>
        </w:trPr>
        <w:tc>
          <w:tcPr>
            <w:tcW w:w="1423" w:type="dxa"/>
            <w:tcBorders>
              <w:right w:val="single" w:sz="18" w:space="0" w:color="auto"/>
            </w:tcBorders>
            <w:shd w:val="clear" w:color="auto" w:fill="FFFFFF" w:themeFill="background1"/>
            <w:vAlign w:val="bottom"/>
          </w:tcPr>
          <w:p w14:paraId="7F405BFC" w14:textId="597F245A" w:rsidR="007838C4" w:rsidRPr="002C3CCE" w:rsidRDefault="007838C4" w:rsidP="007838C4">
            <w:pPr>
              <w:pStyle w:val="Tabletext"/>
              <w:jc w:val="left"/>
              <w:rPr>
                <w:b/>
                <w:bCs/>
                <w:sz w:val="18"/>
                <w:szCs w:val="18"/>
              </w:rPr>
            </w:pPr>
            <w:r w:rsidRPr="002C3CCE">
              <w:rPr>
                <w:rFonts w:cs="Calibri"/>
                <w:b/>
                <w:bCs/>
                <w:color w:val="000000"/>
                <w:sz w:val="18"/>
                <w:szCs w:val="18"/>
              </w:rPr>
              <w:t>2003</w:t>
            </w:r>
          </w:p>
        </w:tc>
        <w:tc>
          <w:tcPr>
            <w:tcW w:w="1005" w:type="dxa"/>
            <w:tcBorders>
              <w:left w:val="single" w:sz="18" w:space="0" w:color="auto"/>
            </w:tcBorders>
            <w:shd w:val="clear" w:color="auto" w:fill="93D6FC" w:themeFill="accent3" w:themeFillTint="66"/>
          </w:tcPr>
          <w:p w14:paraId="6315BFDE" w14:textId="73CC6EB5" w:rsidR="007838C4" w:rsidRPr="007838C4" w:rsidRDefault="007838C4" w:rsidP="007838C4">
            <w:pPr>
              <w:pStyle w:val="Tabletext"/>
              <w:jc w:val="left"/>
              <w:rPr>
                <w:b/>
                <w:bCs/>
                <w:sz w:val="18"/>
                <w:szCs w:val="18"/>
              </w:rPr>
            </w:pPr>
            <w:r w:rsidRPr="007838C4">
              <w:rPr>
                <w:sz w:val="18"/>
                <w:szCs w:val="18"/>
              </w:rPr>
              <w:t>23.0</w:t>
            </w:r>
          </w:p>
        </w:tc>
        <w:tc>
          <w:tcPr>
            <w:tcW w:w="1001" w:type="dxa"/>
            <w:tcBorders>
              <w:right w:val="single" w:sz="18" w:space="0" w:color="auto"/>
            </w:tcBorders>
            <w:shd w:val="clear" w:color="auto" w:fill="93D6FC" w:themeFill="accent3" w:themeFillTint="66"/>
          </w:tcPr>
          <w:p w14:paraId="546E8216" w14:textId="04C019DB" w:rsidR="007838C4" w:rsidRPr="007838C4" w:rsidRDefault="007838C4" w:rsidP="007838C4">
            <w:pPr>
              <w:pStyle w:val="Tabletext"/>
              <w:jc w:val="left"/>
              <w:rPr>
                <w:rFonts w:cs="Calibri"/>
                <w:b/>
                <w:bCs/>
                <w:i/>
                <w:iCs/>
                <w:sz w:val="18"/>
                <w:szCs w:val="18"/>
              </w:rPr>
            </w:pPr>
            <w:r w:rsidRPr="007838C4">
              <w:rPr>
                <w:sz w:val="18"/>
                <w:szCs w:val="18"/>
              </w:rPr>
              <w:t>23.0</w:t>
            </w:r>
          </w:p>
        </w:tc>
        <w:tc>
          <w:tcPr>
            <w:tcW w:w="998" w:type="dxa"/>
            <w:tcBorders>
              <w:left w:val="single" w:sz="18" w:space="0" w:color="auto"/>
            </w:tcBorders>
            <w:shd w:val="clear" w:color="auto" w:fill="0695E5" w:themeFill="accent3"/>
          </w:tcPr>
          <w:p w14:paraId="2E81690C" w14:textId="58ACA306" w:rsidR="007838C4" w:rsidRPr="007838C4" w:rsidRDefault="007838C4" w:rsidP="007838C4">
            <w:pPr>
              <w:pStyle w:val="Tabletext"/>
              <w:rPr>
                <w:b/>
                <w:bCs/>
                <w:sz w:val="18"/>
                <w:szCs w:val="18"/>
              </w:rPr>
            </w:pPr>
            <w:r w:rsidRPr="007838C4">
              <w:rPr>
                <w:sz w:val="18"/>
                <w:szCs w:val="18"/>
              </w:rPr>
              <w:t>41.2</w:t>
            </w:r>
          </w:p>
        </w:tc>
        <w:tc>
          <w:tcPr>
            <w:tcW w:w="998" w:type="dxa"/>
            <w:shd w:val="clear" w:color="auto" w:fill="0695E5" w:themeFill="accent3"/>
          </w:tcPr>
          <w:p w14:paraId="094A0F99" w14:textId="71F70D6B" w:rsidR="007838C4" w:rsidRPr="007838C4" w:rsidRDefault="007838C4" w:rsidP="007838C4">
            <w:pPr>
              <w:pStyle w:val="Tabletext"/>
              <w:rPr>
                <w:b/>
                <w:bCs/>
                <w:sz w:val="18"/>
                <w:szCs w:val="18"/>
              </w:rPr>
            </w:pPr>
            <w:r w:rsidRPr="007838C4">
              <w:rPr>
                <w:sz w:val="18"/>
                <w:szCs w:val="18"/>
              </w:rPr>
              <w:t>41.2</w:t>
            </w:r>
          </w:p>
        </w:tc>
        <w:tc>
          <w:tcPr>
            <w:tcW w:w="998" w:type="dxa"/>
            <w:shd w:val="clear" w:color="auto" w:fill="0695E5" w:themeFill="accent3"/>
          </w:tcPr>
          <w:p w14:paraId="37C77FFB" w14:textId="2DCAC5D2" w:rsidR="007838C4" w:rsidRPr="007838C4" w:rsidRDefault="007838C4" w:rsidP="007838C4">
            <w:pPr>
              <w:pStyle w:val="Tabletext"/>
              <w:rPr>
                <w:b/>
                <w:bCs/>
                <w:sz w:val="18"/>
                <w:szCs w:val="18"/>
              </w:rPr>
            </w:pPr>
            <w:r w:rsidRPr="007838C4">
              <w:rPr>
                <w:sz w:val="18"/>
                <w:szCs w:val="18"/>
              </w:rPr>
              <w:t>41.2</w:t>
            </w:r>
          </w:p>
        </w:tc>
        <w:tc>
          <w:tcPr>
            <w:tcW w:w="1440" w:type="dxa"/>
            <w:tcBorders>
              <w:right w:val="single" w:sz="18" w:space="0" w:color="auto"/>
            </w:tcBorders>
            <w:shd w:val="clear" w:color="auto" w:fill="0695E5" w:themeFill="accent3"/>
          </w:tcPr>
          <w:p w14:paraId="4834A771" w14:textId="5713DE2F" w:rsidR="007838C4" w:rsidRPr="007838C4" w:rsidRDefault="007838C4" w:rsidP="007838C4">
            <w:pPr>
              <w:pStyle w:val="Tabletext"/>
              <w:rPr>
                <w:b/>
                <w:bCs/>
                <w:sz w:val="18"/>
                <w:szCs w:val="18"/>
              </w:rPr>
            </w:pPr>
            <w:r w:rsidRPr="007838C4">
              <w:rPr>
                <w:sz w:val="18"/>
                <w:szCs w:val="18"/>
              </w:rPr>
              <w:t>41.2</w:t>
            </w:r>
          </w:p>
        </w:tc>
        <w:tc>
          <w:tcPr>
            <w:tcW w:w="1510" w:type="dxa"/>
            <w:tcBorders>
              <w:left w:val="single" w:sz="18" w:space="0" w:color="auto"/>
              <w:right w:val="single" w:sz="18" w:space="0" w:color="auto"/>
            </w:tcBorders>
            <w:shd w:val="clear" w:color="auto" w:fill="A7A7A7" w:themeFill="text2"/>
          </w:tcPr>
          <w:p w14:paraId="04C85023" w14:textId="39C6D5BA" w:rsidR="007838C4" w:rsidRPr="007F2A87" w:rsidRDefault="007838C4" w:rsidP="007838C4">
            <w:pPr>
              <w:pStyle w:val="Tabletext"/>
              <w:rPr>
                <w:b/>
                <w:bCs/>
                <w:sz w:val="18"/>
                <w:szCs w:val="18"/>
              </w:rPr>
            </w:pPr>
            <w:r w:rsidRPr="007F2A87">
              <w:rPr>
                <w:sz w:val="18"/>
                <w:szCs w:val="18"/>
              </w:rPr>
              <w:t>N/A</w:t>
            </w:r>
          </w:p>
        </w:tc>
      </w:tr>
      <w:tr w:rsidR="007838C4" w:rsidRPr="7ACA0E52" w14:paraId="00663F59" w14:textId="6B5D4BFB" w:rsidTr="000F6D7D">
        <w:trPr>
          <w:trHeight w:val="20"/>
        </w:trPr>
        <w:tc>
          <w:tcPr>
            <w:tcW w:w="1423" w:type="dxa"/>
            <w:tcBorders>
              <w:right w:val="single" w:sz="18" w:space="0" w:color="auto"/>
            </w:tcBorders>
            <w:shd w:val="clear" w:color="auto" w:fill="FFFFFF" w:themeFill="background1"/>
            <w:vAlign w:val="bottom"/>
          </w:tcPr>
          <w:p w14:paraId="01E8ECAB" w14:textId="7DA27B8A" w:rsidR="007838C4" w:rsidRPr="002C3CCE" w:rsidRDefault="007838C4" w:rsidP="007838C4">
            <w:pPr>
              <w:pStyle w:val="Tabletext"/>
              <w:jc w:val="left"/>
              <w:rPr>
                <w:b/>
                <w:bCs/>
                <w:sz w:val="18"/>
                <w:szCs w:val="18"/>
              </w:rPr>
            </w:pPr>
            <w:r w:rsidRPr="002C3CCE">
              <w:rPr>
                <w:rFonts w:cs="Calibri"/>
                <w:b/>
                <w:bCs/>
                <w:color w:val="000000"/>
                <w:sz w:val="18"/>
                <w:szCs w:val="18"/>
              </w:rPr>
              <w:t>2002</w:t>
            </w:r>
          </w:p>
        </w:tc>
        <w:tc>
          <w:tcPr>
            <w:tcW w:w="1005" w:type="dxa"/>
            <w:tcBorders>
              <w:left w:val="single" w:sz="18" w:space="0" w:color="auto"/>
            </w:tcBorders>
            <w:shd w:val="clear" w:color="auto" w:fill="93D6FC" w:themeFill="accent3" w:themeFillTint="66"/>
          </w:tcPr>
          <w:p w14:paraId="5FCC0BB3" w14:textId="303F8332" w:rsidR="007838C4" w:rsidRPr="007838C4" w:rsidRDefault="007838C4" w:rsidP="007838C4">
            <w:pPr>
              <w:pStyle w:val="Tabletext"/>
              <w:jc w:val="left"/>
              <w:rPr>
                <w:b/>
                <w:bCs/>
                <w:sz w:val="18"/>
                <w:szCs w:val="18"/>
              </w:rPr>
            </w:pPr>
            <w:r w:rsidRPr="007838C4">
              <w:rPr>
                <w:sz w:val="18"/>
                <w:szCs w:val="18"/>
              </w:rPr>
              <w:t>22.8</w:t>
            </w:r>
          </w:p>
        </w:tc>
        <w:tc>
          <w:tcPr>
            <w:tcW w:w="1001" w:type="dxa"/>
            <w:tcBorders>
              <w:right w:val="single" w:sz="18" w:space="0" w:color="auto"/>
            </w:tcBorders>
            <w:shd w:val="clear" w:color="auto" w:fill="93D6FC" w:themeFill="accent3" w:themeFillTint="66"/>
          </w:tcPr>
          <w:p w14:paraId="31E9B8FB" w14:textId="0F98F201" w:rsidR="007838C4" w:rsidRPr="007838C4" w:rsidRDefault="007838C4" w:rsidP="007838C4">
            <w:pPr>
              <w:pStyle w:val="Tabletext"/>
              <w:jc w:val="left"/>
              <w:rPr>
                <w:rFonts w:cs="Calibri"/>
                <w:b/>
                <w:bCs/>
                <w:i/>
                <w:iCs/>
                <w:sz w:val="18"/>
                <w:szCs w:val="18"/>
              </w:rPr>
            </w:pPr>
            <w:r w:rsidRPr="007838C4">
              <w:rPr>
                <w:sz w:val="18"/>
                <w:szCs w:val="18"/>
              </w:rPr>
              <w:t>22.8</w:t>
            </w:r>
          </w:p>
        </w:tc>
        <w:tc>
          <w:tcPr>
            <w:tcW w:w="998" w:type="dxa"/>
            <w:tcBorders>
              <w:left w:val="single" w:sz="18" w:space="0" w:color="auto"/>
            </w:tcBorders>
            <w:shd w:val="clear" w:color="auto" w:fill="0695E5" w:themeFill="accent3"/>
          </w:tcPr>
          <w:p w14:paraId="6E6A55B0" w14:textId="7988C5DC" w:rsidR="007838C4" w:rsidRPr="007838C4" w:rsidRDefault="007838C4" w:rsidP="007838C4">
            <w:pPr>
              <w:pStyle w:val="Tabletext"/>
              <w:rPr>
                <w:b/>
                <w:bCs/>
                <w:sz w:val="18"/>
                <w:szCs w:val="18"/>
              </w:rPr>
            </w:pPr>
            <w:r w:rsidRPr="007838C4">
              <w:rPr>
                <w:sz w:val="18"/>
                <w:szCs w:val="18"/>
              </w:rPr>
              <w:t>42.7</w:t>
            </w:r>
          </w:p>
        </w:tc>
        <w:tc>
          <w:tcPr>
            <w:tcW w:w="998" w:type="dxa"/>
            <w:shd w:val="clear" w:color="auto" w:fill="0695E5" w:themeFill="accent3"/>
          </w:tcPr>
          <w:p w14:paraId="7C33C042" w14:textId="0F1B7D4A" w:rsidR="007838C4" w:rsidRPr="007838C4" w:rsidRDefault="007838C4" w:rsidP="007838C4">
            <w:pPr>
              <w:pStyle w:val="Tabletext"/>
              <w:rPr>
                <w:b/>
                <w:bCs/>
                <w:sz w:val="18"/>
                <w:szCs w:val="18"/>
              </w:rPr>
            </w:pPr>
            <w:r w:rsidRPr="007838C4">
              <w:rPr>
                <w:sz w:val="18"/>
                <w:szCs w:val="18"/>
              </w:rPr>
              <w:t>42.7</w:t>
            </w:r>
          </w:p>
        </w:tc>
        <w:tc>
          <w:tcPr>
            <w:tcW w:w="998" w:type="dxa"/>
            <w:shd w:val="clear" w:color="auto" w:fill="0695E5" w:themeFill="accent3"/>
          </w:tcPr>
          <w:p w14:paraId="02A96FE5" w14:textId="2CA236CF" w:rsidR="007838C4" w:rsidRPr="007838C4" w:rsidRDefault="007838C4" w:rsidP="007838C4">
            <w:pPr>
              <w:pStyle w:val="Tabletext"/>
              <w:rPr>
                <w:b/>
                <w:bCs/>
                <w:sz w:val="18"/>
                <w:szCs w:val="18"/>
              </w:rPr>
            </w:pPr>
            <w:r w:rsidRPr="007838C4">
              <w:rPr>
                <w:sz w:val="18"/>
                <w:szCs w:val="18"/>
              </w:rPr>
              <w:t>42.7</w:t>
            </w:r>
          </w:p>
        </w:tc>
        <w:tc>
          <w:tcPr>
            <w:tcW w:w="1440" w:type="dxa"/>
            <w:tcBorders>
              <w:right w:val="single" w:sz="18" w:space="0" w:color="auto"/>
            </w:tcBorders>
            <w:shd w:val="clear" w:color="auto" w:fill="0695E5" w:themeFill="accent3"/>
          </w:tcPr>
          <w:p w14:paraId="552EF680" w14:textId="661D5C25" w:rsidR="007838C4" w:rsidRPr="007838C4" w:rsidRDefault="007838C4" w:rsidP="007838C4">
            <w:pPr>
              <w:pStyle w:val="Tabletext"/>
              <w:rPr>
                <w:b/>
                <w:bCs/>
                <w:sz w:val="18"/>
                <w:szCs w:val="18"/>
              </w:rPr>
            </w:pPr>
            <w:r w:rsidRPr="007838C4">
              <w:rPr>
                <w:sz w:val="18"/>
                <w:szCs w:val="18"/>
              </w:rPr>
              <w:t>42.7</w:t>
            </w:r>
          </w:p>
        </w:tc>
        <w:tc>
          <w:tcPr>
            <w:tcW w:w="1510" w:type="dxa"/>
            <w:tcBorders>
              <w:left w:val="single" w:sz="18" w:space="0" w:color="auto"/>
              <w:right w:val="single" w:sz="18" w:space="0" w:color="auto"/>
            </w:tcBorders>
            <w:shd w:val="clear" w:color="auto" w:fill="A7A7A7" w:themeFill="text2"/>
          </w:tcPr>
          <w:p w14:paraId="7538C1B5" w14:textId="1C020BF3" w:rsidR="007838C4" w:rsidRPr="007F2A87" w:rsidRDefault="007838C4" w:rsidP="007838C4">
            <w:pPr>
              <w:pStyle w:val="Tabletext"/>
              <w:rPr>
                <w:b/>
                <w:bCs/>
                <w:sz w:val="18"/>
                <w:szCs w:val="18"/>
              </w:rPr>
            </w:pPr>
            <w:r w:rsidRPr="007F2A87">
              <w:rPr>
                <w:sz w:val="18"/>
                <w:szCs w:val="18"/>
              </w:rPr>
              <w:t>N/A</w:t>
            </w:r>
          </w:p>
        </w:tc>
      </w:tr>
      <w:tr w:rsidR="007838C4" w:rsidRPr="7ACA0E52" w14:paraId="302EAFF5" w14:textId="2E39A31D" w:rsidTr="000F6D7D">
        <w:trPr>
          <w:trHeight w:val="20"/>
        </w:trPr>
        <w:tc>
          <w:tcPr>
            <w:tcW w:w="1423" w:type="dxa"/>
            <w:tcBorders>
              <w:right w:val="single" w:sz="18" w:space="0" w:color="auto"/>
            </w:tcBorders>
            <w:shd w:val="clear" w:color="auto" w:fill="FFFFFF" w:themeFill="background1"/>
            <w:vAlign w:val="bottom"/>
          </w:tcPr>
          <w:p w14:paraId="6D98D6ED" w14:textId="5D6A5E15" w:rsidR="007838C4" w:rsidRPr="002C3CCE" w:rsidRDefault="007838C4" w:rsidP="007838C4">
            <w:pPr>
              <w:pStyle w:val="Tabletext"/>
              <w:jc w:val="left"/>
              <w:rPr>
                <w:b/>
                <w:bCs/>
                <w:sz w:val="18"/>
                <w:szCs w:val="18"/>
              </w:rPr>
            </w:pPr>
            <w:r w:rsidRPr="002C3CCE">
              <w:rPr>
                <w:rFonts w:cs="Calibri"/>
                <w:b/>
                <w:bCs/>
                <w:color w:val="000000"/>
                <w:sz w:val="18"/>
                <w:szCs w:val="18"/>
              </w:rPr>
              <w:t>2001</w:t>
            </w:r>
          </w:p>
        </w:tc>
        <w:tc>
          <w:tcPr>
            <w:tcW w:w="1005" w:type="dxa"/>
            <w:tcBorders>
              <w:left w:val="single" w:sz="18" w:space="0" w:color="auto"/>
            </w:tcBorders>
            <w:shd w:val="clear" w:color="auto" w:fill="93D6FC" w:themeFill="accent3" w:themeFillTint="66"/>
          </w:tcPr>
          <w:p w14:paraId="1B7A38A3" w14:textId="0F64D315" w:rsidR="007838C4" w:rsidRPr="007838C4" w:rsidRDefault="007838C4" w:rsidP="007838C4">
            <w:pPr>
              <w:pStyle w:val="Tabletext"/>
              <w:jc w:val="left"/>
              <w:rPr>
                <w:b/>
                <w:bCs/>
                <w:sz w:val="18"/>
                <w:szCs w:val="18"/>
              </w:rPr>
            </w:pPr>
            <w:r w:rsidRPr="007838C4">
              <w:rPr>
                <w:sz w:val="18"/>
                <w:szCs w:val="18"/>
              </w:rPr>
              <w:t>22.6</w:t>
            </w:r>
          </w:p>
        </w:tc>
        <w:tc>
          <w:tcPr>
            <w:tcW w:w="1001" w:type="dxa"/>
            <w:tcBorders>
              <w:right w:val="single" w:sz="18" w:space="0" w:color="auto"/>
            </w:tcBorders>
            <w:shd w:val="clear" w:color="auto" w:fill="93D6FC" w:themeFill="accent3" w:themeFillTint="66"/>
          </w:tcPr>
          <w:p w14:paraId="3ADB94B7" w14:textId="2A0285BA" w:rsidR="007838C4" w:rsidRPr="007838C4" w:rsidRDefault="007838C4" w:rsidP="007838C4">
            <w:pPr>
              <w:pStyle w:val="Tabletext"/>
              <w:jc w:val="left"/>
              <w:rPr>
                <w:rFonts w:cs="Calibri"/>
                <w:b/>
                <w:bCs/>
                <w:i/>
                <w:iCs/>
                <w:sz w:val="18"/>
                <w:szCs w:val="18"/>
              </w:rPr>
            </w:pPr>
            <w:r w:rsidRPr="007838C4">
              <w:rPr>
                <w:sz w:val="18"/>
                <w:szCs w:val="18"/>
              </w:rPr>
              <w:t>22.6</w:t>
            </w:r>
          </w:p>
        </w:tc>
        <w:tc>
          <w:tcPr>
            <w:tcW w:w="998" w:type="dxa"/>
            <w:tcBorders>
              <w:left w:val="single" w:sz="18" w:space="0" w:color="auto"/>
            </w:tcBorders>
            <w:shd w:val="clear" w:color="auto" w:fill="0695E5" w:themeFill="accent3"/>
          </w:tcPr>
          <w:p w14:paraId="14E4FF9C" w14:textId="3DD0F3C8" w:rsidR="007838C4" w:rsidRPr="007838C4" w:rsidRDefault="007838C4" w:rsidP="007838C4">
            <w:pPr>
              <w:pStyle w:val="Tabletext"/>
              <w:rPr>
                <w:b/>
                <w:bCs/>
                <w:sz w:val="18"/>
                <w:szCs w:val="18"/>
              </w:rPr>
            </w:pPr>
            <w:r w:rsidRPr="007838C4">
              <w:rPr>
                <w:sz w:val="18"/>
                <w:szCs w:val="18"/>
              </w:rPr>
              <w:t>43.2</w:t>
            </w:r>
          </w:p>
        </w:tc>
        <w:tc>
          <w:tcPr>
            <w:tcW w:w="998" w:type="dxa"/>
            <w:shd w:val="clear" w:color="auto" w:fill="0695E5" w:themeFill="accent3"/>
          </w:tcPr>
          <w:p w14:paraId="398AA388" w14:textId="142516E0" w:rsidR="007838C4" w:rsidRPr="007838C4" w:rsidRDefault="007838C4" w:rsidP="007838C4">
            <w:pPr>
              <w:pStyle w:val="Tabletext"/>
              <w:rPr>
                <w:b/>
                <w:bCs/>
                <w:sz w:val="18"/>
                <w:szCs w:val="18"/>
              </w:rPr>
            </w:pPr>
            <w:r w:rsidRPr="007838C4">
              <w:rPr>
                <w:sz w:val="18"/>
                <w:szCs w:val="18"/>
              </w:rPr>
              <w:t>43.2</w:t>
            </w:r>
          </w:p>
        </w:tc>
        <w:tc>
          <w:tcPr>
            <w:tcW w:w="998" w:type="dxa"/>
            <w:shd w:val="clear" w:color="auto" w:fill="0695E5" w:themeFill="accent3"/>
          </w:tcPr>
          <w:p w14:paraId="4868C33C" w14:textId="6DEB5355" w:rsidR="007838C4" w:rsidRPr="007838C4" w:rsidRDefault="007838C4" w:rsidP="007838C4">
            <w:pPr>
              <w:pStyle w:val="Tabletext"/>
              <w:rPr>
                <w:b/>
                <w:bCs/>
                <w:sz w:val="18"/>
                <w:szCs w:val="18"/>
              </w:rPr>
            </w:pPr>
            <w:r w:rsidRPr="007838C4">
              <w:rPr>
                <w:sz w:val="18"/>
                <w:szCs w:val="18"/>
              </w:rPr>
              <w:t>43.2</w:t>
            </w:r>
          </w:p>
        </w:tc>
        <w:tc>
          <w:tcPr>
            <w:tcW w:w="1440" w:type="dxa"/>
            <w:tcBorders>
              <w:right w:val="single" w:sz="18" w:space="0" w:color="auto"/>
            </w:tcBorders>
            <w:shd w:val="clear" w:color="auto" w:fill="0695E5" w:themeFill="accent3"/>
          </w:tcPr>
          <w:p w14:paraId="7B25F27C" w14:textId="77E8DA6A" w:rsidR="007838C4" w:rsidRPr="007838C4" w:rsidRDefault="007838C4" w:rsidP="007838C4">
            <w:pPr>
              <w:pStyle w:val="Tabletext"/>
              <w:rPr>
                <w:b/>
                <w:bCs/>
                <w:sz w:val="18"/>
                <w:szCs w:val="18"/>
              </w:rPr>
            </w:pPr>
            <w:r w:rsidRPr="007838C4">
              <w:rPr>
                <w:sz w:val="18"/>
                <w:szCs w:val="18"/>
              </w:rPr>
              <w:t>43.2</w:t>
            </w:r>
          </w:p>
        </w:tc>
        <w:tc>
          <w:tcPr>
            <w:tcW w:w="1510" w:type="dxa"/>
            <w:tcBorders>
              <w:left w:val="single" w:sz="18" w:space="0" w:color="auto"/>
              <w:right w:val="single" w:sz="18" w:space="0" w:color="auto"/>
            </w:tcBorders>
            <w:shd w:val="clear" w:color="auto" w:fill="A7A7A7" w:themeFill="text2"/>
          </w:tcPr>
          <w:p w14:paraId="74334B40" w14:textId="159138C7" w:rsidR="007838C4" w:rsidRPr="007F2A87" w:rsidRDefault="007838C4" w:rsidP="007838C4">
            <w:pPr>
              <w:pStyle w:val="Tabletext"/>
              <w:rPr>
                <w:b/>
                <w:bCs/>
                <w:sz w:val="18"/>
                <w:szCs w:val="18"/>
              </w:rPr>
            </w:pPr>
            <w:r w:rsidRPr="007F2A87">
              <w:rPr>
                <w:sz w:val="18"/>
                <w:szCs w:val="18"/>
              </w:rPr>
              <w:t>N/A</w:t>
            </w:r>
          </w:p>
        </w:tc>
      </w:tr>
      <w:tr w:rsidR="007838C4" w:rsidRPr="7ACA0E52" w14:paraId="4296542B" w14:textId="71CB5909" w:rsidTr="000F6D7D">
        <w:trPr>
          <w:trHeight w:val="20"/>
        </w:trPr>
        <w:tc>
          <w:tcPr>
            <w:tcW w:w="1423" w:type="dxa"/>
            <w:tcBorders>
              <w:right w:val="single" w:sz="18" w:space="0" w:color="auto"/>
            </w:tcBorders>
            <w:shd w:val="clear" w:color="auto" w:fill="FFFFFF" w:themeFill="background1"/>
            <w:vAlign w:val="bottom"/>
          </w:tcPr>
          <w:p w14:paraId="0A210AE5" w14:textId="54A83CB2" w:rsidR="007838C4" w:rsidRPr="002C3CCE" w:rsidRDefault="007838C4" w:rsidP="007838C4">
            <w:pPr>
              <w:pStyle w:val="Tabletext"/>
              <w:jc w:val="left"/>
              <w:rPr>
                <w:b/>
                <w:bCs/>
                <w:sz w:val="18"/>
                <w:szCs w:val="18"/>
              </w:rPr>
            </w:pPr>
            <w:r w:rsidRPr="002C3CCE">
              <w:rPr>
                <w:rFonts w:cs="Calibri"/>
                <w:b/>
                <w:bCs/>
                <w:color w:val="000000"/>
                <w:sz w:val="18"/>
                <w:szCs w:val="18"/>
              </w:rPr>
              <w:t>2000</w:t>
            </w:r>
          </w:p>
        </w:tc>
        <w:tc>
          <w:tcPr>
            <w:tcW w:w="1005" w:type="dxa"/>
            <w:tcBorders>
              <w:left w:val="single" w:sz="18" w:space="0" w:color="auto"/>
            </w:tcBorders>
            <w:shd w:val="clear" w:color="auto" w:fill="93D6FC" w:themeFill="accent3" w:themeFillTint="66"/>
          </w:tcPr>
          <w:p w14:paraId="30ABB235" w14:textId="3B0FFC22" w:rsidR="007838C4" w:rsidRPr="007838C4" w:rsidRDefault="007838C4" w:rsidP="007838C4">
            <w:pPr>
              <w:pStyle w:val="Tabletext"/>
              <w:jc w:val="left"/>
              <w:rPr>
                <w:b/>
                <w:bCs/>
                <w:sz w:val="18"/>
                <w:szCs w:val="18"/>
              </w:rPr>
            </w:pPr>
            <w:r w:rsidRPr="007838C4">
              <w:rPr>
                <w:sz w:val="18"/>
                <w:szCs w:val="18"/>
              </w:rPr>
              <w:t>22.5</w:t>
            </w:r>
          </w:p>
        </w:tc>
        <w:tc>
          <w:tcPr>
            <w:tcW w:w="1001" w:type="dxa"/>
            <w:tcBorders>
              <w:right w:val="single" w:sz="18" w:space="0" w:color="auto"/>
            </w:tcBorders>
            <w:shd w:val="clear" w:color="auto" w:fill="93D6FC" w:themeFill="accent3" w:themeFillTint="66"/>
          </w:tcPr>
          <w:p w14:paraId="45E06BE0" w14:textId="6F488648" w:rsidR="007838C4" w:rsidRPr="007838C4" w:rsidRDefault="007838C4" w:rsidP="007838C4">
            <w:pPr>
              <w:pStyle w:val="Tabletext"/>
              <w:jc w:val="left"/>
              <w:rPr>
                <w:rFonts w:cs="Calibri"/>
                <w:b/>
                <w:bCs/>
                <w:i/>
                <w:iCs/>
                <w:sz w:val="18"/>
                <w:szCs w:val="18"/>
              </w:rPr>
            </w:pPr>
            <w:r w:rsidRPr="007838C4">
              <w:rPr>
                <w:sz w:val="18"/>
                <w:szCs w:val="18"/>
              </w:rPr>
              <w:t>22.5</w:t>
            </w:r>
          </w:p>
        </w:tc>
        <w:tc>
          <w:tcPr>
            <w:tcW w:w="998" w:type="dxa"/>
            <w:tcBorders>
              <w:left w:val="single" w:sz="18" w:space="0" w:color="auto"/>
            </w:tcBorders>
            <w:shd w:val="clear" w:color="auto" w:fill="0695E5" w:themeFill="accent3"/>
          </w:tcPr>
          <w:p w14:paraId="4D975B4C" w14:textId="4C546181"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757359CC" w14:textId="5C2D7AB0"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68C55BDC" w14:textId="57C89032" w:rsidR="007838C4" w:rsidRPr="007838C4" w:rsidRDefault="007838C4" w:rsidP="007838C4">
            <w:pPr>
              <w:pStyle w:val="Tabletext"/>
              <w:rPr>
                <w:b/>
                <w:bCs/>
                <w:sz w:val="18"/>
                <w:szCs w:val="18"/>
              </w:rPr>
            </w:pPr>
            <w:r w:rsidRPr="007838C4">
              <w:rPr>
                <w:sz w:val="18"/>
                <w:szCs w:val="18"/>
              </w:rPr>
              <w:t>53.0</w:t>
            </w:r>
          </w:p>
        </w:tc>
        <w:tc>
          <w:tcPr>
            <w:tcW w:w="1440" w:type="dxa"/>
            <w:tcBorders>
              <w:right w:val="single" w:sz="18" w:space="0" w:color="auto"/>
            </w:tcBorders>
            <w:shd w:val="clear" w:color="auto" w:fill="0695E5" w:themeFill="accent3"/>
          </w:tcPr>
          <w:p w14:paraId="0AC7019D" w14:textId="4450BB56" w:rsidR="007838C4" w:rsidRPr="007838C4" w:rsidRDefault="007838C4" w:rsidP="007838C4">
            <w:pPr>
              <w:pStyle w:val="Tabletext"/>
              <w:rPr>
                <w:b/>
                <w:bCs/>
                <w:sz w:val="18"/>
                <w:szCs w:val="18"/>
              </w:rPr>
            </w:pPr>
            <w:r w:rsidRPr="007838C4">
              <w:rPr>
                <w:sz w:val="18"/>
                <w:szCs w:val="18"/>
              </w:rPr>
              <w:t>53.0</w:t>
            </w:r>
          </w:p>
        </w:tc>
        <w:tc>
          <w:tcPr>
            <w:tcW w:w="1510" w:type="dxa"/>
            <w:tcBorders>
              <w:left w:val="single" w:sz="18" w:space="0" w:color="auto"/>
              <w:right w:val="single" w:sz="18" w:space="0" w:color="auto"/>
            </w:tcBorders>
            <w:shd w:val="clear" w:color="auto" w:fill="A7A7A7" w:themeFill="text2"/>
          </w:tcPr>
          <w:p w14:paraId="2123A39C" w14:textId="7F3BF96A" w:rsidR="007838C4" w:rsidRPr="007F2A87" w:rsidRDefault="007838C4" w:rsidP="007838C4">
            <w:pPr>
              <w:pStyle w:val="Tabletext"/>
              <w:rPr>
                <w:b/>
                <w:bCs/>
                <w:sz w:val="18"/>
                <w:szCs w:val="18"/>
              </w:rPr>
            </w:pPr>
            <w:r w:rsidRPr="007F2A87">
              <w:rPr>
                <w:sz w:val="18"/>
                <w:szCs w:val="18"/>
              </w:rPr>
              <w:t>N/A</w:t>
            </w:r>
          </w:p>
        </w:tc>
      </w:tr>
      <w:tr w:rsidR="007838C4" w:rsidRPr="7ACA0E52" w14:paraId="2CF41AD6" w14:textId="543C927E" w:rsidTr="000F6D7D">
        <w:trPr>
          <w:trHeight w:val="20"/>
        </w:trPr>
        <w:tc>
          <w:tcPr>
            <w:tcW w:w="1423" w:type="dxa"/>
            <w:tcBorders>
              <w:right w:val="single" w:sz="18" w:space="0" w:color="auto"/>
            </w:tcBorders>
            <w:shd w:val="clear" w:color="auto" w:fill="FFFFFF" w:themeFill="background1"/>
            <w:vAlign w:val="bottom"/>
          </w:tcPr>
          <w:p w14:paraId="1C27BC22" w14:textId="552D562C" w:rsidR="007838C4" w:rsidRPr="002C3CCE" w:rsidRDefault="007838C4" w:rsidP="007838C4">
            <w:pPr>
              <w:pStyle w:val="Tabletext"/>
              <w:jc w:val="left"/>
              <w:rPr>
                <w:b/>
                <w:bCs/>
                <w:sz w:val="18"/>
                <w:szCs w:val="18"/>
              </w:rPr>
            </w:pPr>
            <w:r w:rsidRPr="002C3CCE">
              <w:rPr>
                <w:rFonts w:cs="Calibri"/>
                <w:b/>
                <w:bCs/>
                <w:color w:val="000000"/>
                <w:sz w:val="18"/>
                <w:szCs w:val="18"/>
              </w:rPr>
              <w:t>1999</w:t>
            </w:r>
          </w:p>
        </w:tc>
        <w:tc>
          <w:tcPr>
            <w:tcW w:w="1005" w:type="dxa"/>
            <w:tcBorders>
              <w:left w:val="single" w:sz="18" w:space="0" w:color="auto"/>
            </w:tcBorders>
            <w:shd w:val="clear" w:color="auto" w:fill="93D6FC" w:themeFill="accent3" w:themeFillTint="66"/>
          </w:tcPr>
          <w:p w14:paraId="3B6914E8" w14:textId="682F9EAB" w:rsidR="007838C4" w:rsidRPr="007838C4" w:rsidRDefault="007838C4" w:rsidP="007838C4">
            <w:pPr>
              <w:pStyle w:val="Tabletext"/>
              <w:jc w:val="left"/>
              <w:rPr>
                <w:b/>
                <w:bCs/>
                <w:sz w:val="18"/>
                <w:szCs w:val="18"/>
              </w:rPr>
            </w:pPr>
            <w:r w:rsidRPr="007838C4">
              <w:rPr>
                <w:sz w:val="18"/>
                <w:szCs w:val="18"/>
              </w:rPr>
              <w:t>22.7</w:t>
            </w:r>
          </w:p>
        </w:tc>
        <w:tc>
          <w:tcPr>
            <w:tcW w:w="1001" w:type="dxa"/>
            <w:tcBorders>
              <w:right w:val="single" w:sz="18" w:space="0" w:color="auto"/>
            </w:tcBorders>
            <w:shd w:val="clear" w:color="auto" w:fill="93D6FC" w:themeFill="accent3" w:themeFillTint="66"/>
          </w:tcPr>
          <w:p w14:paraId="4953D6BB" w14:textId="05E6EA74" w:rsidR="007838C4" w:rsidRPr="007838C4" w:rsidRDefault="007838C4" w:rsidP="007838C4">
            <w:pPr>
              <w:pStyle w:val="Tabletext"/>
              <w:jc w:val="left"/>
              <w:rPr>
                <w:rFonts w:cs="Calibri"/>
                <w:b/>
                <w:bCs/>
                <w:i/>
                <w:iCs/>
                <w:sz w:val="18"/>
                <w:szCs w:val="18"/>
              </w:rPr>
            </w:pPr>
            <w:r w:rsidRPr="007838C4">
              <w:rPr>
                <w:sz w:val="18"/>
                <w:szCs w:val="18"/>
              </w:rPr>
              <w:t>22.7</w:t>
            </w:r>
          </w:p>
        </w:tc>
        <w:tc>
          <w:tcPr>
            <w:tcW w:w="998" w:type="dxa"/>
            <w:tcBorders>
              <w:left w:val="single" w:sz="18" w:space="0" w:color="auto"/>
            </w:tcBorders>
            <w:shd w:val="clear" w:color="auto" w:fill="0695E5" w:themeFill="accent3"/>
          </w:tcPr>
          <w:p w14:paraId="3061A498" w14:textId="06BD1FF0"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5F4FD458" w14:textId="207EEBB8"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3C3479A8" w14:textId="4025A7CB" w:rsidR="007838C4" w:rsidRPr="007838C4" w:rsidRDefault="007838C4" w:rsidP="007838C4">
            <w:pPr>
              <w:pStyle w:val="Tabletext"/>
              <w:rPr>
                <w:b/>
                <w:bCs/>
                <w:sz w:val="18"/>
                <w:szCs w:val="18"/>
              </w:rPr>
            </w:pPr>
            <w:r w:rsidRPr="007838C4">
              <w:rPr>
                <w:sz w:val="18"/>
                <w:szCs w:val="18"/>
              </w:rPr>
              <w:t>53.0</w:t>
            </w:r>
          </w:p>
        </w:tc>
        <w:tc>
          <w:tcPr>
            <w:tcW w:w="1440" w:type="dxa"/>
            <w:tcBorders>
              <w:right w:val="single" w:sz="18" w:space="0" w:color="auto"/>
            </w:tcBorders>
            <w:shd w:val="clear" w:color="auto" w:fill="0695E5" w:themeFill="accent3"/>
          </w:tcPr>
          <w:p w14:paraId="0F1E60CC" w14:textId="7FA2E831" w:rsidR="007838C4" w:rsidRPr="007838C4" w:rsidRDefault="007838C4" w:rsidP="007838C4">
            <w:pPr>
              <w:pStyle w:val="Tabletext"/>
              <w:rPr>
                <w:b/>
                <w:bCs/>
                <w:sz w:val="18"/>
                <w:szCs w:val="18"/>
              </w:rPr>
            </w:pPr>
            <w:r w:rsidRPr="007838C4">
              <w:rPr>
                <w:sz w:val="18"/>
                <w:szCs w:val="18"/>
              </w:rPr>
              <w:t>53.0</w:t>
            </w:r>
          </w:p>
        </w:tc>
        <w:tc>
          <w:tcPr>
            <w:tcW w:w="1510" w:type="dxa"/>
            <w:tcBorders>
              <w:left w:val="single" w:sz="18" w:space="0" w:color="auto"/>
              <w:right w:val="single" w:sz="18" w:space="0" w:color="auto"/>
            </w:tcBorders>
            <w:shd w:val="clear" w:color="auto" w:fill="A7A7A7" w:themeFill="text2"/>
          </w:tcPr>
          <w:p w14:paraId="32CCD220" w14:textId="3ADC5085" w:rsidR="007838C4" w:rsidRPr="007F2A87" w:rsidRDefault="007838C4" w:rsidP="007838C4">
            <w:pPr>
              <w:pStyle w:val="Tabletext"/>
              <w:rPr>
                <w:b/>
                <w:bCs/>
                <w:sz w:val="18"/>
                <w:szCs w:val="18"/>
              </w:rPr>
            </w:pPr>
            <w:r w:rsidRPr="007F2A87">
              <w:rPr>
                <w:sz w:val="18"/>
                <w:szCs w:val="18"/>
              </w:rPr>
              <w:t>N/A</w:t>
            </w:r>
          </w:p>
        </w:tc>
      </w:tr>
      <w:tr w:rsidR="007838C4" w:rsidRPr="7ACA0E52" w14:paraId="6D30CBF0" w14:textId="31BF1188" w:rsidTr="000F6D7D">
        <w:trPr>
          <w:trHeight w:val="20"/>
        </w:trPr>
        <w:tc>
          <w:tcPr>
            <w:tcW w:w="1423" w:type="dxa"/>
            <w:tcBorders>
              <w:right w:val="single" w:sz="18" w:space="0" w:color="auto"/>
            </w:tcBorders>
            <w:shd w:val="clear" w:color="auto" w:fill="FFFFFF" w:themeFill="background1"/>
            <w:vAlign w:val="bottom"/>
          </w:tcPr>
          <w:p w14:paraId="6B02FB7C" w14:textId="474FCA33" w:rsidR="007838C4" w:rsidRPr="002C3CCE" w:rsidRDefault="007838C4" w:rsidP="007838C4">
            <w:pPr>
              <w:pStyle w:val="Tabletext"/>
              <w:jc w:val="left"/>
              <w:rPr>
                <w:b/>
                <w:bCs/>
                <w:sz w:val="18"/>
                <w:szCs w:val="18"/>
              </w:rPr>
            </w:pPr>
            <w:r w:rsidRPr="002C3CCE">
              <w:rPr>
                <w:rFonts w:cs="Calibri"/>
                <w:b/>
                <w:bCs/>
                <w:color w:val="000000"/>
                <w:sz w:val="18"/>
                <w:szCs w:val="18"/>
              </w:rPr>
              <w:t>1998</w:t>
            </w:r>
          </w:p>
        </w:tc>
        <w:tc>
          <w:tcPr>
            <w:tcW w:w="1005" w:type="dxa"/>
            <w:tcBorders>
              <w:left w:val="single" w:sz="18" w:space="0" w:color="auto"/>
            </w:tcBorders>
            <w:shd w:val="clear" w:color="auto" w:fill="93D6FC" w:themeFill="accent3" w:themeFillTint="66"/>
          </w:tcPr>
          <w:p w14:paraId="6C76A72D" w14:textId="27B28AA6" w:rsidR="007838C4" w:rsidRPr="007838C4" w:rsidRDefault="007838C4" w:rsidP="007838C4">
            <w:pPr>
              <w:pStyle w:val="Tabletext"/>
              <w:jc w:val="left"/>
              <w:rPr>
                <w:b/>
                <w:bCs/>
                <w:sz w:val="18"/>
                <w:szCs w:val="18"/>
              </w:rPr>
            </w:pPr>
            <w:r w:rsidRPr="007838C4">
              <w:rPr>
                <w:sz w:val="18"/>
                <w:szCs w:val="18"/>
              </w:rPr>
              <w:t>23.0</w:t>
            </w:r>
          </w:p>
        </w:tc>
        <w:tc>
          <w:tcPr>
            <w:tcW w:w="1001" w:type="dxa"/>
            <w:tcBorders>
              <w:right w:val="single" w:sz="18" w:space="0" w:color="auto"/>
            </w:tcBorders>
            <w:shd w:val="clear" w:color="auto" w:fill="93D6FC" w:themeFill="accent3" w:themeFillTint="66"/>
          </w:tcPr>
          <w:p w14:paraId="1EF84F2D" w14:textId="077DDD0C" w:rsidR="007838C4" w:rsidRPr="007838C4" w:rsidRDefault="007838C4" w:rsidP="007838C4">
            <w:pPr>
              <w:pStyle w:val="Tabletext"/>
              <w:jc w:val="left"/>
              <w:rPr>
                <w:rFonts w:cs="Calibri"/>
                <w:b/>
                <w:bCs/>
                <w:i/>
                <w:iCs/>
                <w:sz w:val="18"/>
                <w:szCs w:val="18"/>
              </w:rPr>
            </w:pPr>
            <w:r w:rsidRPr="007838C4">
              <w:rPr>
                <w:sz w:val="18"/>
                <w:szCs w:val="18"/>
              </w:rPr>
              <w:t>23.0</w:t>
            </w:r>
          </w:p>
        </w:tc>
        <w:tc>
          <w:tcPr>
            <w:tcW w:w="998" w:type="dxa"/>
            <w:tcBorders>
              <w:left w:val="single" w:sz="18" w:space="0" w:color="auto"/>
            </w:tcBorders>
            <w:shd w:val="clear" w:color="auto" w:fill="0695E5" w:themeFill="accent3"/>
          </w:tcPr>
          <w:p w14:paraId="3702457E" w14:textId="0295C791"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213C92A8" w14:textId="4715AD9D"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1DB5DEFF" w14:textId="25B232C3" w:rsidR="007838C4" w:rsidRPr="007838C4" w:rsidRDefault="007838C4" w:rsidP="007838C4">
            <w:pPr>
              <w:pStyle w:val="Tabletext"/>
              <w:rPr>
                <w:b/>
                <w:bCs/>
                <w:sz w:val="18"/>
                <w:szCs w:val="18"/>
              </w:rPr>
            </w:pPr>
            <w:r w:rsidRPr="007838C4">
              <w:rPr>
                <w:sz w:val="18"/>
                <w:szCs w:val="18"/>
              </w:rPr>
              <w:t>53.0</w:t>
            </w:r>
          </w:p>
        </w:tc>
        <w:tc>
          <w:tcPr>
            <w:tcW w:w="1440" w:type="dxa"/>
            <w:tcBorders>
              <w:right w:val="single" w:sz="18" w:space="0" w:color="auto"/>
            </w:tcBorders>
            <w:shd w:val="clear" w:color="auto" w:fill="0695E5" w:themeFill="accent3"/>
          </w:tcPr>
          <w:p w14:paraId="64DEF473" w14:textId="40521B56" w:rsidR="007838C4" w:rsidRPr="007838C4" w:rsidRDefault="007838C4" w:rsidP="007838C4">
            <w:pPr>
              <w:pStyle w:val="Tabletext"/>
              <w:rPr>
                <w:b/>
                <w:bCs/>
                <w:sz w:val="18"/>
                <w:szCs w:val="18"/>
              </w:rPr>
            </w:pPr>
            <w:r w:rsidRPr="007838C4">
              <w:rPr>
                <w:sz w:val="18"/>
                <w:szCs w:val="18"/>
              </w:rPr>
              <w:t>53.0</w:t>
            </w:r>
          </w:p>
        </w:tc>
        <w:tc>
          <w:tcPr>
            <w:tcW w:w="1510" w:type="dxa"/>
            <w:tcBorders>
              <w:left w:val="single" w:sz="18" w:space="0" w:color="auto"/>
              <w:right w:val="single" w:sz="18" w:space="0" w:color="auto"/>
            </w:tcBorders>
            <w:shd w:val="clear" w:color="auto" w:fill="A7A7A7" w:themeFill="text2"/>
          </w:tcPr>
          <w:p w14:paraId="0A104D80" w14:textId="3109BF48" w:rsidR="007838C4" w:rsidRPr="007F2A87" w:rsidRDefault="007838C4" w:rsidP="007838C4">
            <w:pPr>
              <w:pStyle w:val="Tabletext"/>
              <w:rPr>
                <w:b/>
                <w:bCs/>
                <w:sz w:val="18"/>
                <w:szCs w:val="18"/>
              </w:rPr>
            </w:pPr>
            <w:r w:rsidRPr="007F2A87">
              <w:rPr>
                <w:sz w:val="18"/>
                <w:szCs w:val="18"/>
              </w:rPr>
              <w:t>N/A</w:t>
            </w:r>
          </w:p>
        </w:tc>
      </w:tr>
      <w:tr w:rsidR="007838C4" w:rsidRPr="7ACA0E52" w14:paraId="7C7E5185" w14:textId="2071A472" w:rsidTr="000F6D7D">
        <w:trPr>
          <w:trHeight w:val="20"/>
        </w:trPr>
        <w:tc>
          <w:tcPr>
            <w:tcW w:w="1423" w:type="dxa"/>
            <w:tcBorders>
              <w:right w:val="single" w:sz="18" w:space="0" w:color="auto"/>
            </w:tcBorders>
            <w:shd w:val="clear" w:color="auto" w:fill="FFFFFF" w:themeFill="background1"/>
            <w:vAlign w:val="bottom"/>
          </w:tcPr>
          <w:p w14:paraId="1B2061DF" w14:textId="54B3E8EE" w:rsidR="007838C4" w:rsidRPr="002C3CCE" w:rsidRDefault="007838C4" w:rsidP="007838C4">
            <w:pPr>
              <w:pStyle w:val="Tabletext"/>
              <w:jc w:val="left"/>
              <w:rPr>
                <w:rFonts w:cs="Calibri"/>
                <w:b/>
                <w:bCs/>
                <w:color w:val="000000"/>
                <w:sz w:val="18"/>
                <w:szCs w:val="18"/>
              </w:rPr>
            </w:pPr>
            <w:r w:rsidRPr="002C3CCE">
              <w:rPr>
                <w:rFonts w:cs="Calibri"/>
                <w:b/>
                <w:bCs/>
                <w:color w:val="000000"/>
                <w:sz w:val="18"/>
                <w:szCs w:val="18"/>
              </w:rPr>
              <w:t>1997</w:t>
            </w:r>
          </w:p>
        </w:tc>
        <w:tc>
          <w:tcPr>
            <w:tcW w:w="1005" w:type="dxa"/>
            <w:tcBorders>
              <w:left w:val="single" w:sz="18" w:space="0" w:color="auto"/>
            </w:tcBorders>
            <w:shd w:val="clear" w:color="auto" w:fill="93D6FC" w:themeFill="accent3" w:themeFillTint="66"/>
          </w:tcPr>
          <w:p w14:paraId="4457630E" w14:textId="28EF8A6F" w:rsidR="007838C4" w:rsidRPr="007838C4" w:rsidRDefault="007838C4" w:rsidP="007838C4">
            <w:pPr>
              <w:pStyle w:val="Tabletext"/>
              <w:jc w:val="left"/>
              <w:rPr>
                <w:b/>
                <w:bCs/>
                <w:sz w:val="18"/>
                <w:szCs w:val="18"/>
              </w:rPr>
            </w:pPr>
            <w:r w:rsidRPr="007838C4">
              <w:rPr>
                <w:sz w:val="18"/>
                <w:szCs w:val="18"/>
              </w:rPr>
              <w:t>23.2</w:t>
            </w:r>
          </w:p>
        </w:tc>
        <w:tc>
          <w:tcPr>
            <w:tcW w:w="1001" w:type="dxa"/>
            <w:tcBorders>
              <w:right w:val="single" w:sz="18" w:space="0" w:color="auto"/>
            </w:tcBorders>
            <w:shd w:val="clear" w:color="auto" w:fill="93D6FC" w:themeFill="accent3" w:themeFillTint="66"/>
          </w:tcPr>
          <w:p w14:paraId="677FEF05" w14:textId="089E9626" w:rsidR="007838C4" w:rsidRPr="007838C4" w:rsidRDefault="007838C4" w:rsidP="007838C4">
            <w:pPr>
              <w:pStyle w:val="Tabletext"/>
              <w:jc w:val="left"/>
              <w:rPr>
                <w:rFonts w:cs="Calibri"/>
                <w:b/>
                <w:bCs/>
                <w:i/>
                <w:iCs/>
                <w:sz w:val="18"/>
                <w:szCs w:val="18"/>
              </w:rPr>
            </w:pPr>
            <w:r w:rsidRPr="007838C4">
              <w:rPr>
                <w:sz w:val="18"/>
                <w:szCs w:val="18"/>
              </w:rPr>
              <w:t>23.2</w:t>
            </w:r>
          </w:p>
        </w:tc>
        <w:tc>
          <w:tcPr>
            <w:tcW w:w="998" w:type="dxa"/>
            <w:tcBorders>
              <w:left w:val="single" w:sz="18" w:space="0" w:color="auto"/>
            </w:tcBorders>
            <w:shd w:val="clear" w:color="auto" w:fill="0695E5" w:themeFill="accent3"/>
          </w:tcPr>
          <w:p w14:paraId="320171FA" w14:textId="46F2F0C4"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3007BD52" w14:textId="710B7B8C"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7E72618C" w14:textId="608F9CB9" w:rsidR="007838C4" w:rsidRPr="007838C4" w:rsidRDefault="007838C4" w:rsidP="007838C4">
            <w:pPr>
              <w:pStyle w:val="Tabletext"/>
              <w:rPr>
                <w:b/>
                <w:bCs/>
                <w:sz w:val="18"/>
                <w:szCs w:val="18"/>
              </w:rPr>
            </w:pPr>
            <w:r w:rsidRPr="007838C4">
              <w:rPr>
                <w:sz w:val="18"/>
                <w:szCs w:val="18"/>
              </w:rPr>
              <w:t>53.0</w:t>
            </w:r>
          </w:p>
        </w:tc>
        <w:tc>
          <w:tcPr>
            <w:tcW w:w="1440" w:type="dxa"/>
            <w:tcBorders>
              <w:right w:val="single" w:sz="18" w:space="0" w:color="auto"/>
            </w:tcBorders>
            <w:shd w:val="clear" w:color="auto" w:fill="0695E5" w:themeFill="accent3"/>
          </w:tcPr>
          <w:p w14:paraId="0978B104" w14:textId="007C5095" w:rsidR="007838C4" w:rsidRPr="007838C4" w:rsidRDefault="007838C4" w:rsidP="007838C4">
            <w:pPr>
              <w:pStyle w:val="Tabletext"/>
              <w:rPr>
                <w:b/>
                <w:bCs/>
                <w:sz w:val="18"/>
                <w:szCs w:val="18"/>
              </w:rPr>
            </w:pPr>
            <w:r w:rsidRPr="007838C4">
              <w:rPr>
                <w:sz w:val="18"/>
                <w:szCs w:val="18"/>
              </w:rPr>
              <w:t>53.0</w:t>
            </w:r>
          </w:p>
        </w:tc>
        <w:tc>
          <w:tcPr>
            <w:tcW w:w="1510" w:type="dxa"/>
            <w:tcBorders>
              <w:left w:val="single" w:sz="18" w:space="0" w:color="auto"/>
              <w:right w:val="single" w:sz="18" w:space="0" w:color="auto"/>
            </w:tcBorders>
            <w:shd w:val="clear" w:color="auto" w:fill="A7A7A7" w:themeFill="text2"/>
          </w:tcPr>
          <w:p w14:paraId="42BE6C66" w14:textId="5DFBF323" w:rsidR="007838C4" w:rsidRPr="007F2A87" w:rsidRDefault="007838C4" w:rsidP="007838C4">
            <w:pPr>
              <w:pStyle w:val="Tabletext"/>
              <w:rPr>
                <w:b/>
                <w:bCs/>
                <w:sz w:val="18"/>
                <w:szCs w:val="18"/>
              </w:rPr>
            </w:pPr>
            <w:r w:rsidRPr="007F2A87">
              <w:rPr>
                <w:sz w:val="18"/>
                <w:szCs w:val="18"/>
              </w:rPr>
              <w:t>N/A</w:t>
            </w:r>
          </w:p>
        </w:tc>
      </w:tr>
      <w:tr w:rsidR="007838C4" w:rsidRPr="7ACA0E52" w14:paraId="2C486F9F" w14:textId="47180607" w:rsidTr="000F6D7D">
        <w:trPr>
          <w:trHeight w:val="20"/>
        </w:trPr>
        <w:tc>
          <w:tcPr>
            <w:tcW w:w="1423" w:type="dxa"/>
            <w:tcBorders>
              <w:right w:val="single" w:sz="18" w:space="0" w:color="auto"/>
            </w:tcBorders>
            <w:shd w:val="clear" w:color="auto" w:fill="FFFFFF" w:themeFill="background1"/>
            <w:vAlign w:val="bottom"/>
          </w:tcPr>
          <w:p w14:paraId="150A4305" w14:textId="14FBDA64" w:rsidR="007838C4" w:rsidRPr="002C3CCE" w:rsidRDefault="007838C4" w:rsidP="007838C4">
            <w:pPr>
              <w:pStyle w:val="Tabletext"/>
              <w:jc w:val="left"/>
              <w:rPr>
                <w:rFonts w:cs="Calibri"/>
                <w:b/>
                <w:bCs/>
                <w:color w:val="000000"/>
                <w:sz w:val="18"/>
                <w:szCs w:val="18"/>
              </w:rPr>
            </w:pPr>
            <w:r w:rsidRPr="002C3CCE">
              <w:rPr>
                <w:rFonts w:cs="Calibri"/>
                <w:b/>
                <w:bCs/>
                <w:color w:val="000000"/>
                <w:sz w:val="18"/>
                <w:szCs w:val="18"/>
              </w:rPr>
              <w:t>1996</w:t>
            </w:r>
          </w:p>
        </w:tc>
        <w:tc>
          <w:tcPr>
            <w:tcW w:w="1005" w:type="dxa"/>
            <w:tcBorders>
              <w:left w:val="single" w:sz="18" w:space="0" w:color="auto"/>
            </w:tcBorders>
            <w:shd w:val="clear" w:color="auto" w:fill="93D6FC" w:themeFill="accent3" w:themeFillTint="66"/>
          </w:tcPr>
          <w:p w14:paraId="45B9D947" w14:textId="3C2C22C5" w:rsidR="007838C4" w:rsidRPr="007838C4" w:rsidRDefault="007838C4" w:rsidP="007838C4">
            <w:pPr>
              <w:pStyle w:val="Tabletext"/>
              <w:jc w:val="left"/>
              <w:rPr>
                <w:b/>
                <w:bCs/>
                <w:sz w:val="18"/>
                <w:szCs w:val="18"/>
              </w:rPr>
            </w:pPr>
            <w:r w:rsidRPr="007838C4">
              <w:rPr>
                <w:sz w:val="18"/>
                <w:szCs w:val="18"/>
              </w:rPr>
              <w:t>23.1</w:t>
            </w:r>
          </w:p>
        </w:tc>
        <w:tc>
          <w:tcPr>
            <w:tcW w:w="1001" w:type="dxa"/>
            <w:tcBorders>
              <w:right w:val="single" w:sz="18" w:space="0" w:color="auto"/>
            </w:tcBorders>
            <w:shd w:val="clear" w:color="auto" w:fill="93D6FC" w:themeFill="accent3" w:themeFillTint="66"/>
          </w:tcPr>
          <w:p w14:paraId="05D1570E" w14:textId="043EB3B7" w:rsidR="007838C4" w:rsidRPr="007838C4" w:rsidRDefault="007838C4" w:rsidP="007838C4">
            <w:pPr>
              <w:pStyle w:val="Tabletext"/>
              <w:jc w:val="left"/>
              <w:rPr>
                <w:rFonts w:cs="Calibri"/>
                <w:b/>
                <w:bCs/>
                <w:i/>
                <w:iCs/>
                <w:sz w:val="18"/>
                <w:szCs w:val="18"/>
              </w:rPr>
            </w:pPr>
            <w:r w:rsidRPr="007838C4">
              <w:rPr>
                <w:sz w:val="18"/>
                <w:szCs w:val="18"/>
              </w:rPr>
              <w:t>23.1</w:t>
            </w:r>
          </w:p>
        </w:tc>
        <w:tc>
          <w:tcPr>
            <w:tcW w:w="998" w:type="dxa"/>
            <w:tcBorders>
              <w:left w:val="single" w:sz="18" w:space="0" w:color="auto"/>
            </w:tcBorders>
            <w:shd w:val="clear" w:color="auto" w:fill="0695E5" w:themeFill="accent3"/>
          </w:tcPr>
          <w:p w14:paraId="4B057AE5" w14:textId="748131BE"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2DE2C047" w14:textId="1B5E440E"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17DDF19A" w14:textId="0A6594A5" w:rsidR="007838C4" w:rsidRPr="007838C4" w:rsidRDefault="007838C4" w:rsidP="007838C4">
            <w:pPr>
              <w:pStyle w:val="Tabletext"/>
              <w:rPr>
                <w:b/>
                <w:bCs/>
                <w:sz w:val="18"/>
                <w:szCs w:val="18"/>
              </w:rPr>
            </w:pPr>
            <w:r w:rsidRPr="007838C4">
              <w:rPr>
                <w:sz w:val="18"/>
                <w:szCs w:val="18"/>
              </w:rPr>
              <w:t>53.0</w:t>
            </w:r>
          </w:p>
        </w:tc>
        <w:tc>
          <w:tcPr>
            <w:tcW w:w="1440" w:type="dxa"/>
            <w:tcBorders>
              <w:right w:val="single" w:sz="18" w:space="0" w:color="auto"/>
            </w:tcBorders>
            <w:shd w:val="clear" w:color="auto" w:fill="0695E5" w:themeFill="accent3"/>
          </w:tcPr>
          <w:p w14:paraId="7848B003" w14:textId="76044352" w:rsidR="007838C4" w:rsidRPr="007838C4" w:rsidRDefault="007838C4" w:rsidP="007838C4">
            <w:pPr>
              <w:pStyle w:val="Tabletext"/>
              <w:rPr>
                <w:b/>
                <w:bCs/>
                <w:sz w:val="18"/>
                <w:szCs w:val="18"/>
              </w:rPr>
            </w:pPr>
            <w:r w:rsidRPr="007838C4">
              <w:rPr>
                <w:sz w:val="18"/>
                <w:szCs w:val="18"/>
              </w:rPr>
              <w:t>53.0</w:t>
            </w:r>
          </w:p>
        </w:tc>
        <w:tc>
          <w:tcPr>
            <w:tcW w:w="1510" w:type="dxa"/>
            <w:tcBorders>
              <w:left w:val="single" w:sz="18" w:space="0" w:color="auto"/>
              <w:right w:val="single" w:sz="18" w:space="0" w:color="auto"/>
            </w:tcBorders>
            <w:shd w:val="clear" w:color="auto" w:fill="A7A7A7" w:themeFill="text2"/>
          </w:tcPr>
          <w:p w14:paraId="7FAC0638" w14:textId="25AB7895" w:rsidR="007838C4" w:rsidRPr="007F2A87" w:rsidRDefault="007838C4" w:rsidP="007838C4">
            <w:pPr>
              <w:pStyle w:val="Tabletext"/>
              <w:rPr>
                <w:b/>
                <w:bCs/>
                <w:sz w:val="18"/>
                <w:szCs w:val="18"/>
              </w:rPr>
            </w:pPr>
            <w:r w:rsidRPr="007F2A87">
              <w:rPr>
                <w:sz w:val="18"/>
                <w:szCs w:val="18"/>
              </w:rPr>
              <w:t>N/A</w:t>
            </w:r>
          </w:p>
        </w:tc>
      </w:tr>
      <w:tr w:rsidR="007838C4" w:rsidRPr="7ACA0E52" w14:paraId="58C880E2" w14:textId="39E7DB10" w:rsidTr="000F6D7D">
        <w:trPr>
          <w:trHeight w:val="20"/>
        </w:trPr>
        <w:tc>
          <w:tcPr>
            <w:tcW w:w="1423" w:type="dxa"/>
            <w:tcBorders>
              <w:right w:val="single" w:sz="18" w:space="0" w:color="auto"/>
            </w:tcBorders>
            <w:shd w:val="clear" w:color="auto" w:fill="FFFFFF" w:themeFill="background1"/>
            <w:vAlign w:val="bottom"/>
          </w:tcPr>
          <w:p w14:paraId="71EEE4BA" w14:textId="1CF5DF55" w:rsidR="007838C4" w:rsidRPr="002C3CCE" w:rsidRDefault="007838C4" w:rsidP="007838C4">
            <w:pPr>
              <w:pStyle w:val="Tabletext"/>
              <w:jc w:val="left"/>
              <w:rPr>
                <w:rFonts w:cs="Calibri"/>
                <w:b/>
                <w:bCs/>
                <w:color w:val="000000"/>
                <w:sz w:val="18"/>
                <w:szCs w:val="18"/>
              </w:rPr>
            </w:pPr>
            <w:r w:rsidRPr="002C3CCE">
              <w:rPr>
                <w:rFonts w:cs="Calibri"/>
                <w:b/>
                <w:bCs/>
                <w:color w:val="000000"/>
                <w:sz w:val="18"/>
                <w:szCs w:val="18"/>
              </w:rPr>
              <w:t>1995</w:t>
            </w:r>
          </w:p>
        </w:tc>
        <w:tc>
          <w:tcPr>
            <w:tcW w:w="1005" w:type="dxa"/>
            <w:tcBorders>
              <w:left w:val="single" w:sz="18" w:space="0" w:color="auto"/>
            </w:tcBorders>
            <w:shd w:val="clear" w:color="auto" w:fill="93D6FC" w:themeFill="accent3" w:themeFillTint="66"/>
          </w:tcPr>
          <w:p w14:paraId="74C995B9" w14:textId="1C97A8A3" w:rsidR="007838C4" w:rsidRPr="007838C4" w:rsidRDefault="007838C4" w:rsidP="007838C4">
            <w:pPr>
              <w:pStyle w:val="Tabletext"/>
              <w:jc w:val="left"/>
              <w:rPr>
                <w:b/>
                <w:bCs/>
                <w:sz w:val="18"/>
                <w:szCs w:val="18"/>
              </w:rPr>
            </w:pPr>
            <w:r w:rsidRPr="007838C4">
              <w:rPr>
                <w:sz w:val="18"/>
                <w:szCs w:val="18"/>
              </w:rPr>
              <w:t>23.3</w:t>
            </w:r>
          </w:p>
        </w:tc>
        <w:tc>
          <w:tcPr>
            <w:tcW w:w="1001" w:type="dxa"/>
            <w:tcBorders>
              <w:right w:val="single" w:sz="18" w:space="0" w:color="auto"/>
            </w:tcBorders>
            <w:shd w:val="clear" w:color="auto" w:fill="93D6FC" w:themeFill="accent3" w:themeFillTint="66"/>
          </w:tcPr>
          <w:p w14:paraId="7481D89C" w14:textId="012D34D5" w:rsidR="007838C4" w:rsidRPr="007838C4" w:rsidRDefault="007838C4" w:rsidP="007838C4">
            <w:pPr>
              <w:pStyle w:val="Tabletext"/>
              <w:jc w:val="left"/>
              <w:rPr>
                <w:rFonts w:cs="Calibri"/>
                <w:b/>
                <w:bCs/>
                <w:i/>
                <w:iCs/>
                <w:sz w:val="18"/>
                <w:szCs w:val="18"/>
              </w:rPr>
            </w:pPr>
            <w:r w:rsidRPr="007838C4">
              <w:rPr>
                <w:sz w:val="18"/>
                <w:szCs w:val="18"/>
              </w:rPr>
              <w:t>23.3</w:t>
            </w:r>
          </w:p>
        </w:tc>
        <w:tc>
          <w:tcPr>
            <w:tcW w:w="998" w:type="dxa"/>
            <w:tcBorders>
              <w:left w:val="single" w:sz="18" w:space="0" w:color="auto"/>
            </w:tcBorders>
            <w:shd w:val="clear" w:color="auto" w:fill="0695E5" w:themeFill="accent3"/>
          </w:tcPr>
          <w:p w14:paraId="345FC2FF" w14:textId="3E508B06"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0E0A30D6" w14:textId="32F22F23" w:rsidR="007838C4" w:rsidRPr="007838C4" w:rsidRDefault="007838C4" w:rsidP="007838C4">
            <w:pPr>
              <w:pStyle w:val="Tabletext"/>
              <w:rPr>
                <w:b/>
                <w:bCs/>
                <w:sz w:val="18"/>
                <w:szCs w:val="18"/>
              </w:rPr>
            </w:pPr>
            <w:r w:rsidRPr="007838C4">
              <w:rPr>
                <w:sz w:val="18"/>
                <w:szCs w:val="18"/>
              </w:rPr>
              <w:t>53.0</w:t>
            </w:r>
          </w:p>
        </w:tc>
        <w:tc>
          <w:tcPr>
            <w:tcW w:w="998" w:type="dxa"/>
            <w:shd w:val="clear" w:color="auto" w:fill="0695E5" w:themeFill="accent3"/>
          </w:tcPr>
          <w:p w14:paraId="78B635A2" w14:textId="10071B5F" w:rsidR="007838C4" w:rsidRPr="007838C4" w:rsidRDefault="007838C4" w:rsidP="007838C4">
            <w:pPr>
              <w:pStyle w:val="Tabletext"/>
              <w:rPr>
                <w:b/>
                <w:bCs/>
                <w:sz w:val="18"/>
                <w:szCs w:val="18"/>
              </w:rPr>
            </w:pPr>
            <w:r w:rsidRPr="007838C4">
              <w:rPr>
                <w:sz w:val="18"/>
                <w:szCs w:val="18"/>
              </w:rPr>
              <w:t>53.0</w:t>
            </w:r>
          </w:p>
        </w:tc>
        <w:tc>
          <w:tcPr>
            <w:tcW w:w="1440" w:type="dxa"/>
            <w:tcBorders>
              <w:right w:val="single" w:sz="18" w:space="0" w:color="auto"/>
            </w:tcBorders>
            <w:shd w:val="clear" w:color="auto" w:fill="0695E5" w:themeFill="accent3"/>
          </w:tcPr>
          <w:p w14:paraId="640F786C" w14:textId="7BB1D430" w:rsidR="007838C4" w:rsidRPr="007838C4" w:rsidRDefault="007838C4" w:rsidP="007838C4">
            <w:pPr>
              <w:pStyle w:val="Tabletext"/>
              <w:rPr>
                <w:b/>
                <w:bCs/>
                <w:sz w:val="18"/>
                <w:szCs w:val="18"/>
              </w:rPr>
            </w:pPr>
            <w:r w:rsidRPr="007838C4">
              <w:rPr>
                <w:sz w:val="18"/>
                <w:szCs w:val="18"/>
              </w:rPr>
              <w:t>53.0</w:t>
            </w:r>
          </w:p>
        </w:tc>
        <w:tc>
          <w:tcPr>
            <w:tcW w:w="1510" w:type="dxa"/>
            <w:tcBorders>
              <w:left w:val="single" w:sz="18" w:space="0" w:color="auto"/>
              <w:right w:val="single" w:sz="18" w:space="0" w:color="auto"/>
            </w:tcBorders>
            <w:shd w:val="clear" w:color="auto" w:fill="A7A7A7" w:themeFill="text2"/>
          </w:tcPr>
          <w:p w14:paraId="0ECBC9DC" w14:textId="3E3DB110" w:rsidR="007838C4" w:rsidRPr="007F2A87" w:rsidRDefault="007838C4" w:rsidP="007838C4">
            <w:pPr>
              <w:pStyle w:val="Tabletext"/>
              <w:rPr>
                <w:b/>
                <w:bCs/>
                <w:sz w:val="18"/>
                <w:szCs w:val="18"/>
              </w:rPr>
            </w:pPr>
            <w:r w:rsidRPr="007F2A87">
              <w:rPr>
                <w:sz w:val="18"/>
                <w:szCs w:val="18"/>
              </w:rPr>
              <w:t>N/A</w:t>
            </w:r>
          </w:p>
        </w:tc>
      </w:tr>
      <w:tr w:rsidR="007838C4" w:rsidRPr="7ACA0E52" w14:paraId="1AADDDBD" w14:textId="2E2BAFE3" w:rsidTr="000F6D7D">
        <w:trPr>
          <w:trHeight w:val="20"/>
        </w:trPr>
        <w:tc>
          <w:tcPr>
            <w:tcW w:w="1423" w:type="dxa"/>
            <w:tcBorders>
              <w:right w:val="single" w:sz="18" w:space="0" w:color="auto"/>
            </w:tcBorders>
            <w:shd w:val="clear" w:color="auto" w:fill="FFFFFF" w:themeFill="background1"/>
            <w:vAlign w:val="bottom"/>
          </w:tcPr>
          <w:p w14:paraId="55DD8B34" w14:textId="1F8591C7" w:rsidR="007838C4" w:rsidRPr="002C3CCE" w:rsidRDefault="007838C4" w:rsidP="007838C4">
            <w:pPr>
              <w:pStyle w:val="Tabletext"/>
              <w:jc w:val="left"/>
              <w:rPr>
                <w:rFonts w:cs="Calibri"/>
                <w:b/>
                <w:bCs/>
                <w:color w:val="000000"/>
                <w:sz w:val="18"/>
                <w:szCs w:val="18"/>
              </w:rPr>
            </w:pPr>
            <w:r w:rsidRPr="002C3CCE">
              <w:rPr>
                <w:rFonts w:cs="Calibri"/>
                <w:b/>
                <w:bCs/>
                <w:color w:val="000000"/>
                <w:sz w:val="18"/>
                <w:szCs w:val="18"/>
              </w:rPr>
              <w:t>1994 or earlier</w:t>
            </w:r>
          </w:p>
        </w:tc>
        <w:tc>
          <w:tcPr>
            <w:tcW w:w="1005" w:type="dxa"/>
            <w:tcBorders>
              <w:left w:val="single" w:sz="18" w:space="0" w:color="auto"/>
              <w:bottom w:val="single" w:sz="18" w:space="0" w:color="auto"/>
            </w:tcBorders>
            <w:shd w:val="clear" w:color="auto" w:fill="93D6FC" w:themeFill="accent3" w:themeFillTint="66"/>
          </w:tcPr>
          <w:p w14:paraId="2F322096" w14:textId="70263CFB" w:rsidR="007838C4" w:rsidRPr="007838C4" w:rsidRDefault="007838C4" w:rsidP="007838C4">
            <w:pPr>
              <w:pStyle w:val="Tabletext"/>
              <w:jc w:val="left"/>
              <w:rPr>
                <w:b/>
                <w:bCs/>
                <w:sz w:val="18"/>
                <w:szCs w:val="18"/>
              </w:rPr>
            </w:pPr>
            <w:r w:rsidRPr="007838C4">
              <w:rPr>
                <w:sz w:val="18"/>
                <w:szCs w:val="18"/>
              </w:rPr>
              <w:t>23.0</w:t>
            </w:r>
          </w:p>
        </w:tc>
        <w:tc>
          <w:tcPr>
            <w:tcW w:w="1001" w:type="dxa"/>
            <w:tcBorders>
              <w:bottom w:val="single" w:sz="18" w:space="0" w:color="auto"/>
              <w:right w:val="single" w:sz="18" w:space="0" w:color="auto"/>
            </w:tcBorders>
            <w:shd w:val="clear" w:color="auto" w:fill="93D6FC" w:themeFill="accent3" w:themeFillTint="66"/>
          </w:tcPr>
          <w:p w14:paraId="3118D40A" w14:textId="05FE59A8" w:rsidR="007838C4" w:rsidRPr="007838C4" w:rsidRDefault="007838C4" w:rsidP="007838C4">
            <w:pPr>
              <w:pStyle w:val="Tabletext"/>
              <w:jc w:val="left"/>
              <w:rPr>
                <w:rFonts w:cs="Calibri"/>
                <w:b/>
                <w:bCs/>
                <w:i/>
                <w:iCs/>
                <w:sz w:val="18"/>
                <w:szCs w:val="18"/>
              </w:rPr>
            </w:pPr>
            <w:r w:rsidRPr="007838C4">
              <w:rPr>
                <w:sz w:val="18"/>
                <w:szCs w:val="18"/>
              </w:rPr>
              <w:t>23.0</w:t>
            </w:r>
          </w:p>
        </w:tc>
        <w:tc>
          <w:tcPr>
            <w:tcW w:w="998" w:type="dxa"/>
            <w:tcBorders>
              <w:left w:val="single" w:sz="18" w:space="0" w:color="auto"/>
              <w:bottom w:val="single" w:sz="18" w:space="0" w:color="auto"/>
            </w:tcBorders>
            <w:shd w:val="clear" w:color="auto" w:fill="0695E5" w:themeFill="accent3"/>
          </w:tcPr>
          <w:p w14:paraId="208B4A4B" w14:textId="09C227E0" w:rsidR="007838C4" w:rsidRPr="007838C4" w:rsidRDefault="007838C4" w:rsidP="007838C4">
            <w:pPr>
              <w:pStyle w:val="Tabletext"/>
              <w:rPr>
                <w:b/>
                <w:bCs/>
                <w:sz w:val="18"/>
                <w:szCs w:val="18"/>
              </w:rPr>
            </w:pPr>
            <w:r w:rsidRPr="007838C4">
              <w:rPr>
                <w:sz w:val="18"/>
                <w:szCs w:val="18"/>
              </w:rPr>
              <w:t>53.0</w:t>
            </w:r>
          </w:p>
        </w:tc>
        <w:tc>
          <w:tcPr>
            <w:tcW w:w="998" w:type="dxa"/>
            <w:tcBorders>
              <w:bottom w:val="single" w:sz="18" w:space="0" w:color="auto"/>
            </w:tcBorders>
            <w:shd w:val="clear" w:color="auto" w:fill="0695E5" w:themeFill="accent3"/>
          </w:tcPr>
          <w:p w14:paraId="6F7EB7C6" w14:textId="7880656F" w:rsidR="007838C4" w:rsidRPr="007838C4" w:rsidRDefault="007838C4" w:rsidP="007838C4">
            <w:pPr>
              <w:pStyle w:val="Tabletext"/>
              <w:rPr>
                <w:b/>
                <w:bCs/>
                <w:sz w:val="18"/>
                <w:szCs w:val="18"/>
              </w:rPr>
            </w:pPr>
            <w:r w:rsidRPr="007838C4">
              <w:rPr>
                <w:sz w:val="18"/>
                <w:szCs w:val="18"/>
              </w:rPr>
              <w:t>53.0</w:t>
            </w:r>
          </w:p>
        </w:tc>
        <w:tc>
          <w:tcPr>
            <w:tcW w:w="998" w:type="dxa"/>
            <w:tcBorders>
              <w:bottom w:val="single" w:sz="18" w:space="0" w:color="auto"/>
            </w:tcBorders>
            <w:shd w:val="clear" w:color="auto" w:fill="0695E5" w:themeFill="accent3"/>
          </w:tcPr>
          <w:p w14:paraId="456696C0" w14:textId="70C041D7" w:rsidR="007838C4" w:rsidRPr="007838C4" w:rsidRDefault="007838C4" w:rsidP="007838C4">
            <w:pPr>
              <w:pStyle w:val="Tabletext"/>
              <w:rPr>
                <w:b/>
                <w:bCs/>
                <w:sz w:val="18"/>
                <w:szCs w:val="18"/>
              </w:rPr>
            </w:pPr>
            <w:r w:rsidRPr="007838C4">
              <w:rPr>
                <w:sz w:val="18"/>
                <w:szCs w:val="18"/>
              </w:rPr>
              <w:t>53.0</w:t>
            </w:r>
          </w:p>
        </w:tc>
        <w:tc>
          <w:tcPr>
            <w:tcW w:w="1440" w:type="dxa"/>
            <w:tcBorders>
              <w:bottom w:val="single" w:sz="18" w:space="0" w:color="auto"/>
              <w:right w:val="single" w:sz="18" w:space="0" w:color="auto"/>
            </w:tcBorders>
            <w:shd w:val="clear" w:color="auto" w:fill="0695E5" w:themeFill="accent3"/>
          </w:tcPr>
          <w:p w14:paraId="218C3438" w14:textId="1AAAD250" w:rsidR="007838C4" w:rsidRPr="007838C4" w:rsidRDefault="007838C4" w:rsidP="007838C4">
            <w:pPr>
              <w:pStyle w:val="Tabletext"/>
              <w:rPr>
                <w:b/>
                <w:bCs/>
                <w:sz w:val="18"/>
                <w:szCs w:val="18"/>
              </w:rPr>
            </w:pPr>
            <w:r w:rsidRPr="007838C4">
              <w:rPr>
                <w:sz w:val="18"/>
                <w:szCs w:val="18"/>
              </w:rPr>
              <w:t>53.0</w:t>
            </w:r>
          </w:p>
        </w:tc>
        <w:tc>
          <w:tcPr>
            <w:tcW w:w="1510" w:type="dxa"/>
            <w:tcBorders>
              <w:left w:val="single" w:sz="18" w:space="0" w:color="auto"/>
              <w:bottom w:val="single" w:sz="18" w:space="0" w:color="auto"/>
              <w:right w:val="single" w:sz="18" w:space="0" w:color="auto"/>
            </w:tcBorders>
            <w:shd w:val="clear" w:color="auto" w:fill="A7A7A7" w:themeFill="text2"/>
          </w:tcPr>
          <w:p w14:paraId="5D075E6C" w14:textId="5FBE90D9" w:rsidR="007838C4" w:rsidRPr="007F2A87" w:rsidRDefault="007838C4" w:rsidP="007838C4">
            <w:pPr>
              <w:pStyle w:val="Tabletext"/>
              <w:rPr>
                <w:b/>
                <w:bCs/>
                <w:sz w:val="18"/>
                <w:szCs w:val="18"/>
              </w:rPr>
            </w:pPr>
            <w:r w:rsidRPr="007F2A87">
              <w:rPr>
                <w:sz w:val="18"/>
                <w:szCs w:val="18"/>
              </w:rPr>
              <w:t>N/A</w:t>
            </w:r>
          </w:p>
        </w:tc>
      </w:tr>
    </w:tbl>
    <w:p w14:paraId="7E25EE1C" w14:textId="4ECB7F53" w:rsidR="007838C4" w:rsidRPr="008F1A35" w:rsidRDefault="002B3A39" w:rsidP="008F1A35">
      <w:pPr>
        <w:pStyle w:val="NoSpacing"/>
        <w:rPr>
          <w:sz w:val="18"/>
          <w:szCs w:val="18"/>
        </w:rPr>
      </w:pPr>
      <w:r w:rsidRPr="00C90146">
        <w:rPr>
          <w:sz w:val="18"/>
          <w:szCs w:val="18"/>
        </w:rPr>
        <w:t>Note: HEV = hybrid electric vehicle (non-plug-in), FFV = flex-fuel vehicle, CNG = compressed natural gas.</w:t>
      </w:r>
      <w:bookmarkStart w:id="67" w:name="_Toc227069802"/>
    </w:p>
    <w:p w14:paraId="38C44D23" w14:textId="07FC8924" w:rsidR="00434760" w:rsidRDefault="37BDF954" w:rsidP="00434760">
      <w:pPr>
        <w:pStyle w:val="Heading1"/>
        <w:ind w:left="0" w:firstLine="0"/>
      </w:pPr>
      <w:r>
        <w:lastRenderedPageBreak/>
        <w:t xml:space="preserve">Appendix B: </w:t>
      </w:r>
      <w:r w:rsidR="72B4B101">
        <w:t xml:space="preserve">Sensitivity </w:t>
      </w:r>
      <w:r w:rsidR="00434760">
        <w:t>Analys</w:t>
      </w:r>
      <w:r w:rsidR="00C3568C">
        <w:t>es</w:t>
      </w:r>
      <w:bookmarkEnd w:id="67"/>
    </w:p>
    <w:p w14:paraId="4243DED7" w14:textId="1020FF17" w:rsidR="00347CB0" w:rsidRDefault="4129BE8B" w:rsidP="00347CB0">
      <w:r>
        <w:t xml:space="preserve">Sensitivity analyses were conducted to assess the impact of the uncertainty in several of the input values on the cost-effectiveness </w:t>
      </w:r>
      <w:r w:rsidR="00A8279C">
        <w:t xml:space="preserve">of </w:t>
      </w:r>
      <w:r w:rsidR="00C066ED">
        <w:t xml:space="preserve">GHG </w:t>
      </w:r>
      <w:r w:rsidR="00A8279C">
        <w:t>reductions</w:t>
      </w:r>
      <w:r>
        <w:t xml:space="preserve">. </w:t>
      </w:r>
      <w:r w:rsidR="0A40CA06">
        <w:t>The following sections detail sensitivity analyses on vehicle and fuel inputs</w:t>
      </w:r>
      <w:r w:rsidR="00B131C7">
        <w:t xml:space="preserve"> and</w:t>
      </w:r>
      <w:r w:rsidR="002616B0">
        <w:t xml:space="preserve"> on the</w:t>
      </w:r>
      <w:r w:rsidR="0A40CA06">
        <w:t xml:space="preserve"> quantification period</w:t>
      </w:r>
      <w:r w:rsidR="00530770">
        <w:t xml:space="preserve">, focusing on </w:t>
      </w:r>
      <w:r w:rsidR="00530770" w:rsidRPr="00530770">
        <w:rPr>
          <w:i/>
          <w:iCs/>
        </w:rPr>
        <w:t>Rebate-Essential</w:t>
      </w:r>
      <w:r w:rsidR="00530770">
        <w:t xml:space="preserve"> </w:t>
      </w:r>
      <w:r w:rsidR="00E315ED">
        <w:t>r</w:t>
      </w:r>
      <w:r w:rsidR="00530770">
        <w:t>eductions</w:t>
      </w:r>
      <w:r w:rsidR="00B131C7">
        <w:t>.</w:t>
      </w:r>
      <w:r w:rsidR="00D735A8" w:rsidRPr="001E5E83">
        <w:rPr>
          <w:rStyle w:val="FootnoteReference"/>
        </w:rPr>
        <w:footnoteReference w:id="27"/>
      </w:r>
      <w:r w:rsidR="00347CB0">
        <w:t xml:space="preserve"> </w:t>
      </w:r>
      <w:r w:rsidR="0098226F">
        <w:t xml:space="preserve">The </w:t>
      </w:r>
      <w:r w:rsidR="006F1720">
        <w:t xml:space="preserve">results </w:t>
      </w:r>
      <w:r w:rsidR="0098226F">
        <w:t xml:space="preserve">highlight that </w:t>
      </w:r>
      <w:r w:rsidR="00F86F0C">
        <w:t xml:space="preserve">the most impactful </w:t>
      </w:r>
      <w:r w:rsidR="0098226F">
        <w:t xml:space="preserve">areas of uncertainty </w:t>
      </w:r>
      <w:r w:rsidR="002C0F97">
        <w:t xml:space="preserve">include </w:t>
      </w:r>
      <w:r w:rsidR="00F86F0C">
        <w:t>the quantification period</w:t>
      </w:r>
      <w:r w:rsidR="0013316E">
        <w:t xml:space="preserve"> and </w:t>
      </w:r>
      <w:r w:rsidR="002C39C6">
        <w:t>vehicle/fuel inputs</w:t>
      </w:r>
      <w:r w:rsidR="0013316E">
        <w:t xml:space="preserve"> affecting baseline emissions</w:t>
      </w:r>
      <w:r w:rsidR="00EE010E">
        <w:t>.</w:t>
      </w:r>
    </w:p>
    <w:p w14:paraId="610C9AD9" w14:textId="15011FF2" w:rsidR="00A936F2" w:rsidRDefault="72B4B101" w:rsidP="00CF11AE">
      <w:pPr>
        <w:pStyle w:val="Heading2"/>
      </w:pPr>
      <w:bookmarkStart w:id="68" w:name="_Toc227069803"/>
      <w:r>
        <w:t>Sensitivity to Vehicle and Fuel Inputs</w:t>
      </w:r>
      <w:bookmarkEnd w:id="68"/>
    </w:p>
    <w:bookmarkEnd w:id="64"/>
    <w:p w14:paraId="673348B3" w14:textId="22E16870" w:rsidR="00D35BAF" w:rsidRPr="003A15C4" w:rsidRDefault="00371B63" w:rsidP="2F1055DC">
      <w:pPr>
        <w:pStyle w:val="Body"/>
        <w:rPr>
          <w:color w:val="auto"/>
        </w:rPr>
      </w:pPr>
      <w:r>
        <w:t>The sensitivity of GHG reduction</w:t>
      </w:r>
      <w:r w:rsidR="004C5B02">
        <w:t xml:space="preserve"> </w:t>
      </w:r>
      <w:r>
        <w:t xml:space="preserve">cost effectiveness to variations in vehicle and fuel inputs </w:t>
      </w:r>
      <w:r w:rsidR="00147424">
        <w:t xml:space="preserve">are </w:t>
      </w:r>
      <w:r w:rsidR="004C5B02">
        <w:t xml:space="preserve">first </w:t>
      </w:r>
      <w:r w:rsidR="00147424">
        <w:t xml:space="preserve">tested by </w:t>
      </w:r>
      <w:r w:rsidR="00423213">
        <w:t>scaling</w:t>
      </w:r>
      <w:r w:rsidR="00147424">
        <w:t xml:space="preserve"> each </w:t>
      </w:r>
      <w:r w:rsidR="00423213">
        <w:t xml:space="preserve">up and down </w:t>
      </w:r>
      <w:r w:rsidR="00147424">
        <w:t xml:space="preserve">by </w:t>
      </w:r>
      <w:r w:rsidR="00CA34DC">
        <w:t>10%</w:t>
      </w:r>
      <w:r w:rsidR="00147424">
        <w:t xml:space="preserve">. </w:t>
      </w:r>
      <w:r w:rsidR="0089052A">
        <w:t>Highlights are displayed in Figure</w:t>
      </w:r>
      <w:r w:rsidR="0089052A" w:rsidRPr="2F1055DC">
        <w:rPr>
          <w:color w:val="auto"/>
        </w:rPr>
        <w:t xml:space="preserve"> B1.</w:t>
      </w:r>
      <w:r w:rsidR="0089052A">
        <w:rPr>
          <w:color w:val="auto"/>
        </w:rPr>
        <w:t xml:space="preserve"> </w:t>
      </w:r>
      <w:r w:rsidR="006B65ED">
        <w:t xml:space="preserve">Some inputs were further tested </w:t>
      </w:r>
      <w:r w:rsidR="00AC5DCD">
        <w:t xml:space="preserve">using </w:t>
      </w:r>
      <w:r w:rsidR="005D07C3">
        <w:t xml:space="preserve">data or </w:t>
      </w:r>
      <w:proofErr w:type="gramStart"/>
      <w:r w:rsidR="00AC5DCD">
        <w:t>t</w:t>
      </w:r>
      <w:r w:rsidR="4129BE8B">
        <w:t>he literature</w:t>
      </w:r>
      <w:proofErr w:type="gramEnd"/>
      <w:r w:rsidR="4129BE8B">
        <w:t xml:space="preserve"> about related topics </w:t>
      </w:r>
      <w:r w:rsidR="00AC5DCD">
        <w:t xml:space="preserve">to </w:t>
      </w:r>
      <w:r w:rsidR="4129BE8B">
        <w:t>inform value ranges for sensitivity tests</w:t>
      </w:r>
      <w:r w:rsidR="0A40CA06">
        <w:t xml:space="preserve"> of vehicle and fuel inputs</w:t>
      </w:r>
      <w:r w:rsidR="4129BE8B">
        <w:t>, each of which are described further below.</w:t>
      </w:r>
      <w:r w:rsidR="43043F56">
        <w:t xml:space="preserve"> </w:t>
      </w:r>
    </w:p>
    <w:p w14:paraId="760ED147" w14:textId="727AD27D" w:rsidR="003744EE" w:rsidRPr="005D5305" w:rsidRDefault="706F1520" w:rsidP="00811AE9">
      <w:pPr>
        <w:pStyle w:val="TableFigureNumber0"/>
        <w:rPr>
          <w:b/>
          <w:bCs/>
          <w:color w:val="0579BD"/>
        </w:rPr>
      </w:pPr>
      <w:r w:rsidRPr="005D5305">
        <w:rPr>
          <w:color w:val="0579BD"/>
        </w:rPr>
        <w:t xml:space="preserve">FIGURE </w:t>
      </w:r>
      <w:r w:rsidR="02BA355B" w:rsidRPr="005D5305">
        <w:rPr>
          <w:color w:val="0579BD"/>
        </w:rPr>
        <w:t>B1</w:t>
      </w:r>
    </w:p>
    <w:p w14:paraId="317F92DF" w14:textId="39F3C43A" w:rsidR="003744EE" w:rsidRPr="0080507B" w:rsidRDefault="706F1520" w:rsidP="003744EE">
      <w:pPr>
        <w:keepNext/>
        <w:spacing w:after="0" w:line="240" w:lineRule="auto"/>
        <w:rPr>
          <w:rFonts w:eastAsia="Calibri" w:cs="Calibri"/>
          <w:b/>
          <w:bCs/>
          <w:sz w:val="28"/>
          <w:szCs w:val="28"/>
        </w:rPr>
      </w:pPr>
      <w:r w:rsidRPr="7ACA0E52">
        <w:rPr>
          <w:rFonts w:eastAsia="Calibri" w:cs="Calibri"/>
          <w:b/>
          <w:bCs/>
          <w:sz w:val="28"/>
          <w:szCs w:val="28"/>
        </w:rPr>
        <w:t>Impact of Uncertainty on</w:t>
      </w:r>
      <w:r w:rsidR="00B37CFD">
        <w:rPr>
          <w:rFonts w:eastAsia="Calibri" w:cs="Calibri"/>
          <w:b/>
          <w:bCs/>
          <w:sz w:val="28"/>
          <w:szCs w:val="28"/>
        </w:rPr>
        <w:t xml:space="preserve"> </w:t>
      </w:r>
      <w:r w:rsidR="00F04D8E">
        <w:rPr>
          <w:rFonts w:eastAsia="Calibri" w:cs="Calibri"/>
          <w:b/>
          <w:bCs/>
          <w:sz w:val="28"/>
          <w:szCs w:val="28"/>
        </w:rPr>
        <w:t>Program</w:t>
      </w:r>
      <w:r w:rsidR="00B37CFD">
        <w:rPr>
          <w:rFonts w:eastAsia="Calibri" w:cs="Calibri"/>
          <w:b/>
          <w:bCs/>
          <w:sz w:val="28"/>
          <w:szCs w:val="28"/>
        </w:rPr>
        <w:t xml:space="preserve"> Average</w:t>
      </w:r>
      <w:r w:rsidR="00F04D8E">
        <w:rPr>
          <w:rFonts w:eastAsia="Calibri" w:cs="Calibri"/>
          <w:b/>
          <w:bCs/>
          <w:sz w:val="28"/>
          <w:szCs w:val="28"/>
        </w:rPr>
        <w:t xml:space="preserve"> </w:t>
      </w:r>
      <w:r w:rsidRPr="7ACA0E52">
        <w:rPr>
          <w:rFonts w:eastAsia="Calibri" w:cs="Calibri"/>
          <w:b/>
          <w:bCs/>
          <w:sz w:val="28"/>
          <w:szCs w:val="28"/>
        </w:rPr>
        <w:t xml:space="preserve">Cost-Effectiveness </w:t>
      </w:r>
    </w:p>
    <w:p w14:paraId="06323514" w14:textId="0391202B" w:rsidR="003744EE" w:rsidRPr="0080507B" w:rsidRDefault="0A43830E" w:rsidP="00DC0498">
      <w:pPr>
        <w:pStyle w:val="TableFigureSubtitle"/>
      </w:pPr>
      <w:r>
        <w:t>Vehicle and Fuel Inputs</w:t>
      </w:r>
      <w:r w:rsidR="001F3F1F">
        <w:t xml:space="preserve"> +/-10% </w:t>
      </w:r>
    </w:p>
    <w:p w14:paraId="6436F880" w14:textId="0B3C3057" w:rsidR="00CE0B15" w:rsidRPr="0080507B" w:rsidRDefault="004F218E" w:rsidP="7ACA0E52">
      <w:pPr>
        <w:rPr>
          <w:noProof/>
        </w:rPr>
      </w:pPr>
      <w:r>
        <w:rPr>
          <w:noProof/>
        </w:rPr>
        <w:drawing>
          <wp:inline distT="0" distB="0" distL="0" distR="0" wp14:anchorId="116F6948" wp14:editId="3102BF45">
            <wp:extent cx="4572000" cy="2520946"/>
            <wp:effectExtent l="0" t="0" r="0" b="0"/>
            <wp:docPr id="1368023754" name="Picture 7" descr="Tornado chart displaying the negative and positive impact of the low and high sensitivity tests for each input on the rebate dollars per ton of Rebate-Essential GHG reductions over 100,000 m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23754" name="Picture 7" descr="Tornado chart displaying the negative and positive impact of the low and high sensitivity tests for each input on the rebate dollars per ton of Rebate-Essential GHG reductions over 100,000 mil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520946"/>
                    </a:xfrm>
                    <a:prstGeom prst="rect">
                      <a:avLst/>
                    </a:prstGeom>
                    <a:noFill/>
                  </pic:spPr>
                </pic:pic>
              </a:graphicData>
            </a:graphic>
          </wp:inline>
        </w:drawing>
      </w:r>
    </w:p>
    <w:p w14:paraId="09E5501C" w14:textId="2BEE1ED0" w:rsidR="003744EE" w:rsidRPr="002F4A1B" w:rsidRDefault="003744EE" w:rsidP="003744EE">
      <w:pPr>
        <w:spacing w:after="0" w:line="240" w:lineRule="auto"/>
        <w:rPr>
          <w:b/>
          <w:bCs/>
        </w:rPr>
      </w:pPr>
    </w:p>
    <w:p w14:paraId="14F0D5C6" w14:textId="1FD49BCA" w:rsidR="00D701C8" w:rsidRPr="000D0A89" w:rsidRDefault="4D971938" w:rsidP="2F1055DC">
      <w:r w:rsidRPr="00D35BAF">
        <w:rPr>
          <w:rStyle w:val="Bold"/>
        </w:rPr>
        <w:lastRenderedPageBreak/>
        <w:t>Baseline-Vehicle Fuel Efficiency</w:t>
      </w:r>
      <w:r>
        <w:rPr>
          <w:rStyle w:val="Bold"/>
        </w:rPr>
        <w:t xml:space="preserve">: </w:t>
      </w:r>
      <w:r w:rsidR="43E0985A" w:rsidRPr="2F1055DC">
        <w:rPr>
          <w:rFonts w:cs="Calibri"/>
        </w:rPr>
        <w:t xml:space="preserve">In Table B1 below, the impact of </w:t>
      </w:r>
      <w:r w:rsidR="00B61ECD">
        <w:t xml:space="preserve">varying </w:t>
      </w:r>
      <w:r w:rsidR="007C196A">
        <w:t xml:space="preserve">baseline fuel efficiency values </w:t>
      </w:r>
      <w:r w:rsidR="00B61ECD">
        <w:t>by</w:t>
      </w:r>
      <w:r w:rsidR="007C196A">
        <w:t xml:space="preserve"> </w:t>
      </w:r>
      <w:proofErr w:type="gramStart"/>
      <w:r w:rsidR="00AE2ED9">
        <w:t>+/-</w:t>
      </w:r>
      <w:proofErr w:type="gramEnd"/>
      <w:r w:rsidR="00AE2ED9">
        <w:t>10%</w:t>
      </w:r>
      <w:r w:rsidR="00CA34DC">
        <w:t xml:space="preserve"> </w:t>
      </w:r>
      <w:r w:rsidR="001662C4">
        <w:t>is</w:t>
      </w:r>
      <w:r w:rsidR="43E0985A">
        <w:t xml:space="preserve"> </w:t>
      </w:r>
      <w:r w:rsidR="00403D98">
        <w:t>detailed</w:t>
      </w:r>
      <w:r w:rsidR="00C679A8">
        <w:t xml:space="preserve"> alongside two additional tests</w:t>
      </w:r>
      <w:r w:rsidRPr="00635D64">
        <w:t>.</w:t>
      </w:r>
      <w:r w:rsidR="00427F19">
        <w:t xml:space="preserve"> </w:t>
      </w:r>
      <w:r w:rsidR="0031678E">
        <w:t>Primary f</w:t>
      </w:r>
      <w:r w:rsidR="00C13118">
        <w:t xml:space="preserve">uel efficiency </w:t>
      </w:r>
      <w:r w:rsidR="00CB5A46">
        <w:t xml:space="preserve">inputs were generated using </w:t>
      </w:r>
      <w:r w:rsidR="00427F19">
        <w:t xml:space="preserve">the </w:t>
      </w:r>
      <w:r w:rsidR="00427F19" w:rsidRPr="00D6394E">
        <w:rPr>
          <w:i/>
          <w:iCs/>
        </w:rPr>
        <w:t>most</w:t>
      </w:r>
      <w:r w:rsidR="00427F19">
        <w:t xml:space="preserve"> efficient trim of each model </w:t>
      </w:r>
      <w:r w:rsidR="000032E0">
        <w:t xml:space="preserve">when </w:t>
      </w:r>
      <w:r w:rsidR="006B5BA7">
        <w:t xml:space="preserve">calculating </w:t>
      </w:r>
      <w:r w:rsidR="000032E0">
        <w:t>sales-weighted fuel economy averages</w:t>
      </w:r>
      <w:r w:rsidR="00CB5A46">
        <w:t>. Sensitivity to this conservative approach</w:t>
      </w:r>
      <w:r w:rsidR="00427F19">
        <w:t xml:space="preserve"> is tested by </w:t>
      </w:r>
      <w:r w:rsidR="00737864">
        <w:t xml:space="preserve">regenerating those values </w:t>
      </w:r>
      <w:r w:rsidR="00427F19">
        <w:t xml:space="preserve">using the </w:t>
      </w:r>
      <w:r w:rsidR="00427F19" w:rsidRPr="00D6394E">
        <w:rPr>
          <w:i/>
          <w:iCs/>
        </w:rPr>
        <w:t>least</w:t>
      </w:r>
      <w:r w:rsidR="00427F19">
        <w:t xml:space="preserve"> efficient trim of each model. </w:t>
      </w:r>
      <w:r w:rsidR="00177587">
        <w:t xml:space="preserve">Additionally, </w:t>
      </w:r>
      <w:r w:rsidR="001E7EBF">
        <w:t xml:space="preserve">the primary analysis </w:t>
      </w:r>
      <w:r w:rsidR="006A6F7E">
        <w:t xml:space="preserve">uses </w:t>
      </w:r>
      <w:r w:rsidR="001E7EBF">
        <w:t xml:space="preserve">overall light-duty fuel efficiency averages, rather than </w:t>
      </w:r>
      <w:r w:rsidR="006A6F7E">
        <w:t xml:space="preserve">a </w:t>
      </w:r>
      <w:r w:rsidR="009F7BF6">
        <w:t xml:space="preserve">disaggregated </w:t>
      </w:r>
      <w:r w:rsidR="006A6F7E">
        <w:t>(</w:t>
      </w:r>
      <w:r w:rsidR="001C4953">
        <w:t xml:space="preserve">e.g., </w:t>
      </w:r>
      <w:r w:rsidR="001E7EBF">
        <w:t>body style-specific</w:t>
      </w:r>
      <w:r w:rsidR="001C4953">
        <w:t>)</w:t>
      </w:r>
      <w:r w:rsidR="001E7EBF">
        <w:t xml:space="preserve"> average</w:t>
      </w:r>
      <w:r w:rsidR="001C4953">
        <w:t>.</w:t>
      </w:r>
      <w:r w:rsidR="00F41A99">
        <w:t xml:space="preserve"> This was based on CVRP Consumer Survey data </w:t>
      </w:r>
      <w:r w:rsidR="00D50E83">
        <w:t xml:space="preserve">displaying a fair amount of body style switching from replaced vehicles to rebated vehicles. However, it may be </w:t>
      </w:r>
      <w:r w:rsidR="007616B2">
        <w:t>reasonable to expect that many consumers, had they not acquired their EV, would have acquired a different car with the same body</w:t>
      </w:r>
      <w:r w:rsidR="0066267C">
        <w:t xml:space="preserve"> </w:t>
      </w:r>
      <w:r w:rsidR="007616B2">
        <w:t xml:space="preserve">style </w:t>
      </w:r>
      <w:r w:rsidR="0028588A">
        <w:t>as</w:t>
      </w:r>
      <w:r w:rsidR="007616B2">
        <w:t xml:space="preserve"> their </w:t>
      </w:r>
      <w:r w:rsidR="0066267C">
        <w:t xml:space="preserve">rebated </w:t>
      </w:r>
      <w:r w:rsidR="007616B2">
        <w:t>EV.</w:t>
      </w:r>
      <w:r w:rsidR="0066267C">
        <w:t xml:space="preserve"> S</w:t>
      </w:r>
      <w:r w:rsidR="00037A51">
        <w:t xml:space="preserve">ensitivity to </w:t>
      </w:r>
      <w:r w:rsidR="00177587">
        <w:t>th</w:t>
      </w:r>
      <w:r w:rsidR="00AE6747">
        <w:t xml:space="preserve">is </w:t>
      </w:r>
      <w:r w:rsidR="00810388">
        <w:t xml:space="preserve">factor </w:t>
      </w:r>
      <w:r w:rsidR="00196714">
        <w:t>is tested by s</w:t>
      </w:r>
      <w:r w:rsidR="00037A51">
        <w:t xml:space="preserve">plitting </w:t>
      </w:r>
      <w:r w:rsidR="00F97623">
        <w:t xml:space="preserve">each model year-specific </w:t>
      </w:r>
      <w:r w:rsidR="00901484">
        <w:t>t</w:t>
      </w:r>
      <w:r w:rsidR="00196714">
        <w:t xml:space="preserve">op </w:t>
      </w:r>
      <w:r w:rsidR="000D0A89">
        <w:t>model</w:t>
      </w:r>
      <w:r w:rsidR="005C66FD">
        <w:t xml:space="preserve"> </w:t>
      </w:r>
      <w:r w:rsidR="00196714">
        <w:t xml:space="preserve">lists </w:t>
      </w:r>
      <w:r w:rsidR="005C66FD">
        <w:t xml:space="preserve">that were </w:t>
      </w:r>
      <w:r w:rsidR="00CD58AB">
        <w:t xml:space="preserve">used to generate fuel </w:t>
      </w:r>
      <w:r w:rsidR="00B87EE6">
        <w:t>efficiency averages</w:t>
      </w:r>
      <w:r w:rsidR="00CD58AB">
        <w:t xml:space="preserve"> </w:t>
      </w:r>
      <w:r w:rsidR="00B95856">
        <w:t>into three</w:t>
      </w:r>
      <w:r w:rsidR="003F6D48">
        <w:t>: on each for</w:t>
      </w:r>
      <w:r w:rsidR="00442731">
        <w:t xml:space="preserve"> </w:t>
      </w:r>
      <w:r w:rsidR="00196714">
        <w:t>car</w:t>
      </w:r>
      <w:r w:rsidR="00512D28">
        <w:t>s</w:t>
      </w:r>
      <w:r w:rsidR="00196714">
        <w:t>, SUV</w:t>
      </w:r>
      <w:r w:rsidR="00512D28">
        <w:t>s</w:t>
      </w:r>
      <w:r w:rsidR="00196714">
        <w:t>, and van</w:t>
      </w:r>
      <w:r w:rsidR="00512D28">
        <w:t>s</w:t>
      </w:r>
      <w:r w:rsidR="00196714">
        <w:t xml:space="preserve">. The Ford F-150 Lightning is compared to </w:t>
      </w:r>
      <w:r w:rsidR="002D426C">
        <w:t>an F-150 hybrid</w:t>
      </w:r>
      <w:r w:rsidR="0054179C">
        <w:t xml:space="preserve"> (due to negligible program participation, trucks were not included in the </w:t>
      </w:r>
      <w:r w:rsidR="000D0A89">
        <w:t xml:space="preserve">original </w:t>
      </w:r>
      <w:r w:rsidR="0054179C">
        <w:t xml:space="preserve">top </w:t>
      </w:r>
      <w:r w:rsidR="008A2215">
        <w:t xml:space="preserve">model </w:t>
      </w:r>
      <w:r w:rsidR="0054179C">
        <w:t>lists)</w:t>
      </w:r>
      <w:r w:rsidR="002D426C">
        <w:t xml:space="preserve">. </w:t>
      </w:r>
    </w:p>
    <w:p w14:paraId="7BA4E401" w14:textId="404042AD" w:rsidR="00E12E36" w:rsidRPr="005D5305" w:rsidRDefault="015F4E45" w:rsidP="00811AE9">
      <w:pPr>
        <w:pStyle w:val="TableFigureNumber0"/>
        <w:rPr>
          <w:b/>
          <w:bCs/>
          <w:color w:val="0579BD"/>
        </w:rPr>
      </w:pPr>
      <w:r w:rsidRPr="005D5305">
        <w:rPr>
          <w:color w:val="0579BD"/>
        </w:rPr>
        <w:t>TABLE B1</w:t>
      </w:r>
    </w:p>
    <w:p w14:paraId="7FCC05BA" w14:textId="6359E6BB" w:rsidR="00E12E36" w:rsidRDefault="1C7C6EA3" w:rsidP="00A164F8">
      <w:pPr>
        <w:pStyle w:val="TableFigureheader"/>
        <w:keepNext/>
        <w:spacing w:line="312" w:lineRule="auto"/>
      </w:pPr>
      <w:r>
        <w:t>Sensitivity of Cost-Effectiveness to Baseline-Vehicle Fuel Efficiency</w:t>
      </w:r>
    </w:p>
    <w:p w14:paraId="6C41C745" w14:textId="0539D2E9" w:rsidR="004D56EF" w:rsidRPr="003A15C4" w:rsidRDefault="004D56EF" w:rsidP="00A164F8">
      <w:pPr>
        <w:pStyle w:val="TableFigureSubtitle"/>
        <w:spacing w:after="0" w:line="312" w:lineRule="auto"/>
      </w:pPr>
      <w:r w:rsidRPr="006B742A">
        <w:rPr>
          <w:i/>
          <w:iCs/>
        </w:rPr>
        <w:t>Rebate</w:t>
      </w:r>
      <w:r w:rsidR="00B83088" w:rsidRPr="006B742A">
        <w:rPr>
          <w:i/>
          <w:iCs/>
        </w:rPr>
        <w:t>-</w:t>
      </w:r>
      <w:r w:rsidRPr="006B742A">
        <w:rPr>
          <w:i/>
          <w:iCs/>
        </w:rPr>
        <w:t>Essential</w:t>
      </w:r>
      <w:r>
        <w:t xml:space="preserve"> Reductions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060"/>
      </w:tblGrid>
      <w:tr w:rsidR="00D35BAF" w:rsidRPr="00147F98" w14:paraId="3BA19B38" w14:textId="77777777" w:rsidTr="005E5E38">
        <w:trPr>
          <w:tblHeader/>
        </w:trPr>
        <w:tc>
          <w:tcPr>
            <w:tcW w:w="6115" w:type="dxa"/>
            <w:shd w:val="clear" w:color="auto" w:fill="3C3A4C"/>
          </w:tcPr>
          <w:p w14:paraId="40A34680" w14:textId="2E751E2A" w:rsidR="00D35BAF" w:rsidRPr="009F6BA8" w:rsidRDefault="4D971938" w:rsidP="7ACA0E52">
            <w:pPr>
              <w:pStyle w:val="Tabletext"/>
              <w:keepNext/>
              <w:rPr>
                <w:rFonts w:cs="Calibri"/>
                <w:b/>
                <w:bCs/>
                <w:color w:val="FFFFFF" w:themeColor="background1"/>
              </w:rPr>
            </w:pPr>
            <w:r w:rsidRPr="7ACA0E52">
              <w:rPr>
                <w:rFonts w:cs="Calibri"/>
                <w:b/>
                <w:bCs/>
                <w:color w:val="FFFFFF" w:themeColor="background1"/>
              </w:rPr>
              <w:t>Baseline-</w:t>
            </w:r>
            <w:r w:rsidR="00646266">
              <w:rPr>
                <w:rFonts w:cs="Calibri"/>
                <w:b/>
                <w:bCs/>
                <w:color w:val="FFFFFF" w:themeColor="background1"/>
              </w:rPr>
              <w:t>V</w:t>
            </w:r>
            <w:r w:rsidRPr="7ACA0E52">
              <w:rPr>
                <w:rFonts w:cs="Calibri"/>
                <w:b/>
                <w:bCs/>
                <w:color w:val="FFFFFF" w:themeColor="background1"/>
              </w:rPr>
              <w:t xml:space="preserve">ehicle </w:t>
            </w:r>
            <w:r w:rsidR="00646266">
              <w:rPr>
                <w:rFonts w:cs="Calibri"/>
                <w:b/>
                <w:bCs/>
                <w:color w:val="FFFFFF" w:themeColor="background1"/>
              </w:rPr>
              <w:t>F</w:t>
            </w:r>
            <w:r w:rsidRPr="7ACA0E52">
              <w:rPr>
                <w:rFonts w:cs="Calibri"/>
                <w:b/>
                <w:bCs/>
                <w:color w:val="FFFFFF" w:themeColor="background1"/>
              </w:rPr>
              <w:t xml:space="preserve">uel </w:t>
            </w:r>
            <w:r w:rsidR="00646266">
              <w:rPr>
                <w:rFonts w:cs="Calibri"/>
                <w:b/>
                <w:bCs/>
                <w:color w:val="FFFFFF" w:themeColor="background1"/>
              </w:rPr>
              <w:t>E</w:t>
            </w:r>
            <w:r w:rsidRPr="7ACA0E52">
              <w:rPr>
                <w:rFonts w:cs="Calibri"/>
                <w:b/>
                <w:bCs/>
                <w:color w:val="FFFFFF" w:themeColor="background1"/>
              </w:rPr>
              <w:t xml:space="preserve">fficiency </w:t>
            </w:r>
            <w:r w:rsidR="00646266">
              <w:rPr>
                <w:rFonts w:cs="Calibri"/>
                <w:b/>
                <w:bCs/>
                <w:color w:val="FFFFFF" w:themeColor="background1"/>
              </w:rPr>
              <w:t>S</w:t>
            </w:r>
            <w:r w:rsidRPr="7ACA0E52">
              <w:rPr>
                <w:rFonts w:cs="Calibri"/>
                <w:b/>
                <w:bCs/>
                <w:color w:val="FFFFFF" w:themeColor="background1"/>
              </w:rPr>
              <w:t>cenario</w:t>
            </w:r>
          </w:p>
        </w:tc>
        <w:tc>
          <w:tcPr>
            <w:tcW w:w="3060" w:type="dxa"/>
            <w:shd w:val="clear" w:color="auto" w:fill="3C3A4C"/>
          </w:tcPr>
          <w:p w14:paraId="7A896E55" w14:textId="2912F9C2" w:rsidR="00FE070F" w:rsidRDefault="4D971938" w:rsidP="7ACA0E52">
            <w:pPr>
              <w:pStyle w:val="Tabletext"/>
              <w:keepNext/>
              <w:jc w:val="center"/>
              <w:rPr>
                <w:rFonts w:cs="Calibri"/>
                <w:b/>
                <w:bCs/>
                <w:color w:val="FFFFFF" w:themeColor="background1"/>
              </w:rPr>
            </w:pPr>
            <w:r w:rsidRPr="7ACA0E52">
              <w:rPr>
                <w:rFonts w:cs="Calibri"/>
                <w:b/>
                <w:bCs/>
                <w:color w:val="FFFFFF" w:themeColor="background1"/>
              </w:rPr>
              <w:t xml:space="preserve">Rebate </w:t>
            </w:r>
            <w:r w:rsidR="00646266">
              <w:rPr>
                <w:rFonts w:cs="Calibri"/>
                <w:b/>
                <w:bCs/>
                <w:color w:val="FFFFFF" w:themeColor="background1"/>
              </w:rPr>
              <w:t>D</w:t>
            </w:r>
            <w:r w:rsidRPr="7ACA0E52">
              <w:rPr>
                <w:rFonts w:cs="Calibri"/>
                <w:b/>
                <w:bCs/>
                <w:color w:val="FFFFFF" w:themeColor="background1"/>
              </w:rPr>
              <w:t xml:space="preserve">ollars </w:t>
            </w:r>
            <w:r w:rsidR="005E5E38">
              <w:rPr>
                <w:rFonts w:cs="Calibri"/>
                <w:b/>
                <w:bCs/>
                <w:color w:val="FFFFFF" w:themeColor="background1"/>
              </w:rPr>
              <w:t>P</w:t>
            </w:r>
            <w:r w:rsidRPr="7ACA0E52">
              <w:rPr>
                <w:rFonts w:cs="Calibri"/>
                <w:b/>
                <w:bCs/>
                <w:color w:val="FFFFFF" w:themeColor="background1"/>
              </w:rPr>
              <w:t xml:space="preserve">er </w:t>
            </w:r>
            <w:r w:rsidR="00646266">
              <w:rPr>
                <w:rFonts w:cs="Calibri"/>
                <w:b/>
                <w:bCs/>
                <w:color w:val="FFFFFF" w:themeColor="background1"/>
              </w:rPr>
              <w:t>T</w:t>
            </w:r>
            <w:r w:rsidRPr="7ACA0E52">
              <w:rPr>
                <w:rFonts w:cs="Calibri"/>
                <w:b/>
                <w:bCs/>
                <w:color w:val="FFFFFF" w:themeColor="background1"/>
              </w:rPr>
              <w:t xml:space="preserve">on of </w:t>
            </w:r>
          </w:p>
          <w:p w14:paraId="52D47537" w14:textId="2687C0FE" w:rsidR="00D35BAF" w:rsidRPr="009F6BA8" w:rsidRDefault="00FE070F" w:rsidP="7ACA0E52">
            <w:pPr>
              <w:pStyle w:val="Tabletext"/>
              <w:keepNext/>
              <w:jc w:val="center"/>
              <w:rPr>
                <w:rFonts w:cs="Calibri"/>
                <w:b/>
                <w:bCs/>
                <w:color w:val="FFFFFF" w:themeColor="background1"/>
              </w:rPr>
            </w:pPr>
            <w:r w:rsidRPr="00FE070F">
              <w:rPr>
                <w:rFonts w:cs="Calibri"/>
                <w:b/>
                <w:bCs/>
                <w:i/>
                <w:iCs/>
                <w:color w:val="FFFFFF" w:themeColor="background1"/>
              </w:rPr>
              <w:t>Rebate</w:t>
            </w:r>
            <w:r>
              <w:rPr>
                <w:rFonts w:cs="Calibri"/>
                <w:b/>
                <w:bCs/>
                <w:i/>
                <w:iCs/>
                <w:color w:val="FFFFFF" w:themeColor="background1"/>
              </w:rPr>
              <w:t>-</w:t>
            </w:r>
            <w:r w:rsidRPr="00FE070F">
              <w:rPr>
                <w:rFonts w:cs="Calibri"/>
                <w:b/>
                <w:bCs/>
                <w:i/>
                <w:iCs/>
                <w:color w:val="FFFFFF" w:themeColor="background1"/>
              </w:rPr>
              <w:t>Essential</w:t>
            </w:r>
            <w:r w:rsidRPr="7ACA0E52">
              <w:rPr>
                <w:rFonts w:cs="Calibri"/>
                <w:b/>
                <w:bCs/>
                <w:color w:val="FFFFFF" w:themeColor="background1"/>
              </w:rPr>
              <w:t xml:space="preserve"> </w:t>
            </w:r>
            <w:r w:rsidR="4D971938" w:rsidRPr="7ACA0E52">
              <w:rPr>
                <w:rFonts w:cs="Calibri"/>
                <w:b/>
                <w:bCs/>
                <w:color w:val="FFFFFF" w:themeColor="background1"/>
              </w:rPr>
              <w:t xml:space="preserve">GHG </w:t>
            </w:r>
            <w:r w:rsidR="005E5E38">
              <w:rPr>
                <w:rFonts w:cs="Calibri"/>
                <w:b/>
                <w:bCs/>
                <w:color w:val="FFFFFF" w:themeColor="background1"/>
              </w:rPr>
              <w:t>R</w:t>
            </w:r>
            <w:r w:rsidR="4D971938" w:rsidRPr="7ACA0E52">
              <w:rPr>
                <w:rFonts w:cs="Calibri"/>
                <w:b/>
                <w:bCs/>
                <w:color w:val="FFFFFF" w:themeColor="background1"/>
              </w:rPr>
              <w:t>eductions</w:t>
            </w:r>
          </w:p>
        </w:tc>
      </w:tr>
      <w:tr w:rsidR="00D35BAF" w:rsidRPr="00147F98" w14:paraId="76594E30" w14:textId="77777777" w:rsidTr="005E5E38">
        <w:tc>
          <w:tcPr>
            <w:tcW w:w="6115" w:type="dxa"/>
            <w:shd w:val="clear" w:color="auto" w:fill="EDEDED" w:themeFill="text2" w:themeFillTint="33"/>
          </w:tcPr>
          <w:p w14:paraId="41CC7DD3" w14:textId="62CF9464" w:rsidR="00D35BAF" w:rsidRPr="00C07BAA" w:rsidRDefault="4D971938" w:rsidP="7ACA0E52">
            <w:pPr>
              <w:pStyle w:val="Tabletext"/>
              <w:keepNext/>
              <w:rPr>
                <w:rFonts w:cs="Calibri"/>
                <w:b/>
                <w:bCs/>
              </w:rPr>
            </w:pPr>
            <w:r w:rsidRPr="00C07BAA">
              <w:rPr>
                <w:rFonts w:cs="Calibri"/>
                <w:b/>
                <w:bCs/>
              </w:rPr>
              <w:t>Primary (CA sales-weighted average by MY</w:t>
            </w:r>
            <w:r w:rsidR="003160AD" w:rsidRPr="00C07BAA">
              <w:rPr>
                <w:rFonts w:cs="Calibri"/>
                <w:b/>
                <w:bCs/>
              </w:rPr>
              <w:t>, most efficient trim</w:t>
            </w:r>
            <w:r w:rsidRPr="00C07BAA">
              <w:rPr>
                <w:rFonts w:cs="Calibri"/>
                <w:b/>
                <w:bCs/>
              </w:rPr>
              <w:t>)</w:t>
            </w:r>
          </w:p>
        </w:tc>
        <w:tc>
          <w:tcPr>
            <w:tcW w:w="3060" w:type="dxa"/>
            <w:shd w:val="clear" w:color="auto" w:fill="EDEDED" w:themeFill="text2" w:themeFillTint="33"/>
            <w:vAlign w:val="center"/>
          </w:tcPr>
          <w:p w14:paraId="5D03D042" w14:textId="01BBFE1E" w:rsidR="00D35BAF" w:rsidRPr="00C07BAA" w:rsidRDefault="4D971938" w:rsidP="7ACA0E52">
            <w:pPr>
              <w:pStyle w:val="Tabletext"/>
              <w:keepNext/>
              <w:jc w:val="center"/>
              <w:rPr>
                <w:rFonts w:cs="Calibri"/>
                <w:b/>
                <w:bCs/>
              </w:rPr>
            </w:pPr>
            <w:r w:rsidRPr="716DB734">
              <w:rPr>
                <w:rFonts w:cs="Calibri"/>
                <w:b/>
                <w:bCs/>
              </w:rPr>
              <w:t>$</w:t>
            </w:r>
            <w:r w:rsidR="0F9B744A" w:rsidRPr="716DB734">
              <w:rPr>
                <w:rFonts w:cs="Calibri"/>
                <w:b/>
                <w:bCs/>
              </w:rPr>
              <w:t>188</w:t>
            </w:r>
          </w:p>
        </w:tc>
      </w:tr>
      <w:tr w:rsidR="00D35BAF" w:rsidRPr="00147F98" w14:paraId="6A7A7990" w14:textId="77777777" w:rsidTr="005E5E38">
        <w:tc>
          <w:tcPr>
            <w:tcW w:w="6115" w:type="dxa"/>
          </w:tcPr>
          <w:p w14:paraId="5B197BF3" w14:textId="336C8ABA" w:rsidR="00D35BAF" w:rsidRPr="00D35BAF" w:rsidRDefault="003160AD" w:rsidP="7ACA0E52">
            <w:pPr>
              <w:pStyle w:val="Tabletext"/>
              <w:keepNext/>
              <w:rPr>
                <w:rFonts w:cs="Calibri"/>
              </w:rPr>
            </w:pPr>
            <w:r w:rsidRPr="7ACA0E52">
              <w:rPr>
                <w:rFonts w:cs="Calibri"/>
              </w:rPr>
              <w:t>CA sales-weighted average by MY</w:t>
            </w:r>
            <w:r>
              <w:rPr>
                <w:rFonts w:cs="Calibri"/>
              </w:rPr>
              <w:t>, l</w:t>
            </w:r>
            <w:r w:rsidR="004D56EF">
              <w:rPr>
                <w:rFonts w:cs="Calibri"/>
              </w:rPr>
              <w:t>east efficient trim</w:t>
            </w:r>
          </w:p>
        </w:tc>
        <w:tc>
          <w:tcPr>
            <w:tcW w:w="3060" w:type="dxa"/>
            <w:vAlign w:val="center"/>
          </w:tcPr>
          <w:p w14:paraId="7BB5047F" w14:textId="34B10BA5" w:rsidR="00D35BAF" w:rsidRPr="00D35BAF" w:rsidRDefault="07EEAAC7" w:rsidP="7ACA0E52">
            <w:pPr>
              <w:pStyle w:val="Tabletext"/>
              <w:keepNext/>
              <w:jc w:val="center"/>
              <w:rPr>
                <w:rFonts w:cs="Calibri"/>
              </w:rPr>
            </w:pPr>
            <w:r w:rsidRPr="37CC6637">
              <w:rPr>
                <w:rFonts w:cs="Calibri"/>
              </w:rPr>
              <w:t>$</w:t>
            </w:r>
            <w:r w:rsidR="0047257F" w:rsidRPr="37CC6637">
              <w:rPr>
                <w:rFonts w:cs="Calibri"/>
              </w:rPr>
              <w:t>153</w:t>
            </w:r>
            <w:r w:rsidR="71748A00" w:rsidRPr="37CC6637">
              <w:rPr>
                <w:rFonts w:cs="Calibri"/>
              </w:rPr>
              <w:t xml:space="preserve"> (</w:t>
            </w:r>
            <w:r w:rsidR="7FBBCF5E" w:rsidRPr="37CC6637">
              <w:rPr>
                <w:rFonts w:cs="Calibri"/>
              </w:rPr>
              <w:t>-</w:t>
            </w:r>
            <w:r w:rsidR="77427524" w:rsidRPr="37CC6637">
              <w:rPr>
                <w:rFonts w:cs="Calibri"/>
              </w:rPr>
              <w:t>18</w:t>
            </w:r>
            <w:r w:rsidRPr="37CC6637">
              <w:rPr>
                <w:rFonts w:cs="Calibri"/>
              </w:rPr>
              <w:t>%)</w:t>
            </w:r>
          </w:p>
        </w:tc>
      </w:tr>
      <w:tr w:rsidR="00D35BAF" w:rsidRPr="00147F98" w14:paraId="0DEFDDBB" w14:textId="77777777" w:rsidTr="005E5E38">
        <w:tc>
          <w:tcPr>
            <w:tcW w:w="6115" w:type="dxa"/>
          </w:tcPr>
          <w:p w14:paraId="77968C36" w14:textId="10EBEDBA" w:rsidR="00D35BAF" w:rsidRPr="00D35BAF" w:rsidRDefault="00403D98" w:rsidP="00425FBD">
            <w:pPr>
              <w:pStyle w:val="Tabletext"/>
              <w:keepNext/>
              <w:rPr>
                <w:rFonts w:cs="Calibri"/>
              </w:rPr>
            </w:pPr>
            <w:r>
              <w:rPr>
                <w:rFonts w:cs="Calibri"/>
              </w:rPr>
              <w:t>Primary -10%</w:t>
            </w:r>
          </w:p>
        </w:tc>
        <w:tc>
          <w:tcPr>
            <w:tcW w:w="3060" w:type="dxa"/>
            <w:vAlign w:val="center"/>
          </w:tcPr>
          <w:p w14:paraId="658DD9F8" w14:textId="5409A1A4" w:rsidR="00D35BAF" w:rsidRPr="00D35BAF" w:rsidRDefault="4D971938" w:rsidP="7ACA0E52">
            <w:pPr>
              <w:pStyle w:val="Tabletext"/>
              <w:keepNext/>
              <w:jc w:val="center"/>
              <w:rPr>
                <w:rFonts w:cs="Calibri"/>
              </w:rPr>
            </w:pPr>
            <w:r w:rsidRPr="7ACA0E52">
              <w:rPr>
                <w:rFonts w:cs="Calibri"/>
              </w:rPr>
              <w:t>$</w:t>
            </w:r>
            <w:r w:rsidR="0047257F" w:rsidRPr="37CC6637">
              <w:rPr>
                <w:rFonts w:cs="Calibri"/>
              </w:rPr>
              <w:t>162</w:t>
            </w:r>
            <w:r w:rsidR="00744D23" w:rsidRPr="7ACA0E52">
              <w:rPr>
                <w:rFonts w:cs="Calibri"/>
              </w:rPr>
              <w:t xml:space="preserve"> (</w:t>
            </w:r>
            <w:r w:rsidR="47FBD19A" w:rsidRPr="7ACA0E52">
              <w:rPr>
                <w:rFonts w:cs="Calibri"/>
              </w:rPr>
              <w:t>-</w:t>
            </w:r>
            <w:r w:rsidR="002F4248">
              <w:rPr>
                <w:rFonts w:cs="Calibri"/>
              </w:rPr>
              <w:t>14</w:t>
            </w:r>
            <w:r w:rsidRPr="7ACA0E52">
              <w:rPr>
                <w:rFonts w:cs="Calibri"/>
              </w:rPr>
              <w:t>%)</w:t>
            </w:r>
          </w:p>
        </w:tc>
      </w:tr>
      <w:tr w:rsidR="00D35BAF" w:rsidRPr="00147F98" w14:paraId="51683D3F" w14:textId="77777777" w:rsidTr="005E5E38">
        <w:tc>
          <w:tcPr>
            <w:tcW w:w="6115" w:type="dxa"/>
          </w:tcPr>
          <w:p w14:paraId="461A1238" w14:textId="4FE4B2A2" w:rsidR="00D35BAF" w:rsidRPr="00D35BAF" w:rsidRDefault="008D73BA" w:rsidP="00425FBD">
            <w:pPr>
              <w:pStyle w:val="Tabletext"/>
              <w:keepNext/>
              <w:rPr>
                <w:rFonts w:cs="Calibri"/>
              </w:rPr>
            </w:pPr>
            <w:r w:rsidRPr="7ACA0E52">
              <w:rPr>
                <w:rFonts w:cs="Calibri"/>
              </w:rPr>
              <w:t>CA sales-weighted average by MY</w:t>
            </w:r>
            <w:r>
              <w:rPr>
                <w:rFonts w:cs="Calibri"/>
              </w:rPr>
              <w:t>, most efficient trim, b</w:t>
            </w:r>
            <w:r>
              <w:t>ody style-specific</w:t>
            </w:r>
          </w:p>
        </w:tc>
        <w:tc>
          <w:tcPr>
            <w:tcW w:w="3060" w:type="dxa"/>
            <w:vAlign w:val="center"/>
          </w:tcPr>
          <w:p w14:paraId="7139CC87" w14:textId="42447DDE" w:rsidR="00D35BAF" w:rsidRPr="00D35BAF" w:rsidRDefault="008D73BA" w:rsidP="7ACA0E52">
            <w:pPr>
              <w:pStyle w:val="Tabletext"/>
              <w:keepNext/>
              <w:jc w:val="center"/>
              <w:rPr>
                <w:rFonts w:cs="Calibri"/>
              </w:rPr>
            </w:pPr>
            <w:r w:rsidRPr="37CC6637">
              <w:rPr>
                <w:rFonts w:cs="Calibri"/>
              </w:rPr>
              <w:t>$</w:t>
            </w:r>
            <w:r w:rsidR="0005552F" w:rsidRPr="37CC6637">
              <w:rPr>
                <w:rFonts w:cs="Calibri"/>
              </w:rPr>
              <w:t>211</w:t>
            </w:r>
            <w:r w:rsidR="71748A00" w:rsidRPr="37CC6637">
              <w:rPr>
                <w:rFonts w:cs="Calibri"/>
              </w:rPr>
              <w:t xml:space="preserve"> (</w:t>
            </w:r>
            <w:r w:rsidR="1C97A149" w:rsidRPr="37CC6637">
              <w:rPr>
                <w:rFonts w:cs="Calibri"/>
              </w:rPr>
              <w:t>+</w:t>
            </w:r>
            <w:r w:rsidR="7B41AC4A" w:rsidRPr="37CC6637">
              <w:rPr>
                <w:rFonts w:cs="Calibri"/>
              </w:rPr>
              <w:t>12</w:t>
            </w:r>
            <w:r w:rsidRPr="37CC6637">
              <w:rPr>
                <w:rFonts w:cs="Calibri"/>
              </w:rPr>
              <w:t>%)</w:t>
            </w:r>
          </w:p>
        </w:tc>
      </w:tr>
      <w:tr w:rsidR="008D73BA" w:rsidRPr="00147F98" w14:paraId="68BAF459" w14:textId="77777777" w:rsidTr="005E5E38">
        <w:tc>
          <w:tcPr>
            <w:tcW w:w="6115" w:type="dxa"/>
          </w:tcPr>
          <w:p w14:paraId="3C20AFA3" w14:textId="068CC0B0" w:rsidR="008D73BA" w:rsidRDefault="008D73BA" w:rsidP="008D73BA">
            <w:pPr>
              <w:pStyle w:val="Tabletext"/>
              <w:keepNext/>
              <w:rPr>
                <w:rFonts w:cs="Calibri"/>
              </w:rPr>
            </w:pPr>
            <w:r>
              <w:rPr>
                <w:rFonts w:cs="Calibri"/>
              </w:rPr>
              <w:t>Primary +10%</w:t>
            </w:r>
          </w:p>
        </w:tc>
        <w:tc>
          <w:tcPr>
            <w:tcW w:w="3060" w:type="dxa"/>
            <w:vAlign w:val="center"/>
          </w:tcPr>
          <w:p w14:paraId="4CFEDEEC" w14:textId="4323624F" w:rsidR="008D73BA" w:rsidRPr="7ACA0E52" w:rsidRDefault="008D73BA" w:rsidP="008D73BA">
            <w:pPr>
              <w:pStyle w:val="Tabletext"/>
              <w:keepNext/>
              <w:jc w:val="center"/>
              <w:rPr>
                <w:rFonts w:cs="Calibri"/>
              </w:rPr>
            </w:pPr>
            <w:r w:rsidRPr="7ACA0E52">
              <w:rPr>
                <w:rFonts w:cs="Calibri"/>
              </w:rPr>
              <w:t>$</w:t>
            </w:r>
            <w:r w:rsidR="0005552F" w:rsidRPr="37CC6637">
              <w:rPr>
                <w:rFonts w:cs="Calibri"/>
              </w:rPr>
              <w:t>215</w:t>
            </w:r>
            <w:r w:rsidR="00744D23" w:rsidRPr="7ACA0E52">
              <w:rPr>
                <w:rFonts w:cs="Calibri"/>
              </w:rPr>
              <w:t xml:space="preserve"> (</w:t>
            </w:r>
            <w:r w:rsidRPr="7ACA0E52">
              <w:rPr>
                <w:rFonts w:cs="Calibri"/>
              </w:rPr>
              <w:t>+</w:t>
            </w:r>
            <w:r>
              <w:rPr>
                <w:rFonts w:cs="Calibri"/>
              </w:rPr>
              <w:t>15</w:t>
            </w:r>
            <w:r w:rsidRPr="7ACA0E52">
              <w:rPr>
                <w:rFonts w:cs="Calibri"/>
              </w:rPr>
              <w:t>%)</w:t>
            </w:r>
          </w:p>
        </w:tc>
      </w:tr>
    </w:tbl>
    <w:p w14:paraId="33229BD9" w14:textId="77777777" w:rsidR="00D35BAF" w:rsidRDefault="00D35BAF" w:rsidP="00A936F2">
      <w:pPr>
        <w:rPr>
          <w:rStyle w:val="Bold"/>
        </w:rPr>
      </w:pPr>
    </w:p>
    <w:p w14:paraId="541DA896" w14:textId="60C80A73" w:rsidR="00E60A2E" w:rsidRPr="0054490A" w:rsidRDefault="4D971938" w:rsidP="00425910">
      <w:pPr>
        <w:keepNext/>
      </w:pPr>
      <w:r w:rsidRPr="2F1055DC">
        <w:rPr>
          <w:rStyle w:val="Bold"/>
        </w:rPr>
        <w:t xml:space="preserve">Carbon Intensity: </w:t>
      </w:r>
      <w:r w:rsidR="1B8A9139">
        <w:t>S</w:t>
      </w:r>
      <w:r>
        <w:t>ensitivity to the carbon intensity of fuel</w:t>
      </w:r>
      <w:r w:rsidR="003915FB">
        <w:t>s</w:t>
      </w:r>
      <w:r>
        <w:t xml:space="preserve"> was tested </w:t>
      </w:r>
      <w:r w:rsidR="00E4484F">
        <w:t>by varying each</w:t>
      </w:r>
      <w:r w:rsidR="003915FB">
        <w:t xml:space="preserve"> separately </w:t>
      </w:r>
      <w:r w:rsidR="008A2898">
        <w:t xml:space="preserve">by  </w:t>
      </w:r>
      <w:r w:rsidR="00C92DA1">
        <w:t>+/</w:t>
      </w:r>
      <w:r w:rsidR="00425910">
        <w:t>-</w:t>
      </w:r>
      <w:r w:rsidR="00C92DA1">
        <w:t>10%</w:t>
      </w:r>
      <w:r>
        <w:t xml:space="preserve">. </w:t>
      </w:r>
      <w:r w:rsidR="00E60A2E">
        <w:t xml:space="preserve">The results from each test </w:t>
      </w:r>
      <w:r w:rsidR="009B1F93">
        <w:t xml:space="preserve">overall and for </w:t>
      </w:r>
      <w:r w:rsidR="00E60A2E">
        <w:t xml:space="preserve">each vehicle </w:t>
      </w:r>
      <w:r w:rsidR="00817672">
        <w:t xml:space="preserve">technology </w:t>
      </w:r>
      <w:r w:rsidR="00E60A2E">
        <w:t>type are presented in Table B2</w:t>
      </w:r>
      <w:r w:rsidR="00971D0C">
        <w:t xml:space="preserve"> alongside two additional tests</w:t>
      </w:r>
      <w:r w:rsidR="00E60A2E">
        <w:t>.</w:t>
      </w:r>
    </w:p>
    <w:p w14:paraId="6EFCD892" w14:textId="36ADAF40" w:rsidR="00284482" w:rsidRDefault="00A07079" w:rsidP="00D35BAF">
      <w:r>
        <w:t xml:space="preserve">The potential impact of </w:t>
      </w:r>
      <w:r w:rsidR="003E04E4">
        <w:t>decreasing e</w:t>
      </w:r>
      <w:r w:rsidR="712CA158">
        <w:t xml:space="preserve">lectricity CI </w:t>
      </w:r>
      <w:r w:rsidR="003E04E4">
        <w:t xml:space="preserve">continuing to improve in the future </w:t>
      </w:r>
      <w:r w:rsidR="712CA158">
        <w:t xml:space="preserve">was </w:t>
      </w:r>
      <w:r w:rsidR="00176546">
        <w:t xml:space="preserve">tested by </w:t>
      </w:r>
      <w:r w:rsidR="712CA158">
        <w:t>var</w:t>
      </w:r>
      <w:r w:rsidR="00176546">
        <w:t xml:space="preserve">ying years 2024 and later from </w:t>
      </w:r>
      <w:r w:rsidR="006E63B6">
        <w:t>a constant</w:t>
      </w:r>
      <w:r w:rsidR="00176546">
        <w:t xml:space="preserve"> 2023</w:t>
      </w:r>
      <w:r w:rsidR="0035172C">
        <w:t xml:space="preserve"> LCFS</w:t>
      </w:r>
      <w:r w:rsidR="00176546">
        <w:t xml:space="preserve"> </w:t>
      </w:r>
      <w:r w:rsidR="00BC1A83">
        <w:t xml:space="preserve">CI value </w:t>
      </w:r>
      <w:r w:rsidR="0035172C">
        <w:t>(252 gCO</w:t>
      </w:r>
      <w:r w:rsidR="0035172C" w:rsidRPr="2F1055DC">
        <w:rPr>
          <w:vertAlign w:val="subscript"/>
        </w:rPr>
        <w:t>2</w:t>
      </w:r>
      <w:r w:rsidR="0035172C">
        <w:t xml:space="preserve">e/kWh) </w:t>
      </w:r>
      <w:r w:rsidR="00BC1A83">
        <w:t xml:space="preserve">to </w:t>
      </w:r>
      <w:r w:rsidR="4D971938">
        <w:t>a</w:t>
      </w:r>
      <w:r w:rsidR="00AE3B42">
        <w:t xml:space="preserve"> time-variant</w:t>
      </w:r>
      <w:r w:rsidR="00F73B2E">
        <w:t xml:space="preserve"> </w:t>
      </w:r>
      <w:r w:rsidR="712CA158">
        <w:t xml:space="preserve"> </w:t>
      </w:r>
      <w:r w:rsidR="000A78EE">
        <w:t xml:space="preserve">annual </w:t>
      </w:r>
      <w:r w:rsidR="712CA158">
        <w:t xml:space="preserve">decrease </w:t>
      </w:r>
      <w:r w:rsidR="00F73B2E">
        <w:t xml:space="preserve">based </w:t>
      </w:r>
      <w:r w:rsidR="00AE3B42">
        <w:t xml:space="preserve">on a medium electricity demand scenario </w:t>
      </w:r>
      <w:r w:rsidR="00043700">
        <w:t xml:space="preserve">projection </w:t>
      </w:r>
      <w:r w:rsidR="4D971938">
        <w:t xml:space="preserve">in </w:t>
      </w:r>
      <w:r w:rsidR="00FD2EAE" w:rsidRPr="00FD2EAE">
        <w:rPr>
          <w:rFonts w:cs="Calibri"/>
        </w:rPr>
        <w:t>(Grubert et al., 2020)</w:t>
      </w:r>
      <w:r w:rsidR="4D971938">
        <w:t>.</w:t>
      </w:r>
      <w:r w:rsidR="143A512A">
        <w:t xml:space="preserve"> </w:t>
      </w:r>
      <w:r w:rsidR="00150B32">
        <w:t xml:space="preserve">The projection reflects CI </w:t>
      </w:r>
      <w:r w:rsidR="00BD179B">
        <w:t xml:space="preserve">gradually </w:t>
      </w:r>
      <w:r w:rsidR="00F10C99">
        <w:t xml:space="preserve">decreasing </w:t>
      </w:r>
      <w:r w:rsidR="00DD156C">
        <w:t>47% from 2018 (the base year of the study) to 2033 (the last year of 100k</w:t>
      </w:r>
      <w:r w:rsidR="001478DA">
        <w:t>-</w:t>
      </w:r>
      <w:r w:rsidR="00DD156C">
        <w:t>mi</w:t>
      </w:r>
      <w:r w:rsidR="00B24A10">
        <w:t>le</w:t>
      </w:r>
      <w:r w:rsidR="00DD156C">
        <w:t xml:space="preserve"> reductions in this analysis). This reflects a 37% CI decrease from the 2023 LCFS </w:t>
      </w:r>
      <w:r w:rsidR="005E4B22">
        <w:t xml:space="preserve">value </w:t>
      </w:r>
      <w:r w:rsidR="00966A87">
        <w:t>to 158</w:t>
      </w:r>
      <w:r w:rsidR="00966A87" w:rsidRPr="00295BE9">
        <w:t xml:space="preserve"> </w:t>
      </w:r>
      <w:r w:rsidR="00966A87" w:rsidRPr="007F2BD1">
        <w:t>gCO2e/kWh</w:t>
      </w:r>
      <w:r w:rsidR="00966A87">
        <w:t xml:space="preserve"> in</w:t>
      </w:r>
      <w:r w:rsidR="00CC1DFE">
        <w:t xml:space="preserve"> </w:t>
      </w:r>
      <w:r w:rsidR="00DD156C">
        <w:t>2033.</w:t>
      </w:r>
      <w:r w:rsidR="00966A87">
        <w:t xml:space="preserve"> </w:t>
      </w:r>
      <w:r w:rsidR="00BF23F3">
        <w:t xml:space="preserve">Using these projected values </w:t>
      </w:r>
      <w:r w:rsidR="009374A6">
        <w:t xml:space="preserve">reduces </w:t>
      </w:r>
      <w:r w:rsidR="00EC7F13">
        <w:t>cost</w:t>
      </w:r>
      <w:r w:rsidR="009374A6">
        <w:t xml:space="preserve">s per ton of </w:t>
      </w:r>
      <w:r w:rsidR="0020214C">
        <w:t xml:space="preserve">total </w:t>
      </w:r>
      <w:r w:rsidR="0020214C" w:rsidRPr="00747943">
        <w:rPr>
          <w:i/>
          <w:iCs/>
        </w:rPr>
        <w:t>Rebate-Essential</w:t>
      </w:r>
      <w:r w:rsidR="0020214C">
        <w:t xml:space="preserve"> GHG </w:t>
      </w:r>
      <w:r w:rsidR="009374A6">
        <w:t xml:space="preserve">reductions </w:t>
      </w:r>
      <w:r w:rsidR="002F2DE9">
        <w:t xml:space="preserve">by </w:t>
      </w:r>
      <w:r w:rsidR="007C28CB">
        <w:t>1</w:t>
      </w:r>
      <w:r w:rsidR="002F2DE9">
        <w:t>% (</w:t>
      </w:r>
      <w:r w:rsidR="009374A6">
        <w:t xml:space="preserve">to </w:t>
      </w:r>
      <w:r w:rsidR="00EC7F13">
        <w:t>$</w:t>
      </w:r>
      <w:r w:rsidR="00460CFC">
        <w:t>1</w:t>
      </w:r>
      <w:r w:rsidR="007C28CB">
        <w:t>85</w:t>
      </w:r>
      <w:r w:rsidR="002F2DE9">
        <w:t>)</w:t>
      </w:r>
      <w:r w:rsidR="00EC7F13">
        <w:t>.</w:t>
      </w:r>
      <w:r w:rsidR="00AD1A33">
        <w:t xml:space="preserve"> This </w:t>
      </w:r>
      <w:r w:rsidR="00EE159E">
        <w:t>result suggests that the impact of using the 2015 electricity CI for prior years without data is likely also negli</w:t>
      </w:r>
      <w:r w:rsidR="00F023C8">
        <w:t>gi</w:t>
      </w:r>
      <w:r w:rsidR="00EE159E">
        <w:t>ble.</w:t>
      </w:r>
    </w:p>
    <w:p w14:paraId="41C04B61" w14:textId="213CD541" w:rsidR="00545379" w:rsidRDefault="1981098A" w:rsidP="00834CD7">
      <w:r>
        <w:t>Hydrogen CI was</w:t>
      </w:r>
      <w:r w:rsidR="00295BE9">
        <w:t xml:space="preserve"> also tested further by</w:t>
      </w:r>
      <w:r w:rsidR="003F28A4">
        <w:t xml:space="preserve"> varying</w:t>
      </w:r>
      <w:r>
        <w:t xml:space="preserve"> the LCFS</w:t>
      </w:r>
      <w:r w:rsidR="00850E1A">
        <w:t>-derived</w:t>
      </w:r>
      <w:r>
        <w:t xml:space="preserve"> default assumption of a</w:t>
      </w:r>
      <w:r w:rsidR="712CA158">
        <w:t xml:space="preserve"> </w:t>
      </w:r>
      <w:r w:rsidR="712CA158" w:rsidRPr="2F1055DC">
        <w:rPr>
          <w:rFonts w:cs="Calibri"/>
        </w:rPr>
        <w:t>SB 1505-compliant 33% renewable mix (13,393 gCO</w:t>
      </w:r>
      <w:r w:rsidR="712CA158" w:rsidRPr="2F1055DC">
        <w:rPr>
          <w:rFonts w:cs="Calibri"/>
          <w:vertAlign w:val="subscript"/>
        </w:rPr>
        <w:t>2</w:t>
      </w:r>
      <w:r w:rsidR="712CA158" w:rsidRPr="2F1055DC">
        <w:rPr>
          <w:rFonts w:cs="Calibri"/>
        </w:rPr>
        <w:t>e/kg)</w:t>
      </w:r>
      <w:r w:rsidR="00FA4E35">
        <w:rPr>
          <w:rFonts w:cs="Calibri"/>
        </w:rPr>
        <w:t xml:space="preserve">, </w:t>
      </w:r>
      <w:r w:rsidR="00EC16B6">
        <w:rPr>
          <w:rFonts w:cs="Calibri"/>
        </w:rPr>
        <w:t xml:space="preserve">which is </w:t>
      </w:r>
      <w:r w:rsidR="00FA4E35">
        <w:rPr>
          <w:rFonts w:cs="Calibri"/>
        </w:rPr>
        <w:t xml:space="preserve">used in absence of </w:t>
      </w:r>
      <w:r w:rsidR="00FA4E35" w:rsidRPr="00F97E75">
        <w:rPr>
          <w:rFonts w:cs="Calibri"/>
        </w:rPr>
        <w:t xml:space="preserve">publicly-available data on </w:t>
      </w:r>
      <w:r w:rsidR="003B7CD7">
        <w:rPr>
          <w:rFonts w:cs="Calibri"/>
        </w:rPr>
        <w:lastRenderedPageBreak/>
        <w:t>light-duty</w:t>
      </w:r>
      <w:r w:rsidR="00FA4E35" w:rsidRPr="00F97E75">
        <w:rPr>
          <w:rFonts w:cs="Calibri"/>
        </w:rPr>
        <w:t xml:space="preserve"> </w:t>
      </w:r>
      <w:r w:rsidR="00EC16B6">
        <w:rPr>
          <w:rFonts w:cs="Calibri"/>
        </w:rPr>
        <w:t>hydrogen</w:t>
      </w:r>
      <w:r w:rsidR="009E521E">
        <w:rPr>
          <w:rFonts w:cs="Calibri"/>
        </w:rPr>
        <w:t xml:space="preserve"> fueling</w:t>
      </w:r>
      <w:r w:rsidR="00EC16B6">
        <w:rPr>
          <w:rFonts w:cs="Calibri"/>
        </w:rPr>
        <w:t xml:space="preserve"> </w:t>
      </w:r>
      <w:r w:rsidR="00FA4E35" w:rsidRPr="00F97E75">
        <w:rPr>
          <w:rFonts w:cs="Calibri"/>
        </w:rPr>
        <w:t>station CI</w:t>
      </w:r>
      <w:r w:rsidR="003B7CD7">
        <w:rPr>
          <w:rFonts w:cs="Calibri"/>
        </w:rPr>
        <w:t>,</w:t>
      </w:r>
      <w:r w:rsidR="712CA158" w:rsidRPr="2F1055DC">
        <w:rPr>
          <w:rFonts w:cs="Calibri"/>
        </w:rPr>
        <w:t xml:space="preserve"> to </w:t>
      </w:r>
      <w:r w:rsidR="00D9536D">
        <w:rPr>
          <w:rFonts w:cs="Calibri"/>
        </w:rPr>
        <w:t>average annual CI values from LCFS quarterly reports</w:t>
      </w:r>
      <w:r w:rsidR="003B301F">
        <w:rPr>
          <w:rFonts w:cs="Calibri"/>
        </w:rPr>
        <w:t xml:space="preserve"> </w:t>
      </w:r>
      <w:r w:rsidR="00CD5735" w:rsidRPr="00CD5735">
        <w:rPr>
          <w:rFonts w:cs="Calibri"/>
        </w:rPr>
        <w:t>(CARB, 2025c)</w:t>
      </w:r>
      <w:r w:rsidR="00622124">
        <w:rPr>
          <w:rFonts w:cs="Calibri"/>
        </w:rPr>
        <w:t>.</w:t>
      </w:r>
      <w:r w:rsidR="003B7CD7">
        <w:rPr>
          <w:rFonts w:cs="Calibri"/>
        </w:rPr>
        <w:t xml:space="preserve"> </w:t>
      </w:r>
      <w:r w:rsidR="00622124">
        <w:rPr>
          <w:rFonts w:cs="Calibri"/>
        </w:rPr>
        <w:t xml:space="preserve">This CI data is time-variant but </w:t>
      </w:r>
      <w:r w:rsidR="003B7CD7">
        <w:rPr>
          <w:rFonts w:cs="Calibri"/>
        </w:rPr>
        <w:t>reflect</w:t>
      </w:r>
      <w:r w:rsidR="00A41467">
        <w:rPr>
          <w:rFonts w:cs="Calibri"/>
        </w:rPr>
        <w:t>s</w:t>
      </w:r>
      <w:r w:rsidR="003B7CD7">
        <w:rPr>
          <w:rFonts w:cs="Calibri"/>
        </w:rPr>
        <w:t xml:space="preserve"> </w:t>
      </w:r>
      <w:r w:rsidR="00B423A1">
        <w:rPr>
          <w:rFonts w:cs="Calibri"/>
        </w:rPr>
        <w:t xml:space="preserve">all </w:t>
      </w:r>
      <w:r w:rsidR="00490768">
        <w:rPr>
          <w:rFonts w:cs="Calibri"/>
        </w:rPr>
        <w:t>h</w:t>
      </w:r>
      <w:r w:rsidR="003B7CD7">
        <w:rPr>
          <w:rFonts w:cs="Calibri"/>
        </w:rPr>
        <w:t xml:space="preserve">ydrogen </w:t>
      </w:r>
      <w:r w:rsidR="00A41467">
        <w:rPr>
          <w:rFonts w:cs="Calibri"/>
        </w:rPr>
        <w:t xml:space="preserve">used as </w:t>
      </w:r>
      <w:r w:rsidR="001B21F9">
        <w:rPr>
          <w:rFonts w:cs="Calibri"/>
        </w:rPr>
        <w:t xml:space="preserve">transportation </w:t>
      </w:r>
      <w:r w:rsidR="003B7CD7">
        <w:rPr>
          <w:rFonts w:cs="Calibri"/>
        </w:rPr>
        <w:t>fuel</w:t>
      </w:r>
      <w:r w:rsidR="00A41467">
        <w:rPr>
          <w:rFonts w:cs="Calibri"/>
        </w:rPr>
        <w:t xml:space="preserve"> in California</w:t>
      </w:r>
      <w:r w:rsidR="00873DCD">
        <w:rPr>
          <w:rFonts w:cs="Calibri"/>
        </w:rPr>
        <w:t>, including non-light-duty applications</w:t>
      </w:r>
      <w:r w:rsidR="00D9536D">
        <w:rPr>
          <w:rFonts w:cs="Calibri"/>
        </w:rPr>
        <w:t xml:space="preserve">. </w:t>
      </w:r>
      <w:r w:rsidR="005960A3">
        <w:t xml:space="preserve">This </w:t>
      </w:r>
      <w:r w:rsidR="00CE4DB4">
        <w:t xml:space="preserve">time-variant CI input data </w:t>
      </w:r>
      <w:r w:rsidR="006C6308">
        <w:t xml:space="preserve">reduces </w:t>
      </w:r>
      <w:r w:rsidR="005146EE">
        <w:t xml:space="preserve">the costs </w:t>
      </w:r>
      <w:r w:rsidR="006C6308">
        <w:t xml:space="preserve">of total </w:t>
      </w:r>
      <w:r w:rsidR="005960A3" w:rsidRPr="00747943">
        <w:rPr>
          <w:i/>
          <w:iCs/>
        </w:rPr>
        <w:t>Rebate-Essential</w:t>
      </w:r>
      <w:r w:rsidR="005960A3">
        <w:t xml:space="preserve"> GHG reductions by </w:t>
      </w:r>
      <w:r w:rsidR="00D22698">
        <w:t xml:space="preserve">only </w:t>
      </w:r>
      <w:r w:rsidR="005960A3" w:rsidRPr="004B5ECB">
        <w:t xml:space="preserve">1% </w:t>
      </w:r>
      <w:r w:rsidR="00D22698">
        <w:t>but</w:t>
      </w:r>
      <w:r w:rsidR="005960A3">
        <w:t xml:space="preserve"> reduces costs per ton of </w:t>
      </w:r>
      <w:r w:rsidR="00FF4188">
        <w:t xml:space="preserve">FCEV </w:t>
      </w:r>
      <w:r w:rsidR="005960A3">
        <w:t>reductions</w:t>
      </w:r>
      <w:r w:rsidR="00FF4188">
        <w:t xml:space="preserve"> </w:t>
      </w:r>
      <w:r w:rsidR="00C502E6">
        <w:t>speci</w:t>
      </w:r>
      <w:r w:rsidR="001A3371">
        <w:t xml:space="preserve">fically </w:t>
      </w:r>
      <w:r w:rsidR="00B67C8F" w:rsidRPr="004B5ECB">
        <w:t xml:space="preserve">by </w:t>
      </w:r>
      <w:r w:rsidR="009333C9">
        <w:t>3</w:t>
      </w:r>
      <w:r w:rsidR="006C6308">
        <w:t>5</w:t>
      </w:r>
      <w:r w:rsidR="00B67C8F" w:rsidRPr="004B5ECB">
        <w:t>%</w:t>
      </w:r>
      <w:r w:rsidR="000A183E">
        <w:t xml:space="preserve"> (</w:t>
      </w:r>
      <w:r w:rsidR="005960A3">
        <w:t>to $</w:t>
      </w:r>
      <w:r w:rsidR="000A183E">
        <w:t>2</w:t>
      </w:r>
      <w:r w:rsidR="00BC7003">
        <w:t>68</w:t>
      </w:r>
      <w:r w:rsidR="000A183E">
        <w:t>)</w:t>
      </w:r>
      <w:r w:rsidR="005960A3" w:rsidRPr="004B5ECB">
        <w:t>.</w:t>
      </w:r>
      <w:r w:rsidR="00790FB9">
        <w:t xml:space="preserve">  </w:t>
      </w:r>
    </w:p>
    <w:p w14:paraId="2CB6003E" w14:textId="77777777" w:rsidR="00790FB9" w:rsidRPr="005D5305" w:rsidRDefault="00790FB9" w:rsidP="00790FB9">
      <w:pPr>
        <w:pStyle w:val="TableFigureNumber0"/>
        <w:rPr>
          <w:b/>
          <w:bCs/>
          <w:color w:val="0579BD"/>
        </w:rPr>
      </w:pPr>
      <w:r w:rsidRPr="005D5305">
        <w:rPr>
          <w:color w:val="0579BD"/>
        </w:rPr>
        <w:t>TABLE B2</w:t>
      </w:r>
    </w:p>
    <w:p w14:paraId="5D34163D" w14:textId="77777777" w:rsidR="00790FB9" w:rsidRPr="003A15C4" w:rsidRDefault="00790FB9" w:rsidP="00790FB9">
      <w:pPr>
        <w:pStyle w:val="Body"/>
        <w:keepNext/>
        <w:spacing w:after="0" w:line="240" w:lineRule="auto"/>
        <w:rPr>
          <w:sz w:val="24"/>
          <w:szCs w:val="24"/>
        </w:rPr>
      </w:pPr>
      <w:r w:rsidRPr="7ACA0E52">
        <w:rPr>
          <w:rFonts w:eastAsia="Calibri" w:cs="Calibri"/>
          <w:b/>
          <w:bCs/>
          <w:sz w:val="28"/>
          <w:szCs w:val="28"/>
        </w:rPr>
        <w:t>Sensitivity of Cost-Effectiveness to Carbon Intensity of Fuels</w:t>
      </w:r>
      <w:r w:rsidRPr="7ACA0E52">
        <w:rPr>
          <w:sz w:val="24"/>
          <w:szCs w:val="24"/>
        </w:rPr>
        <w:t xml:space="preserve"> </w:t>
      </w:r>
    </w:p>
    <w:p w14:paraId="3245FDD6" w14:textId="77777777" w:rsidR="00790FB9" w:rsidRPr="003A15C4" w:rsidRDefault="00790FB9" w:rsidP="00790FB9">
      <w:pPr>
        <w:pStyle w:val="TableFigureSubtitle"/>
        <w:keepNext/>
        <w:rPr>
          <w:rStyle w:val="Bold"/>
          <w:b w:val="0"/>
          <w:sz w:val="22"/>
          <w:szCs w:val="22"/>
        </w:rPr>
      </w:pPr>
      <w:r>
        <w:t xml:space="preserve">Rebate dollars per ton of </w:t>
      </w:r>
      <w:r w:rsidRPr="00E13E41">
        <w:rPr>
          <w:i/>
          <w:iCs/>
        </w:rPr>
        <w:t>Rebate</w:t>
      </w:r>
      <w:r>
        <w:rPr>
          <w:i/>
          <w:iCs/>
        </w:rPr>
        <w:t>-</w:t>
      </w:r>
      <w:r w:rsidRPr="00E13E41">
        <w:rPr>
          <w:i/>
          <w:iCs/>
        </w:rPr>
        <w:t xml:space="preserve">Essential </w:t>
      </w:r>
      <w:r>
        <w:t>GHG reductions</w:t>
      </w:r>
    </w:p>
    <w:tbl>
      <w:tblPr>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440"/>
        <w:gridCol w:w="1440"/>
        <w:gridCol w:w="1440"/>
        <w:gridCol w:w="1868"/>
      </w:tblGrid>
      <w:tr w:rsidR="00790FB9" w:rsidRPr="00147F98" w14:paraId="00B1E695" w14:textId="77777777" w:rsidTr="005E5E38">
        <w:trPr>
          <w:tblHeader/>
        </w:trPr>
        <w:tc>
          <w:tcPr>
            <w:tcW w:w="2304" w:type="dxa"/>
            <w:shd w:val="clear" w:color="auto" w:fill="3C3A4C"/>
          </w:tcPr>
          <w:p w14:paraId="4227CA77" w14:textId="09789A78" w:rsidR="00790FB9" w:rsidRPr="009F6BA8" w:rsidRDefault="00790FB9">
            <w:pPr>
              <w:pStyle w:val="Tabletext"/>
              <w:keepNext/>
              <w:rPr>
                <w:rFonts w:cs="Calibri"/>
                <w:b/>
                <w:bCs/>
                <w:color w:val="FFFFFF" w:themeColor="background1"/>
              </w:rPr>
            </w:pPr>
            <w:r w:rsidRPr="7ACA0E52">
              <w:rPr>
                <w:rFonts w:cs="Calibri"/>
                <w:b/>
                <w:bCs/>
                <w:color w:val="FFFFFF" w:themeColor="background1"/>
              </w:rPr>
              <w:t xml:space="preserve">Fuel </w:t>
            </w:r>
            <w:r w:rsidR="005E5E38">
              <w:rPr>
                <w:rFonts w:cs="Calibri"/>
                <w:b/>
                <w:bCs/>
                <w:color w:val="FFFFFF" w:themeColor="background1"/>
              </w:rPr>
              <w:t>C</w:t>
            </w:r>
            <w:r w:rsidRPr="7ACA0E52">
              <w:rPr>
                <w:rFonts w:cs="Calibri"/>
                <w:b/>
                <w:bCs/>
                <w:color w:val="FFFFFF" w:themeColor="background1"/>
              </w:rPr>
              <w:t xml:space="preserve">arbon </w:t>
            </w:r>
            <w:r w:rsidR="005E5E38">
              <w:rPr>
                <w:rFonts w:cs="Calibri"/>
                <w:b/>
                <w:bCs/>
                <w:color w:val="FFFFFF" w:themeColor="background1"/>
              </w:rPr>
              <w:t>I</w:t>
            </w:r>
            <w:r w:rsidRPr="7ACA0E52">
              <w:rPr>
                <w:rFonts w:cs="Calibri"/>
                <w:b/>
                <w:bCs/>
                <w:color w:val="FFFFFF" w:themeColor="background1"/>
              </w:rPr>
              <w:t xml:space="preserve">ntensity (CI) </w:t>
            </w:r>
            <w:r w:rsidR="005E5E38">
              <w:rPr>
                <w:rFonts w:cs="Calibri"/>
                <w:b/>
                <w:bCs/>
                <w:color w:val="FFFFFF" w:themeColor="background1"/>
              </w:rPr>
              <w:t>S</w:t>
            </w:r>
            <w:r w:rsidRPr="7ACA0E52">
              <w:rPr>
                <w:rFonts w:cs="Calibri"/>
                <w:b/>
                <w:bCs/>
                <w:color w:val="FFFFFF" w:themeColor="background1"/>
              </w:rPr>
              <w:t>cenario</w:t>
            </w:r>
          </w:p>
        </w:tc>
        <w:tc>
          <w:tcPr>
            <w:tcW w:w="1440" w:type="dxa"/>
            <w:shd w:val="clear" w:color="auto" w:fill="3C3A4C"/>
            <w:vAlign w:val="center"/>
          </w:tcPr>
          <w:p w14:paraId="0B8F1B43" w14:textId="77777777" w:rsidR="00790FB9" w:rsidRPr="009F6BA8" w:rsidRDefault="00790FB9" w:rsidP="005E5E38">
            <w:pPr>
              <w:pStyle w:val="Tabletext"/>
              <w:keepNext/>
              <w:jc w:val="center"/>
              <w:rPr>
                <w:rFonts w:cs="Calibri"/>
                <w:b/>
                <w:bCs/>
                <w:color w:val="FFFFFF" w:themeColor="background1"/>
              </w:rPr>
            </w:pPr>
            <w:r w:rsidRPr="7ACA0E52">
              <w:rPr>
                <w:rFonts w:cs="Calibri"/>
                <w:b/>
                <w:bCs/>
                <w:color w:val="FFFFFF" w:themeColor="background1"/>
              </w:rPr>
              <w:t>All</w:t>
            </w:r>
          </w:p>
        </w:tc>
        <w:tc>
          <w:tcPr>
            <w:tcW w:w="1440" w:type="dxa"/>
            <w:shd w:val="clear" w:color="auto" w:fill="3C3A4C"/>
            <w:vAlign w:val="center"/>
          </w:tcPr>
          <w:p w14:paraId="0C159FA0" w14:textId="77777777" w:rsidR="00790FB9" w:rsidRPr="009F6BA8" w:rsidRDefault="00790FB9" w:rsidP="005E5E38">
            <w:pPr>
              <w:pStyle w:val="Tabletext"/>
              <w:keepNext/>
              <w:jc w:val="center"/>
              <w:rPr>
                <w:rFonts w:cs="Calibri"/>
                <w:b/>
                <w:bCs/>
                <w:color w:val="FFFFFF" w:themeColor="background1"/>
              </w:rPr>
            </w:pPr>
            <w:r w:rsidRPr="7ACA0E52">
              <w:rPr>
                <w:rFonts w:cs="Calibri"/>
                <w:b/>
                <w:bCs/>
                <w:color w:val="FFFFFF" w:themeColor="background1"/>
              </w:rPr>
              <w:t>PHEV</w:t>
            </w:r>
          </w:p>
        </w:tc>
        <w:tc>
          <w:tcPr>
            <w:tcW w:w="1440" w:type="dxa"/>
            <w:shd w:val="clear" w:color="auto" w:fill="3C3A4C"/>
            <w:vAlign w:val="center"/>
          </w:tcPr>
          <w:p w14:paraId="34997F23" w14:textId="77777777" w:rsidR="00790FB9" w:rsidRPr="009F6BA8" w:rsidRDefault="00790FB9" w:rsidP="005E5E38">
            <w:pPr>
              <w:pStyle w:val="Tabletext"/>
              <w:keepNext/>
              <w:jc w:val="center"/>
              <w:rPr>
                <w:rFonts w:cs="Calibri"/>
                <w:b/>
                <w:bCs/>
                <w:color w:val="FFFFFF" w:themeColor="background1"/>
              </w:rPr>
            </w:pPr>
            <w:r w:rsidRPr="7ACA0E52">
              <w:rPr>
                <w:rFonts w:cs="Calibri"/>
                <w:b/>
                <w:bCs/>
                <w:color w:val="FFFFFF" w:themeColor="background1"/>
              </w:rPr>
              <w:t>BEV</w:t>
            </w:r>
          </w:p>
        </w:tc>
        <w:tc>
          <w:tcPr>
            <w:tcW w:w="1868" w:type="dxa"/>
            <w:shd w:val="clear" w:color="auto" w:fill="3C3A4C"/>
            <w:vAlign w:val="center"/>
          </w:tcPr>
          <w:p w14:paraId="7FAF3C86" w14:textId="77777777" w:rsidR="00790FB9" w:rsidRPr="009F6BA8" w:rsidRDefault="00790FB9" w:rsidP="005E5E38">
            <w:pPr>
              <w:pStyle w:val="Tabletext"/>
              <w:keepNext/>
              <w:jc w:val="center"/>
              <w:rPr>
                <w:rFonts w:cs="Calibri"/>
                <w:b/>
                <w:bCs/>
                <w:color w:val="FFFFFF" w:themeColor="background1"/>
              </w:rPr>
            </w:pPr>
            <w:r w:rsidRPr="7ACA0E52">
              <w:rPr>
                <w:rFonts w:cs="Calibri"/>
                <w:b/>
                <w:bCs/>
                <w:color w:val="FFFFFF" w:themeColor="background1"/>
              </w:rPr>
              <w:t>FCEV</w:t>
            </w:r>
          </w:p>
        </w:tc>
      </w:tr>
      <w:tr w:rsidR="00790FB9" w:rsidRPr="00147F98" w14:paraId="7C7EDBFB" w14:textId="77777777">
        <w:tc>
          <w:tcPr>
            <w:tcW w:w="2304" w:type="dxa"/>
            <w:shd w:val="clear" w:color="auto" w:fill="EDEDED" w:themeFill="text2" w:themeFillTint="33"/>
          </w:tcPr>
          <w:p w14:paraId="43E78605" w14:textId="77777777" w:rsidR="00790FB9" w:rsidRPr="009B3C48" w:rsidRDefault="00790FB9">
            <w:pPr>
              <w:pStyle w:val="Tabletext"/>
              <w:keepNext/>
              <w:rPr>
                <w:rFonts w:cs="Calibri"/>
                <w:b/>
                <w:bCs/>
              </w:rPr>
            </w:pPr>
            <w:r w:rsidRPr="7ACA0E52">
              <w:rPr>
                <w:rFonts w:cs="Calibri"/>
                <w:b/>
                <w:bCs/>
              </w:rPr>
              <w:t xml:space="preserve">Primary </w:t>
            </w:r>
          </w:p>
        </w:tc>
        <w:tc>
          <w:tcPr>
            <w:tcW w:w="1440" w:type="dxa"/>
            <w:shd w:val="clear" w:color="auto" w:fill="EDEDED" w:themeFill="text2" w:themeFillTint="33"/>
            <w:vAlign w:val="center"/>
          </w:tcPr>
          <w:p w14:paraId="240D47E2" w14:textId="74E80040" w:rsidR="00790FB9" w:rsidRPr="009B3C48" w:rsidRDefault="00790FB9">
            <w:pPr>
              <w:pStyle w:val="Tabletext"/>
              <w:keepNext/>
              <w:jc w:val="center"/>
              <w:rPr>
                <w:rFonts w:cs="Calibri"/>
                <w:b/>
                <w:bCs/>
              </w:rPr>
            </w:pPr>
            <w:r w:rsidRPr="5A8BB16C">
              <w:rPr>
                <w:rFonts w:cs="Calibri"/>
                <w:b/>
                <w:bCs/>
              </w:rPr>
              <w:t>$</w:t>
            </w:r>
            <w:r w:rsidR="003E72E7" w:rsidRPr="5A8BB16C">
              <w:rPr>
                <w:rFonts w:cs="Calibri"/>
                <w:b/>
                <w:bCs/>
              </w:rPr>
              <w:t>188</w:t>
            </w:r>
          </w:p>
        </w:tc>
        <w:tc>
          <w:tcPr>
            <w:tcW w:w="1440" w:type="dxa"/>
            <w:shd w:val="clear" w:color="auto" w:fill="EDEDED" w:themeFill="text2" w:themeFillTint="33"/>
            <w:vAlign w:val="center"/>
          </w:tcPr>
          <w:p w14:paraId="2C8B74C8" w14:textId="731BFD33" w:rsidR="00790FB9" w:rsidRPr="009B3C48" w:rsidRDefault="00790FB9">
            <w:pPr>
              <w:pStyle w:val="Tabletext"/>
              <w:keepNext/>
              <w:jc w:val="center"/>
              <w:rPr>
                <w:rFonts w:cs="Calibri"/>
                <w:b/>
                <w:bCs/>
              </w:rPr>
            </w:pPr>
            <w:r w:rsidRPr="5A8BB16C">
              <w:rPr>
                <w:rFonts w:cs="Calibri"/>
                <w:b/>
                <w:bCs/>
              </w:rPr>
              <w:t>$</w:t>
            </w:r>
            <w:r w:rsidRPr="5A8BB16C" w:rsidDel="00790FB9">
              <w:rPr>
                <w:rFonts w:cs="Calibri"/>
                <w:b/>
                <w:bCs/>
              </w:rPr>
              <w:t>1</w:t>
            </w:r>
            <w:r w:rsidR="00864A6D" w:rsidRPr="5A8BB16C">
              <w:rPr>
                <w:rFonts w:cs="Calibri"/>
                <w:b/>
                <w:bCs/>
              </w:rPr>
              <w:t>72</w:t>
            </w:r>
          </w:p>
        </w:tc>
        <w:tc>
          <w:tcPr>
            <w:tcW w:w="1440" w:type="dxa"/>
            <w:shd w:val="clear" w:color="auto" w:fill="EDEDED" w:themeFill="text2" w:themeFillTint="33"/>
            <w:vAlign w:val="center"/>
          </w:tcPr>
          <w:p w14:paraId="7D0BE1A9" w14:textId="198F278E" w:rsidR="00790FB9" w:rsidRPr="009B3C48" w:rsidRDefault="00790FB9">
            <w:pPr>
              <w:pStyle w:val="Tabletext"/>
              <w:keepNext/>
              <w:jc w:val="center"/>
              <w:rPr>
                <w:rFonts w:cs="Calibri"/>
                <w:b/>
                <w:bCs/>
              </w:rPr>
            </w:pPr>
            <w:r w:rsidRPr="5A8BB16C">
              <w:rPr>
                <w:rFonts w:cs="Calibri"/>
                <w:b/>
                <w:bCs/>
              </w:rPr>
              <w:t>$</w:t>
            </w:r>
            <w:r w:rsidRPr="5A8BB16C" w:rsidDel="00790FB9">
              <w:rPr>
                <w:rFonts w:cs="Calibri"/>
                <w:b/>
                <w:bCs/>
              </w:rPr>
              <w:t>1</w:t>
            </w:r>
            <w:r w:rsidR="00864A6D" w:rsidRPr="5A8BB16C">
              <w:rPr>
                <w:rFonts w:cs="Calibri"/>
                <w:b/>
                <w:bCs/>
              </w:rPr>
              <w:t>85</w:t>
            </w:r>
          </w:p>
        </w:tc>
        <w:tc>
          <w:tcPr>
            <w:tcW w:w="1868" w:type="dxa"/>
            <w:shd w:val="clear" w:color="auto" w:fill="EDEDED" w:themeFill="text2" w:themeFillTint="33"/>
            <w:vAlign w:val="center"/>
          </w:tcPr>
          <w:p w14:paraId="4BDD1BC3" w14:textId="18DF1367" w:rsidR="00790FB9" w:rsidRPr="009B3C48" w:rsidRDefault="00790FB9">
            <w:pPr>
              <w:pStyle w:val="Tabletext"/>
              <w:keepNext/>
              <w:jc w:val="center"/>
              <w:rPr>
                <w:rFonts w:cs="Calibri"/>
                <w:b/>
                <w:bCs/>
              </w:rPr>
            </w:pPr>
            <w:r w:rsidRPr="5A8BB16C">
              <w:rPr>
                <w:rFonts w:cs="Calibri"/>
                <w:b/>
                <w:bCs/>
              </w:rPr>
              <w:t>$</w:t>
            </w:r>
            <w:r w:rsidRPr="5A8BB16C" w:rsidDel="00790FB9">
              <w:rPr>
                <w:rFonts w:cs="Calibri"/>
                <w:b/>
                <w:bCs/>
              </w:rPr>
              <w:t>4</w:t>
            </w:r>
            <w:r w:rsidR="00864A6D" w:rsidRPr="5A8BB16C">
              <w:rPr>
                <w:rFonts w:cs="Calibri"/>
                <w:b/>
                <w:bCs/>
              </w:rPr>
              <w:t>10</w:t>
            </w:r>
          </w:p>
        </w:tc>
      </w:tr>
      <w:tr w:rsidR="00790FB9" w:rsidRPr="00147F98" w14:paraId="5613153C" w14:textId="77777777">
        <w:tc>
          <w:tcPr>
            <w:tcW w:w="2304" w:type="dxa"/>
          </w:tcPr>
          <w:p w14:paraId="29CA2BB7" w14:textId="77777777" w:rsidR="00790FB9" w:rsidRPr="00D35BAF" w:rsidRDefault="00790FB9">
            <w:pPr>
              <w:pStyle w:val="Tabletext"/>
              <w:keepNext/>
              <w:rPr>
                <w:rFonts w:cs="Calibri"/>
              </w:rPr>
            </w:pPr>
            <w:r w:rsidRPr="7ACA0E52">
              <w:rPr>
                <w:rFonts w:cs="Calibri"/>
              </w:rPr>
              <w:t>Gasoline Low CI</w:t>
            </w:r>
          </w:p>
        </w:tc>
        <w:tc>
          <w:tcPr>
            <w:tcW w:w="1440" w:type="dxa"/>
            <w:vAlign w:val="center"/>
          </w:tcPr>
          <w:p w14:paraId="4BFBC4F3" w14:textId="5370D4CE" w:rsidR="00790FB9" w:rsidRPr="00D35BAF" w:rsidRDefault="00790FB9">
            <w:pPr>
              <w:pStyle w:val="Tabletext"/>
              <w:keepNext/>
              <w:jc w:val="center"/>
              <w:rPr>
                <w:rFonts w:cs="Calibri"/>
              </w:rPr>
            </w:pPr>
            <w:r w:rsidRPr="7ACA0E52">
              <w:rPr>
                <w:rFonts w:cs="Calibri"/>
              </w:rPr>
              <w:t>$</w:t>
            </w:r>
            <w:r w:rsidR="00A31C63">
              <w:rPr>
                <w:rFonts w:cs="Calibri"/>
              </w:rPr>
              <w:t>215</w:t>
            </w:r>
            <w:r w:rsidR="00A31C63" w:rsidRPr="7ACA0E52">
              <w:rPr>
                <w:rFonts w:cs="Calibri"/>
              </w:rPr>
              <w:t xml:space="preserve"> </w:t>
            </w:r>
            <w:r w:rsidRPr="7ACA0E52">
              <w:rPr>
                <w:rFonts w:cs="Calibri"/>
              </w:rPr>
              <w:t>(+</w:t>
            </w:r>
            <w:r>
              <w:rPr>
                <w:rFonts w:cs="Calibri"/>
              </w:rPr>
              <w:t>15</w:t>
            </w:r>
            <w:r w:rsidRPr="7ACA0E52">
              <w:rPr>
                <w:rFonts w:cs="Calibri"/>
              </w:rPr>
              <w:t>%)</w:t>
            </w:r>
          </w:p>
        </w:tc>
        <w:tc>
          <w:tcPr>
            <w:tcW w:w="1440" w:type="dxa"/>
            <w:vAlign w:val="center"/>
          </w:tcPr>
          <w:p w14:paraId="14BF8455" w14:textId="15448BEE" w:rsidR="00790FB9" w:rsidRPr="00D35BAF" w:rsidRDefault="00790FB9">
            <w:pPr>
              <w:pStyle w:val="Tabletext"/>
              <w:keepNext/>
              <w:jc w:val="center"/>
              <w:rPr>
                <w:rFonts w:cs="Calibri"/>
              </w:rPr>
            </w:pPr>
            <w:r w:rsidRPr="7ACA0E52">
              <w:rPr>
                <w:rFonts w:cs="Calibri"/>
              </w:rPr>
              <w:t>$</w:t>
            </w:r>
            <w:r w:rsidR="00A31C63">
              <w:rPr>
                <w:rFonts w:cs="Calibri"/>
              </w:rPr>
              <w:t>196</w:t>
            </w:r>
            <w:r w:rsidR="00A31C63" w:rsidRPr="7ACA0E52">
              <w:rPr>
                <w:rFonts w:cs="Calibri"/>
              </w:rPr>
              <w:t xml:space="preserve"> </w:t>
            </w:r>
            <w:r w:rsidRPr="7ACA0E52">
              <w:rPr>
                <w:rFonts w:cs="Calibri"/>
              </w:rPr>
              <w:t>(+</w:t>
            </w:r>
            <w:r>
              <w:rPr>
                <w:rFonts w:cs="Calibri"/>
              </w:rPr>
              <w:t>14</w:t>
            </w:r>
            <w:r w:rsidRPr="7ACA0E52">
              <w:rPr>
                <w:rFonts w:cs="Calibri"/>
              </w:rPr>
              <w:t>%)</w:t>
            </w:r>
          </w:p>
        </w:tc>
        <w:tc>
          <w:tcPr>
            <w:tcW w:w="1440" w:type="dxa"/>
            <w:vAlign w:val="center"/>
          </w:tcPr>
          <w:p w14:paraId="1244737E" w14:textId="29FFD281" w:rsidR="00790FB9" w:rsidRPr="00D35BAF" w:rsidRDefault="00790FB9">
            <w:pPr>
              <w:pStyle w:val="Tabletext"/>
              <w:keepNext/>
              <w:jc w:val="center"/>
              <w:rPr>
                <w:rFonts w:cs="Calibri"/>
              </w:rPr>
            </w:pPr>
            <w:r w:rsidRPr="7ACA0E52">
              <w:rPr>
                <w:rFonts w:cs="Calibri"/>
              </w:rPr>
              <w:t>$</w:t>
            </w:r>
            <w:r w:rsidR="00A31C63">
              <w:rPr>
                <w:rFonts w:cs="Calibri"/>
              </w:rPr>
              <w:t>212</w:t>
            </w:r>
            <w:r w:rsidR="00A31C63" w:rsidRPr="7ACA0E52">
              <w:rPr>
                <w:rFonts w:cs="Calibri"/>
              </w:rPr>
              <w:t xml:space="preserve"> </w:t>
            </w:r>
            <w:r w:rsidRPr="7ACA0E52">
              <w:rPr>
                <w:rFonts w:cs="Calibri"/>
              </w:rPr>
              <w:t>(+</w:t>
            </w:r>
            <w:r>
              <w:rPr>
                <w:rFonts w:cs="Calibri"/>
              </w:rPr>
              <w:t>15</w:t>
            </w:r>
            <w:r w:rsidRPr="7ACA0E52">
              <w:rPr>
                <w:rFonts w:cs="Calibri"/>
              </w:rPr>
              <w:t>%)</w:t>
            </w:r>
          </w:p>
        </w:tc>
        <w:tc>
          <w:tcPr>
            <w:tcW w:w="1868" w:type="dxa"/>
            <w:vAlign w:val="center"/>
          </w:tcPr>
          <w:p w14:paraId="670F6E9B" w14:textId="244676A6" w:rsidR="00790FB9" w:rsidRPr="00D35BAF" w:rsidRDefault="00790FB9">
            <w:pPr>
              <w:pStyle w:val="Tabletext"/>
              <w:keepNext/>
              <w:jc w:val="center"/>
              <w:rPr>
                <w:rFonts w:cs="Calibri"/>
              </w:rPr>
            </w:pPr>
            <w:r w:rsidRPr="7ACA0E52">
              <w:rPr>
                <w:rFonts w:cs="Calibri"/>
              </w:rPr>
              <w:t>$</w:t>
            </w:r>
            <w:r w:rsidR="6EB162F6" w:rsidRPr="1AE06959">
              <w:rPr>
                <w:rFonts w:cs="Calibri"/>
              </w:rPr>
              <w:t>5</w:t>
            </w:r>
            <w:r w:rsidR="00934A6D" w:rsidRPr="1AE06959">
              <w:rPr>
                <w:rFonts w:cs="Calibri"/>
              </w:rPr>
              <w:t>24</w:t>
            </w:r>
            <w:r w:rsidR="00934A6D" w:rsidRPr="7ACA0E52">
              <w:rPr>
                <w:rFonts w:cs="Calibri"/>
              </w:rPr>
              <w:t xml:space="preserve"> </w:t>
            </w:r>
            <w:r w:rsidRPr="7ACA0E52">
              <w:rPr>
                <w:rFonts w:cs="Calibri"/>
              </w:rPr>
              <w:t>(+</w:t>
            </w:r>
            <w:r w:rsidR="00934A6D" w:rsidRPr="28A7155D">
              <w:rPr>
                <w:rFonts w:cs="Calibri"/>
              </w:rPr>
              <w:t>28</w:t>
            </w:r>
            <w:r w:rsidRPr="7ACA0E52">
              <w:rPr>
                <w:rFonts w:cs="Calibri"/>
              </w:rPr>
              <w:t>%)</w:t>
            </w:r>
          </w:p>
        </w:tc>
      </w:tr>
      <w:tr w:rsidR="00790FB9" w:rsidRPr="00147F98" w14:paraId="41ADDCB0" w14:textId="77777777">
        <w:tc>
          <w:tcPr>
            <w:tcW w:w="2304" w:type="dxa"/>
          </w:tcPr>
          <w:p w14:paraId="35229256" w14:textId="77777777" w:rsidR="00790FB9" w:rsidRPr="00D35BAF" w:rsidRDefault="00790FB9">
            <w:pPr>
              <w:pStyle w:val="Tabletext"/>
              <w:rPr>
                <w:rFonts w:cs="Calibri"/>
              </w:rPr>
            </w:pPr>
            <w:r w:rsidRPr="7ACA0E52">
              <w:rPr>
                <w:rFonts w:cs="Calibri"/>
              </w:rPr>
              <w:t>Gasoline High CI</w:t>
            </w:r>
          </w:p>
        </w:tc>
        <w:tc>
          <w:tcPr>
            <w:tcW w:w="1440" w:type="dxa"/>
            <w:vAlign w:val="center"/>
          </w:tcPr>
          <w:p w14:paraId="0A54CA88" w14:textId="2FC6A8D9" w:rsidR="00790FB9" w:rsidRPr="00D35BAF" w:rsidRDefault="00790FB9">
            <w:pPr>
              <w:pStyle w:val="Tabletext"/>
              <w:jc w:val="center"/>
              <w:rPr>
                <w:rFonts w:cs="Calibri"/>
              </w:rPr>
            </w:pPr>
            <w:r w:rsidRPr="7ACA0E52">
              <w:rPr>
                <w:rFonts w:cs="Calibri"/>
              </w:rPr>
              <w:t>$</w:t>
            </w:r>
            <w:r w:rsidR="00934A6D">
              <w:rPr>
                <w:rFonts w:cs="Calibri"/>
              </w:rPr>
              <w:t>166</w:t>
            </w:r>
            <w:r w:rsidR="00934A6D" w:rsidRPr="7ACA0E52">
              <w:rPr>
                <w:rFonts w:cs="Calibri"/>
              </w:rPr>
              <w:t xml:space="preserve"> </w:t>
            </w:r>
            <w:r w:rsidRPr="7ACA0E52">
              <w:rPr>
                <w:rFonts w:cs="Calibri"/>
              </w:rPr>
              <w:t>(-</w:t>
            </w:r>
            <w:r w:rsidR="00934A6D" w:rsidRPr="28A7155D">
              <w:rPr>
                <w:rFonts w:cs="Calibri"/>
              </w:rPr>
              <w:t>11</w:t>
            </w:r>
            <w:r w:rsidRPr="7ACA0E52">
              <w:rPr>
                <w:rFonts w:cs="Calibri"/>
              </w:rPr>
              <w:t>%)</w:t>
            </w:r>
          </w:p>
        </w:tc>
        <w:tc>
          <w:tcPr>
            <w:tcW w:w="1440" w:type="dxa"/>
            <w:vAlign w:val="center"/>
          </w:tcPr>
          <w:p w14:paraId="71EA7C59" w14:textId="544C3E05" w:rsidR="00790FB9" w:rsidRPr="00D35BAF" w:rsidRDefault="00790FB9">
            <w:pPr>
              <w:pStyle w:val="Tabletext"/>
              <w:jc w:val="center"/>
              <w:rPr>
                <w:rFonts w:cs="Calibri"/>
              </w:rPr>
            </w:pPr>
            <w:r w:rsidRPr="7ACA0E52">
              <w:rPr>
                <w:rFonts w:cs="Calibri"/>
              </w:rPr>
              <w:t>$</w:t>
            </w:r>
            <w:r w:rsidR="00585B0D">
              <w:rPr>
                <w:rFonts w:cs="Calibri"/>
              </w:rPr>
              <w:t>153</w:t>
            </w:r>
            <w:r w:rsidR="00585B0D" w:rsidRPr="7ACA0E52">
              <w:rPr>
                <w:rFonts w:cs="Calibri"/>
              </w:rPr>
              <w:t xml:space="preserve"> </w:t>
            </w:r>
            <w:r w:rsidRPr="7ACA0E52">
              <w:rPr>
                <w:rFonts w:cs="Calibri"/>
              </w:rPr>
              <w:t>(-</w:t>
            </w:r>
            <w:r>
              <w:rPr>
                <w:rFonts w:cs="Calibri"/>
              </w:rPr>
              <w:t>11</w:t>
            </w:r>
            <w:r w:rsidRPr="7ACA0E52">
              <w:rPr>
                <w:rFonts w:cs="Calibri"/>
              </w:rPr>
              <w:t>%)</w:t>
            </w:r>
          </w:p>
        </w:tc>
        <w:tc>
          <w:tcPr>
            <w:tcW w:w="1440" w:type="dxa"/>
            <w:vAlign w:val="center"/>
          </w:tcPr>
          <w:p w14:paraId="4BB16455" w14:textId="205B194D" w:rsidR="00790FB9" w:rsidRPr="00D35BAF" w:rsidRDefault="00790FB9">
            <w:pPr>
              <w:pStyle w:val="Tabletext"/>
              <w:jc w:val="center"/>
              <w:rPr>
                <w:rFonts w:cs="Calibri"/>
              </w:rPr>
            </w:pPr>
            <w:r w:rsidRPr="7ACA0E52">
              <w:rPr>
                <w:rFonts w:cs="Calibri"/>
              </w:rPr>
              <w:t>$</w:t>
            </w:r>
            <w:r w:rsidR="00585B0D">
              <w:rPr>
                <w:rFonts w:cs="Calibri"/>
              </w:rPr>
              <w:t>164</w:t>
            </w:r>
            <w:r w:rsidR="00585B0D" w:rsidRPr="7ACA0E52">
              <w:rPr>
                <w:rFonts w:cs="Calibri"/>
              </w:rPr>
              <w:t xml:space="preserve"> </w:t>
            </w:r>
            <w:r w:rsidRPr="7ACA0E52">
              <w:rPr>
                <w:rFonts w:cs="Calibri"/>
              </w:rPr>
              <w:t>(-</w:t>
            </w:r>
            <w:r w:rsidR="00585B0D" w:rsidRPr="28A7155D">
              <w:rPr>
                <w:rFonts w:cs="Calibri"/>
              </w:rPr>
              <w:t>11</w:t>
            </w:r>
            <w:r w:rsidRPr="7ACA0E52">
              <w:rPr>
                <w:rFonts w:cs="Calibri"/>
              </w:rPr>
              <w:t>%)</w:t>
            </w:r>
          </w:p>
        </w:tc>
        <w:tc>
          <w:tcPr>
            <w:tcW w:w="1868" w:type="dxa"/>
            <w:vAlign w:val="center"/>
          </w:tcPr>
          <w:p w14:paraId="6F62F069" w14:textId="446D4ED8" w:rsidR="00790FB9" w:rsidRPr="00D35BAF" w:rsidRDefault="00790FB9">
            <w:pPr>
              <w:pStyle w:val="Tabletext"/>
              <w:jc w:val="center"/>
              <w:rPr>
                <w:rFonts w:cs="Calibri"/>
              </w:rPr>
            </w:pPr>
            <w:r w:rsidRPr="7ACA0E52">
              <w:rPr>
                <w:rFonts w:cs="Calibri"/>
              </w:rPr>
              <w:t>$</w:t>
            </w:r>
            <w:r w:rsidR="00585B0D" w:rsidRPr="1AE06959">
              <w:rPr>
                <w:rFonts w:cs="Calibri"/>
              </w:rPr>
              <w:t>336</w:t>
            </w:r>
            <w:r w:rsidR="00585B0D" w:rsidRPr="7ACA0E52">
              <w:rPr>
                <w:rFonts w:cs="Calibri"/>
              </w:rPr>
              <w:t xml:space="preserve"> </w:t>
            </w:r>
            <w:r w:rsidRPr="7ACA0E52">
              <w:rPr>
                <w:rFonts w:cs="Calibri"/>
              </w:rPr>
              <w:t>(-</w:t>
            </w:r>
            <w:r w:rsidR="00585B0D" w:rsidRPr="28A7155D">
              <w:rPr>
                <w:rFonts w:cs="Calibri"/>
              </w:rPr>
              <w:t>18</w:t>
            </w:r>
            <w:r w:rsidRPr="7ACA0E52">
              <w:rPr>
                <w:rFonts w:cs="Calibri"/>
              </w:rPr>
              <w:t>%)</w:t>
            </w:r>
          </w:p>
        </w:tc>
      </w:tr>
      <w:tr w:rsidR="00790FB9" w:rsidRPr="00147F98" w14:paraId="30F01278" w14:textId="77777777">
        <w:tc>
          <w:tcPr>
            <w:tcW w:w="2304" w:type="dxa"/>
          </w:tcPr>
          <w:p w14:paraId="45F81F2F" w14:textId="77777777" w:rsidR="00790FB9" w:rsidRPr="00D35BAF" w:rsidRDefault="00790FB9">
            <w:pPr>
              <w:pStyle w:val="Tabletext"/>
              <w:rPr>
                <w:rFonts w:cs="Calibri"/>
              </w:rPr>
            </w:pPr>
            <w:r w:rsidRPr="7ACA0E52">
              <w:rPr>
                <w:rFonts w:cs="Calibri"/>
              </w:rPr>
              <w:t>Electricity Low CI</w:t>
            </w:r>
          </w:p>
        </w:tc>
        <w:tc>
          <w:tcPr>
            <w:tcW w:w="1440" w:type="dxa"/>
            <w:vAlign w:val="center"/>
          </w:tcPr>
          <w:p w14:paraId="5AD12058" w14:textId="39B13D55" w:rsidR="00790FB9" w:rsidRPr="00D35BAF" w:rsidRDefault="00790FB9">
            <w:pPr>
              <w:pStyle w:val="Tabletext"/>
              <w:jc w:val="center"/>
              <w:rPr>
                <w:rFonts w:cs="Calibri"/>
              </w:rPr>
            </w:pPr>
            <w:r w:rsidRPr="7ACA0E52">
              <w:rPr>
                <w:rFonts w:cs="Calibri"/>
              </w:rPr>
              <w:t>$</w:t>
            </w:r>
            <w:r w:rsidR="00103594">
              <w:rPr>
                <w:rFonts w:cs="Calibri"/>
              </w:rPr>
              <w:t>183</w:t>
            </w:r>
            <w:r w:rsidR="00103594" w:rsidRPr="7ACA0E52">
              <w:rPr>
                <w:rFonts w:cs="Calibri"/>
              </w:rPr>
              <w:t xml:space="preserve"> </w:t>
            </w:r>
            <w:r w:rsidRPr="7ACA0E52">
              <w:rPr>
                <w:rFonts w:cs="Calibri"/>
              </w:rPr>
              <w:t>(-</w:t>
            </w:r>
            <w:r>
              <w:rPr>
                <w:rFonts w:cs="Calibri"/>
              </w:rPr>
              <w:t>3</w:t>
            </w:r>
            <w:r w:rsidRPr="7ACA0E52">
              <w:rPr>
                <w:rFonts w:cs="Calibri"/>
              </w:rPr>
              <w:t>%)</w:t>
            </w:r>
          </w:p>
        </w:tc>
        <w:tc>
          <w:tcPr>
            <w:tcW w:w="1440" w:type="dxa"/>
            <w:vAlign w:val="center"/>
          </w:tcPr>
          <w:p w14:paraId="23D2BABE" w14:textId="03127EA0" w:rsidR="00790FB9" w:rsidRPr="00D35BAF" w:rsidRDefault="00790FB9">
            <w:pPr>
              <w:pStyle w:val="Tabletext"/>
              <w:jc w:val="center"/>
              <w:rPr>
                <w:rFonts w:cs="Calibri"/>
              </w:rPr>
            </w:pPr>
            <w:r w:rsidRPr="7ACA0E52">
              <w:rPr>
                <w:rFonts w:cs="Calibri"/>
              </w:rPr>
              <w:t>$</w:t>
            </w:r>
            <w:r w:rsidR="00103594">
              <w:rPr>
                <w:rFonts w:cs="Calibri"/>
              </w:rPr>
              <w:t>168</w:t>
            </w:r>
            <w:r w:rsidR="00103594" w:rsidRPr="7ACA0E52">
              <w:rPr>
                <w:rFonts w:cs="Calibri"/>
              </w:rPr>
              <w:t xml:space="preserve"> </w:t>
            </w:r>
            <w:r w:rsidRPr="7ACA0E52">
              <w:rPr>
                <w:rFonts w:cs="Calibri"/>
              </w:rPr>
              <w:t>(-</w:t>
            </w:r>
            <w:r w:rsidR="00103594" w:rsidRPr="28A7155D">
              <w:rPr>
                <w:rFonts w:cs="Calibri"/>
              </w:rPr>
              <w:t>2</w:t>
            </w:r>
            <w:r w:rsidRPr="7ACA0E52">
              <w:rPr>
                <w:rFonts w:cs="Calibri"/>
              </w:rPr>
              <w:t>%)</w:t>
            </w:r>
          </w:p>
        </w:tc>
        <w:tc>
          <w:tcPr>
            <w:tcW w:w="1440" w:type="dxa"/>
            <w:vAlign w:val="center"/>
          </w:tcPr>
          <w:p w14:paraId="6652DEA4" w14:textId="04CCE19C" w:rsidR="00790FB9" w:rsidRPr="00D35BAF" w:rsidRDefault="00790FB9">
            <w:pPr>
              <w:pStyle w:val="Tabletext"/>
              <w:jc w:val="center"/>
              <w:rPr>
                <w:rFonts w:cs="Calibri"/>
              </w:rPr>
            </w:pPr>
            <w:r w:rsidRPr="7ACA0E52">
              <w:rPr>
                <w:rFonts w:cs="Calibri"/>
              </w:rPr>
              <w:t>$</w:t>
            </w:r>
            <w:r w:rsidR="00C414F5">
              <w:rPr>
                <w:rFonts w:cs="Calibri"/>
              </w:rPr>
              <w:t>180</w:t>
            </w:r>
            <w:r w:rsidR="00C414F5" w:rsidRPr="7ACA0E52">
              <w:rPr>
                <w:rFonts w:cs="Calibri"/>
              </w:rPr>
              <w:t xml:space="preserve"> </w:t>
            </w:r>
            <w:r w:rsidRPr="7ACA0E52">
              <w:rPr>
                <w:rFonts w:cs="Calibri"/>
              </w:rPr>
              <w:t>(-</w:t>
            </w:r>
            <w:r>
              <w:rPr>
                <w:rFonts w:cs="Calibri"/>
              </w:rPr>
              <w:t>3</w:t>
            </w:r>
            <w:r w:rsidRPr="7ACA0E52">
              <w:rPr>
                <w:rFonts w:cs="Calibri"/>
              </w:rPr>
              <w:t>%)</w:t>
            </w:r>
          </w:p>
        </w:tc>
        <w:tc>
          <w:tcPr>
            <w:tcW w:w="1868" w:type="dxa"/>
            <w:vAlign w:val="center"/>
          </w:tcPr>
          <w:p w14:paraId="14342EB2" w14:textId="77777777" w:rsidR="00790FB9" w:rsidRPr="00D35BAF" w:rsidRDefault="00790FB9">
            <w:pPr>
              <w:pStyle w:val="Tabletext"/>
              <w:jc w:val="center"/>
              <w:rPr>
                <w:rFonts w:cs="Calibri"/>
              </w:rPr>
            </w:pPr>
            <w:r w:rsidRPr="7ACA0E52">
              <w:rPr>
                <w:rFonts w:cs="Calibri"/>
              </w:rPr>
              <w:t>n.a.</w:t>
            </w:r>
          </w:p>
        </w:tc>
      </w:tr>
      <w:tr w:rsidR="00790FB9" w:rsidRPr="00147F98" w14:paraId="26FDAA32" w14:textId="77777777">
        <w:tc>
          <w:tcPr>
            <w:tcW w:w="2304" w:type="dxa"/>
          </w:tcPr>
          <w:p w14:paraId="05015B17" w14:textId="77777777" w:rsidR="00790FB9" w:rsidRPr="00D35BAF" w:rsidRDefault="00790FB9">
            <w:pPr>
              <w:pStyle w:val="Tabletext"/>
              <w:rPr>
                <w:rFonts w:cs="Calibri"/>
              </w:rPr>
            </w:pPr>
            <w:r w:rsidRPr="7ACA0E52">
              <w:rPr>
                <w:rFonts w:cs="Calibri"/>
              </w:rPr>
              <w:t>Electricity High CI</w:t>
            </w:r>
          </w:p>
        </w:tc>
        <w:tc>
          <w:tcPr>
            <w:tcW w:w="1440" w:type="dxa"/>
            <w:vAlign w:val="center"/>
          </w:tcPr>
          <w:p w14:paraId="20103E80" w14:textId="4F5CF7EE" w:rsidR="00790FB9" w:rsidRPr="00D35BAF" w:rsidRDefault="00790FB9">
            <w:pPr>
              <w:pStyle w:val="Tabletext"/>
              <w:jc w:val="center"/>
              <w:rPr>
                <w:rFonts w:cs="Calibri"/>
              </w:rPr>
            </w:pPr>
            <w:r w:rsidRPr="7ACA0E52">
              <w:rPr>
                <w:rFonts w:cs="Calibri"/>
              </w:rPr>
              <w:t>$</w:t>
            </w:r>
            <w:r w:rsidR="001B0FBC">
              <w:rPr>
                <w:rFonts w:cs="Calibri"/>
              </w:rPr>
              <w:t>193</w:t>
            </w:r>
            <w:r w:rsidR="001B0FBC" w:rsidRPr="7ACA0E52">
              <w:rPr>
                <w:rFonts w:cs="Calibri"/>
              </w:rPr>
              <w:t xml:space="preserve"> </w:t>
            </w:r>
            <w:r w:rsidRPr="7ACA0E52">
              <w:rPr>
                <w:rFonts w:cs="Calibri"/>
              </w:rPr>
              <w:t>(+</w:t>
            </w:r>
            <w:r>
              <w:rPr>
                <w:rFonts w:cs="Calibri"/>
              </w:rPr>
              <w:t>3</w:t>
            </w:r>
            <w:r w:rsidRPr="7ACA0E52">
              <w:rPr>
                <w:rFonts w:cs="Calibri"/>
              </w:rPr>
              <w:t>%)</w:t>
            </w:r>
          </w:p>
        </w:tc>
        <w:tc>
          <w:tcPr>
            <w:tcW w:w="1440" w:type="dxa"/>
            <w:vAlign w:val="center"/>
          </w:tcPr>
          <w:p w14:paraId="2A3A705F" w14:textId="57AFB39A" w:rsidR="00790FB9" w:rsidRPr="00D35BAF" w:rsidRDefault="00790FB9">
            <w:pPr>
              <w:pStyle w:val="Tabletext"/>
              <w:jc w:val="center"/>
              <w:rPr>
                <w:rFonts w:cs="Calibri"/>
              </w:rPr>
            </w:pPr>
            <w:r w:rsidRPr="7ACA0E52">
              <w:rPr>
                <w:rFonts w:cs="Calibri"/>
              </w:rPr>
              <w:t>$</w:t>
            </w:r>
            <w:r w:rsidR="001A66DA">
              <w:rPr>
                <w:rFonts w:cs="Calibri"/>
              </w:rPr>
              <w:t>176</w:t>
            </w:r>
            <w:r w:rsidR="001A66DA" w:rsidRPr="7ACA0E52">
              <w:rPr>
                <w:rFonts w:cs="Calibri"/>
              </w:rPr>
              <w:t xml:space="preserve"> </w:t>
            </w:r>
            <w:r w:rsidRPr="7ACA0E52">
              <w:rPr>
                <w:rFonts w:cs="Calibri"/>
              </w:rPr>
              <w:t>(+</w:t>
            </w:r>
            <w:r>
              <w:rPr>
                <w:rFonts w:cs="Calibri"/>
              </w:rPr>
              <w:t>2</w:t>
            </w:r>
            <w:r w:rsidRPr="7ACA0E52">
              <w:rPr>
                <w:rFonts w:cs="Calibri"/>
              </w:rPr>
              <w:t>%)</w:t>
            </w:r>
          </w:p>
        </w:tc>
        <w:tc>
          <w:tcPr>
            <w:tcW w:w="1440" w:type="dxa"/>
            <w:vAlign w:val="center"/>
          </w:tcPr>
          <w:p w14:paraId="1EF5A503" w14:textId="0E866682" w:rsidR="00790FB9" w:rsidRPr="00D35BAF" w:rsidRDefault="00790FB9">
            <w:pPr>
              <w:pStyle w:val="Tabletext"/>
              <w:jc w:val="center"/>
              <w:rPr>
                <w:rFonts w:cs="Calibri"/>
              </w:rPr>
            </w:pPr>
            <w:r w:rsidRPr="7ACA0E52">
              <w:rPr>
                <w:rFonts w:cs="Calibri"/>
              </w:rPr>
              <w:t>$</w:t>
            </w:r>
            <w:r w:rsidR="001A66DA">
              <w:rPr>
                <w:rFonts w:cs="Calibri"/>
              </w:rPr>
              <w:t>190</w:t>
            </w:r>
            <w:r w:rsidR="001A66DA" w:rsidRPr="7ACA0E52">
              <w:rPr>
                <w:rFonts w:cs="Calibri"/>
              </w:rPr>
              <w:t xml:space="preserve"> </w:t>
            </w:r>
            <w:r w:rsidRPr="7ACA0E52">
              <w:rPr>
                <w:rFonts w:cs="Calibri"/>
              </w:rPr>
              <w:t>(+</w:t>
            </w:r>
            <w:r>
              <w:rPr>
                <w:rFonts w:cs="Calibri"/>
              </w:rPr>
              <w:t>3</w:t>
            </w:r>
            <w:r w:rsidRPr="7ACA0E52">
              <w:rPr>
                <w:rFonts w:cs="Calibri"/>
              </w:rPr>
              <w:t>%)</w:t>
            </w:r>
          </w:p>
        </w:tc>
        <w:tc>
          <w:tcPr>
            <w:tcW w:w="1868" w:type="dxa"/>
            <w:vAlign w:val="center"/>
          </w:tcPr>
          <w:p w14:paraId="50C815EB" w14:textId="77777777" w:rsidR="00790FB9" w:rsidRPr="00D35BAF" w:rsidRDefault="00790FB9">
            <w:pPr>
              <w:pStyle w:val="Tabletext"/>
              <w:jc w:val="center"/>
              <w:rPr>
                <w:rFonts w:cs="Calibri"/>
              </w:rPr>
            </w:pPr>
            <w:r w:rsidRPr="7ACA0E52">
              <w:rPr>
                <w:rFonts w:cs="Calibri"/>
              </w:rPr>
              <w:t>n.a.</w:t>
            </w:r>
          </w:p>
        </w:tc>
      </w:tr>
      <w:tr w:rsidR="00790FB9" w:rsidRPr="00147F98" w14:paraId="4E5F9F66" w14:textId="77777777">
        <w:tc>
          <w:tcPr>
            <w:tcW w:w="2304" w:type="dxa"/>
          </w:tcPr>
          <w:p w14:paraId="6C770120" w14:textId="77777777" w:rsidR="00790FB9" w:rsidRPr="7ACA0E52" w:rsidRDefault="00790FB9">
            <w:pPr>
              <w:pStyle w:val="Tabletext"/>
              <w:rPr>
                <w:rFonts w:cs="Calibri"/>
              </w:rPr>
            </w:pPr>
            <w:r>
              <w:rPr>
                <w:rFonts w:cs="Calibri"/>
              </w:rPr>
              <w:t>Electricity Projected CI</w:t>
            </w:r>
          </w:p>
        </w:tc>
        <w:tc>
          <w:tcPr>
            <w:tcW w:w="1440" w:type="dxa"/>
            <w:vAlign w:val="center"/>
          </w:tcPr>
          <w:p w14:paraId="2C7314F9" w14:textId="21F87029" w:rsidR="00790FB9" w:rsidRPr="002B0B4B" w:rsidRDefault="00790FB9">
            <w:pPr>
              <w:pStyle w:val="Tabletext"/>
              <w:jc w:val="center"/>
              <w:rPr>
                <w:rFonts w:cs="Calibri"/>
              </w:rPr>
            </w:pPr>
            <w:r w:rsidRPr="002B0B4B">
              <w:rPr>
                <w:rFonts w:cs="Calibri"/>
              </w:rPr>
              <w:t>$</w:t>
            </w:r>
            <w:r w:rsidR="00F23761" w:rsidRPr="002B0B4B">
              <w:rPr>
                <w:rFonts w:cs="Calibri"/>
              </w:rPr>
              <w:t>1</w:t>
            </w:r>
            <w:r w:rsidR="00F23761">
              <w:rPr>
                <w:rFonts w:cs="Calibri"/>
              </w:rPr>
              <w:t>85</w:t>
            </w:r>
            <w:r w:rsidR="00F23761" w:rsidRPr="002B0B4B">
              <w:rPr>
                <w:rFonts w:cs="Calibri"/>
              </w:rPr>
              <w:t xml:space="preserve"> </w:t>
            </w:r>
            <w:r w:rsidRPr="002B0B4B">
              <w:rPr>
                <w:rFonts w:cs="Calibri"/>
              </w:rPr>
              <w:t>(-</w:t>
            </w:r>
            <w:r w:rsidR="00F23761" w:rsidRPr="28A7155D">
              <w:rPr>
                <w:rFonts w:cs="Calibri"/>
              </w:rPr>
              <w:t>1</w:t>
            </w:r>
            <w:r w:rsidRPr="002B0B4B">
              <w:rPr>
                <w:rFonts w:cs="Calibri"/>
              </w:rPr>
              <w:t>%)</w:t>
            </w:r>
          </w:p>
        </w:tc>
        <w:tc>
          <w:tcPr>
            <w:tcW w:w="1440" w:type="dxa"/>
            <w:vAlign w:val="center"/>
          </w:tcPr>
          <w:p w14:paraId="55F8611C" w14:textId="0D739A55" w:rsidR="00790FB9" w:rsidRPr="002B0B4B" w:rsidRDefault="00790FB9">
            <w:pPr>
              <w:pStyle w:val="Tabletext"/>
              <w:jc w:val="center"/>
              <w:rPr>
                <w:rFonts w:cs="Calibri"/>
              </w:rPr>
            </w:pPr>
            <w:r w:rsidRPr="002B0B4B">
              <w:rPr>
                <w:rFonts w:cs="Calibri"/>
              </w:rPr>
              <w:t>$</w:t>
            </w:r>
            <w:r w:rsidR="00F23761">
              <w:rPr>
                <w:rFonts w:cs="Calibri"/>
              </w:rPr>
              <w:t>171</w:t>
            </w:r>
            <w:r w:rsidR="00F23761" w:rsidRPr="002B0B4B">
              <w:rPr>
                <w:rFonts w:cs="Calibri"/>
              </w:rPr>
              <w:t xml:space="preserve"> </w:t>
            </w:r>
            <w:r w:rsidRPr="002B0B4B">
              <w:rPr>
                <w:rFonts w:cs="Calibri"/>
              </w:rPr>
              <w:t>(-</w:t>
            </w:r>
            <w:r w:rsidR="00F23761" w:rsidRPr="28A7155D">
              <w:rPr>
                <w:rFonts w:cs="Calibri"/>
              </w:rPr>
              <w:t>0</w:t>
            </w:r>
            <w:r w:rsidR="00F23761">
              <w:rPr>
                <w:rFonts w:cs="Calibri"/>
              </w:rPr>
              <w:t>.5</w:t>
            </w:r>
            <w:r w:rsidRPr="002B0B4B">
              <w:rPr>
                <w:rFonts w:cs="Calibri"/>
              </w:rPr>
              <w:t>%)</w:t>
            </w:r>
          </w:p>
        </w:tc>
        <w:tc>
          <w:tcPr>
            <w:tcW w:w="1440" w:type="dxa"/>
            <w:vAlign w:val="center"/>
          </w:tcPr>
          <w:p w14:paraId="34B2420B" w14:textId="65362AB1" w:rsidR="00790FB9" w:rsidRPr="002B0B4B" w:rsidRDefault="00790FB9">
            <w:pPr>
              <w:pStyle w:val="Tabletext"/>
              <w:jc w:val="center"/>
              <w:rPr>
                <w:rFonts w:cs="Calibri"/>
              </w:rPr>
            </w:pPr>
            <w:r w:rsidRPr="002B0B4B">
              <w:rPr>
                <w:rFonts w:cs="Calibri"/>
              </w:rPr>
              <w:t>$</w:t>
            </w:r>
            <w:r w:rsidR="00820CC8">
              <w:rPr>
                <w:rFonts w:cs="Calibri"/>
              </w:rPr>
              <w:t>182</w:t>
            </w:r>
            <w:r w:rsidR="00820CC8" w:rsidRPr="002B0B4B">
              <w:rPr>
                <w:rFonts w:cs="Calibri"/>
              </w:rPr>
              <w:t xml:space="preserve"> </w:t>
            </w:r>
            <w:r w:rsidRPr="002B0B4B">
              <w:rPr>
                <w:rFonts w:cs="Calibri"/>
              </w:rPr>
              <w:t>(-2%)</w:t>
            </w:r>
          </w:p>
        </w:tc>
        <w:tc>
          <w:tcPr>
            <w:tcW w:w="1868" w:type="dxa"/>
            <w:vAlign w:val="center"/>
          </w:tcPr>
          <w:p w14:paraId="359C75CA" w14:textId="77777777" w:rsidR="00790FB9" w:rsidRPr="002B0B4B" w:rsidRDefault="00790FB9">
            <w:pPr>
              <w:pStyle w:val="Tabletext"/>
              <w:jc w:val="center"/>
              <w:rPr>
                <w:rFonts w:cs="Calibri"/>
              </w:rPr>
            </w:pPr>
            <w:r w:rsidRPr="002B0B4B">
              <w:rPr>
                <w:rFonts w:cs="Calibri"/>
              </w:rPr>
              <w:t>n.a.</w:t>
            </w:r>
          </w:p>
        </w:tc>
      </w:tr>
      <w:tr w:rsidR="00790FB9" w:rsidRPr="00147F98" w14:paraId="6510BC1C" w14:textId="77777777">
        <w:tc>
          <w:tcPr>
            <w:tcW w:w="2304" w:type="dxa"/>
          </w:tcPr>
          <w:p w14:paraId="4572DDCD" w14:textId="77777777" w:rsidR="00790FB9" w:rsidRPr="00D35BAF" w:rsidRDefault="00790FB9">
            <w:pPr>
              <w:pStyle w:val="Tabletext"/>
              <w:rPr>
                <w:rFonts w:cs="Calibri"/>
              </w:rPr>
            </w:pPr>
            <w:r w:rsidRPr="7ACA0E52">
              <w:rPr>
                <w:rFonts w:cs="Calibri"/>
              </w:rPr>
              <w:t>Hydrogen Low CI</w:t>
            </w:r>
          </w:p>
        </w:tc>
        <w:tc>
          <w:tcPr>
            <w:tcW w:w="1440" w:type="dxa"/>
            <w:vAlign w:val="center"/>
          </w:tcPr>
          <w:p w14:paraId="62B3E1D4" w14:textId="56FBF0BF" w:rsidR="00790FB9" w:rsidRPr="00D35BAF" w:rsidRDefault="00790FB9">
            <w:pPr>
              <w:pStyle w:val="Tabletext"/>
              <w:jc w:val="center"/>
              <w:rPr>
                <w:rFonts w:cs="Calibri"/>
              </w:rPr>
            </w:pPr>
            <w:r w:rsidRPr="002B0B4B">
              <w:rPr>
                <w:rFonts w:cs="Calibri"/>
              </w:rPr>
              <w:t>$</w:t>
            </w:r>
            <w:r w:rsidR="00820CC8">
              <w:rPr>
                <w:rFonts w:cs="Calibri"/>
              </w:rPr>
              <w:t>187</w:t>
            </w:r>
            <w:r w:rsidR="00820CC8" w:rsidRPr="002B0B4B">
              <w:rPr>
                <w:rFonts w:cs="Calibri"/>
              </w:rPr>
              <w:t xml:space="preserve"> </w:t>
            </w:r>
            <w:r w:rsidRPr="002B0B4B">
              <w:rPr>
                <w:rFonts w:cs="Calibri"/>
              </w:rPr>
              <w:t>(-0.3%)</w:t>
            </w:r>
          </w:p>
        </w:tc>
        <w:tc>
          <w:tcPr>
            <w:tcW w:w="1440" w:type="dxa"/>
            <w:vAlign w:val="center"/>
          </w:tcPr>
          <w:p w14:paraId="29EB727C" w14:textId="77777777" w:rsidR="00790FB9" w:rsidRPr="00D35BAF" w:rsidRDefault="00790FB9">
            <w:pPr>
              <w:pStyle w:val="Tabletext"/>
              <w:jc w:val="center"/>
              <w:rPr>
                <w:rFonts w:cs="Calibri"/>
              </w:rPr>
            </w:pPr>
            <w:r w:rsidRPr="7ACA0E52">
              <w:rPr>
                <w:rFonts w:cs="Calibri"/>
              </w:rPr>
              <w:t>n.a.</w:t>
            </w:r>
          </w:p>
        </w:tc>
        <w:tc>
          <w:tcPr>
            <w:tcW w:w="1440" w:type="dxa"/>
            <w:vAlign w:val="center"/>
          </w:tcPr>
          <w:p w14:paraId="4893CB2C" w14:textId="77777777" w:rsidR="00790FB9" w:rsidRPr="00D35BAF" w:rsidRDefault="00790FB9">
            <w:pPr>
              <w:pStyle w:val="Tabletext"/>
              <w:jc w:val="center"/>
              <w:rPr>
                <w:rFonts w:cs="Calibri"/>
              </w:rPr>
            </w:pPr>
            <w:r w:rsidRPr="7ACA0E52">
              <w:rPr>
                <w:rFonts w:cs="Calibri"/>
              </w:rPr>
              <w:t>n.a.</w:t>
            </w:r>
          </w:p>
        </w:tc>
        <w:tc>
          <w:tcPr>
            <w:tcW w:w="1868" w:type="dxa"/>
            <w:vAlign w:val="center"/>
          </w:tcPr>
          <w:p w14:paraId="68E645CD" w14:textId="7E519838" w:rsidR="00790FB9" w:rsidRPr="00D35BAF" w:rsidRDefault="00790FB9">
            <w:pPr>
              <w:pStyle w:val="Tabletext"/>
              <w:jc w:val="center"/>
              <w:rPr>
                <w:rFonts w:cs="Calibri"/>
              </w:rPr>
            </w:pPr>
            <w:r w:rsidRPr="002B0B4B">
              <w:rPr>
                <w:rFonts w:cs="Calibri"/>
              </w:rPr>
              <w:t>$</w:t>
            </w:r>
            <w:r w:rsidR="00820CC8">
              <w:rPr>
                <w:rFonts w:cs="Calibri"/>
              </w:rPr>
              <w:t>366</w:t>
            </w:r>
            <w:r w:rsidR="00820CC8" w:rsidRPr="002B0B4B">
              <w:rPr>
                <w:rFonts w:cs="Calibri"/>
              </w:rPr>
              <w:t xml:space="preserve"> </w:t>
            </w:r>
            <w:r w:rsidRPr="002B0B4B">
              <w:rPr>
                <w:rFonts w:cs="Calibri"/>
              </w:rPr>
              <w:t>(-11%)</w:t>
            </w:r>
          </w:p>
        </w:tc>
      </w:tr>
      <w:tr w:rsidR="00790FB9" w:rsidRPr="00147F98" w14:paraId="39D1B805" w14:textId="77777777">
        <w:tc>
          <w:tcPr>
            <w:tcW w:w="2304" w:type="dxa"/>
          </w:tcPr>
          <w:p w14:paraId="4E0D7AED" w14:textId="77777777" w:rsidR="00790FB9" w:rsidRPr="00D35BAF" w:rsidRDefault="00790FB9">
            <w:pPr>
              <w:pStyle w:val="Tabletext"/>
              <w:rPr>
                <w:rFonts w:cs="Calibri"/>
              </w:rPr>
            </w:pPr>
            <w:r w:rsidRPr="295DA1E6">
              <w:rPr>
                <w:rFonts w:cs="Calibri"/>
              </w:rPr>
              <w:t>Hydrogen High CI</w:t>
            </w:r>
          </w:p>
        </w:tc>
        <w:tc>
          <w:tcPr>
            <w:tcW w:w="1440" w:type="dxa"/>
            <w:vAlign w:val="center"/>
          </w:tcPr>
          <w:p w14:paraId="7631C07E" w14:textId="5E14C624" w:rsidR="00790FB9" w:rsidRPr="00D35BAF" w:rsidRDefault="00790FB9">
            <w:pPr>
              <w:pStyle w:val="Tabletext"/>
              <w:jc w:val="center"/>
              <w:rPr>
                <w:rFonts w:cs="Calibri"/>
              </w:rPr>
            </w:pPr>
            <w:r w:rsidRPr="002B0B4B">
              <w:rPr>
                <w:rFonts w:cs="Calibri"/>
              </w:rPr>
              <w:t>$</w:t>
            </w:r>
            <w:r w:rsidR="00820CC8">
              <w:rPr>
                <w:rFonts w:cs="Calibri"/>
              </w:rPr>
              <w:t>188</w:t>
            </w:r>
            <w:r w:rsidR="00820CC8" w:rsidRPr="002B0B4B">
              <w:rPr>
                <w:rFonts w:cs="Calibri"/>
              </w:rPr>
              <w:t xml:space="preserve"> </w:t>
            </w:r>
            <w:r w:rsidRPr="002B0B4B">
              <w:rPr>
                <w:rFonts w:cs="Calibri"/>
              </w:rPr>
              <w:t>(+0.3%)</w:t>
            </w:r>
          </w:p>
        </w:tc>
        <w:tc>
          <w:tcPr>
            <w:tcW w:w="1440" w:type="dxa"/>
            <w:vAlign w:val="center"/>
          </w:tcPr>
          <w:p w14:paraId="6DB29F47" w14:textId="77777777" w:rsidR="00790FB9" w:rsidRPr="00D35BAF" w:rsidRDefault="00790FB9">
            <w:pPr>
              <w:pStyle w:val="Tabletext"/>
              <w:jc w:val="center"/>
              <w:rPr>
                <w:rFonts w:cs="Calibri"/>
              </w:rPr>
            </w:pPr>
            <w:r w:rsidRPr="7ACA0E52">
              <w:rPr>
                <w:rFonts w:cs="Calibri"/>
              </w:rPr>
              <w:t>n.a.</w:t>
            </w:r>
          </w:p>
        </w:tc>
        <w:tc>
          <w:tcPr>
            <w:tcW w:w="1440" w:type="dxa"/>
            <w:vAlign w:val="center"/>
          </w:tcPr>
          <w:p w14:paraId="78954A38" w14:textId="77777777" w:rsidR="00790FB9" w:rsidRPr="00D35BAF" w:rsidRDefault="00790FB9">
            <w:pPr>
              <w:pStyle w:val="Tabletext"/>
              <w:jc w:val="center"/>
              <w:rPr>
                <w:rFonts w:cs="Calibri"/>
              </w:rPr>
            </w:pPr>
            <w:r w:rsidRPr="7ACA0E52">
              <w:rPr>
                <w:rFonts w:cs="Calibri"/>
              </w:rPr>
              <w:t>n.a.</w:t>
            </w:r>
          </w:p>
        </w:tc>
        <w:tc>
          <w:tcPr>
            <w:tcW w:w="1868" w:type="dxa"/>
            <w:vAlign w:val="center"/>
          </w:tcPr>
          <w:p w14:paraId="124D480C" w14:textId="4B754484" w:rsidR="00790FB9" w:rsidRPr="00D35BAF" w:rsidRDefault="00790FB9">
            <w:pPr>
              <w:pStyle w:val="Tabletext"/>
              <w:jc w:val="center"/>
              <w:rPr>
                <w:rFonts w:cs="Calibri"/>
              </w:rPr>
            </w:pPr>
            <w:r w:rsidRPr="002B0B4B">
              <w:rPr>
                <w:rFonts w:cs="Calibri"/>
              </w:rPr>
              <w:t>$</w:t>
            </w:r>
            <w:r w:rsidR="006F0E3B">
              <w:rPr>
                <w:rFonts w:cs="Calibri"/>
              </w:rPr>
              <w:t>465</w:t>
            </w:r>
            <w:r w:rsidR="006F0E3B" w:rsidRPr="002B0B4B">
              <w:rPr>
                <w:rFonts w:cs="Calibri"/>
              </w:rPr>
              <w:t xml:space="preserve"> </w:t>
            </w:r>
            <w:r w:rsidRPr="002B0B4B">
              <w:rPr>
                <w:rFonts w:cs="Calibri"/>
              </w:rPr>
              <w:t>(+</w:t>
            </w:r>
            <w:r w:rsidR="006F0E3B" w:rsidRPr="28A7155D">
              <w:rPr>
                <w:rFonts w:cs="Calibri"/>
              </w:rPr>
              <w:t>13</w:t>
            </w:r>
            <w:r w:rsidRPr="002B0B4B">
              <w:rPr>
                <w:rFonts w:cs="Calibri"/>
              </w:rPr>
              <w:t>%)</w:t>
            </w:r>
          </w:p>
        </w:tc>
      </w:tr>
      <w:tr w:rsidR="00790FB9" w:rsidRPr="00147F98" w14:paraId="3D5A6D82" w14:textId="77777777">
        <w:tc>
          <w:tcPr>
            <w:tcW w:w="2304" w:type="dxa"/>
          </w:tcPr>
          <w:p w14:paraId="3D8D727B" w14:textId="77777777" w:rsidR="00790FB9" w:rsidRPr="295DA1E6" w:rsidRDefault="00790FB9">
            <w:pPr>
              <w:pStyle w:val="Tabletext"/>
              <w:rPr>
                <w:rFonts w:cs="Calibri"/>
              </w:rPr>
            </w:pPr>
            <w:r>
              <w:rPr>
                <w:rFonts w:cs="Calibri"/>
              </w:rPr>
              <w:t>Hydrogen Time-Variant CI</w:t>
            </w:r>
          </w:p>
        </w:tc>
        <w:tc>
          <w:tcPr>
            <w:tcW w:w="1440" w:type="dxa"/>
            <w:vAlign w:val="center"/>
          </w:tcPr>
          <w:p w14:paraId="766DAA47" w14:textId="65F0A3C3" w:rsidR="00790FB9" w:rsidRPr="002B0B4B" w:rsidRDefault="00790FB9">
            <w:pPr>
              <w:pStyle w:val="Tabletext"/>
              <w:jc w:val="center"/>
              <w:rPr>
                <w:rFonts w:cs="Calibri"/>
              </w:rPr>
            </w:pPr>
            <w:r w:rsidRPr="002B0B4B">
              <w:rPr>
                <w:rFonts w:cs="Calibri"/>
              </w:rPr>
              <w:t>$</w:t>
            </w:r>
            <w:r w:rsidR="006F0E3B">
              <w:rPr>
                <w:rFonts w:cs="Calibri"/>
              </w:rPr>
              <w:t>185</w:t>
            </w:r>
            <w:r w:rsidR="006F0E3B" w:rsidRPr="002B0B4B">
              <w:rPr>
                <w:rFonts w:cs="Calibri"/>
              </w:rPr>
              <w:t xml:space="preserve"> </w:t>
            </w:r>
            <w:r w:rsidRPr="002B0B4B">
              <w:rPr>
                <w:rFonts w:cs="Calibri"/>
              </w:rPr>
              <w:t>(-1%)</w:t>
            </w:r>
          </w:p>
        </w:tc>
        <w:tc>
          <w:tcPr>
            <w:tcW w:w="1440" w:type="dxa"/>
            <w:vAlign w:val="center"/>
          </w:tcPr>
          <w:p w14:paraId="682A5E93" w14:textId="77777777" w:rsidR="00790FB9" w:rsidRPr="002B0B4B" w:rsidRDefault="00790FB9">
            <w:pPr>
              <w:pStyle w:val="Tabletext"/>
              <w:jc w:val="center"/>
              <w:rPr>
                <w:rFonts w:cs="Calibri"/>
              </w:rPr>
            </w:pPr>
            <w:r w:rsidRPr="002B0B4B">
              <w:rPr>
                <w:rFonts w:cs="Calibri"/>
              </w:rPr>
              <w:t>n.a.</w:t>
            </w:r>
          </w:p>
        </w:tc>
        <w:tc>
          <w:tcPr>
            <w:tcW w:w="1440" w:type="dxa"/>
            <w:vAlign w:val="center"/>
          </w:tcPr>
          <w:p w14:paraId="3C7B261D" w14:textId="77777777" w:rsidR="00790FB9" w:rsidRPr="002B0B4B" w:rsidRDefault="00790FB9">
            <w:pPr>
              <w:pStyle w:val="Tabletext"/>
              <w:jc w:val="center"/>
              <w:rPr>
                <w:rFonts w:cs="Calibri"/>
              </w:rPr>
            </w:pPr>
            <w:r w:rsidRPr="002B0B4B">
              <w:rPr>
                <w:rFonts w:cs="Calibri"/>
              </w:rPr>
              <w:t>n.a.</w:t>
            </w:r>
          </w:p>
        </w:tc>
        <w:tc>
          <w:tcPr>
            <w:tcW w:w="1868" w:type="dxa"/>
            <w:vAlign w:val="center"/>
          </w:tcPr>
          <w:p w14:paraId="5B71F1E9" w14:textId="6A494F01" w:rsidR="00790FB9" w:rsidRPr="002B0B4B" w:rsidRDefault="00790FB9">
            <w:pPr>
              <w:pStyle w:val="Tabletext"/>
              <w:jc w:val="center"/>
              <w:rPr>
                <w:rFonts w:cs="Calibri"/>
              </w:rPr>
            </w:pPr>
            <w:r w:rsidRPr="002B0B4B">
              <w:rPr>
                <w:rFonts w:cs="Calibri"/>
              </w:rPr>
              <w:t>$</w:t>
            </w:r>
            <w:r w:rsidR="006F0E3B">
              <w:rPr>
                <w:rFonts w:cs="Calibri"/>
              </w:rPr>
              <w:t>268</w:t>
            </w:r>
            <w:r w:rsidR="006F0E3B" w:rsidRPr="002B0B4B">
              <w:rPr>
                <w:rFonts w:cs="Calibri"/>
              </w:rPr>
              <w:t xml:space="preserve"> </w:t>
            </w:r>
            <w:r w:rsidRPr="002B0B4B">
              <w:rPr>
                <w:rFonts w:cs="Calibri"/>
              </w:rPr>
              <w:t>(-</w:t>
            </w:r>
            <w:r w:rsidR="006F0E3B" w:rsidRPr="28A7155D">
              <w:rPr>
                <w:rFonts w:cs="Calibri"/>
              </w:rPr>
              <w:t>35</w:t>
            </w:r>
            <w:r w:rsidRPr="002B0B4B">
              <w:rPr>
                <w:rFonts w:cs="Calibri"/>
              </w:rPr>
              <w:t>%)</w:t>
            </w:r>
          </w:p>
        </w:tc>
      </w:tr>
    </w:tbl>
    <w:p w14:paraId="6DB4EBB8" w14:textId="5142C5CB" w:rsidR="00F84307" w:rsidRPr="003A15C4" w:rsidRDefault="00B309AF" w:rsidP="00F84307">
      <w:pPr>
        <w:pStyle w:val="Heading3"/>
        <w:rPr>
          <w:rFonts w:eastAsia="Arial Unicode MS" w:cs="Arial Unicode MS"/>
        </w:rPr>
      </w:pPr>
      <w:bookmarkStart w:id="69" w:name="_Toc227069804"/>
      <w:r>
        <w:rPr>
          <w:rFonts w:eastAsia="Arial Unicode MS" w:cs="Arial Unicode MS"/>
        </w:rPr>
        <w:t xml:space="preserve">Electric </w:t>
      </w:r>
      <w:r w:rsidR="00F84307">
        <w:rPr>
          <w:rFonts w:eastAsia="Arial Unicode MS" w:cs="Arial Unicode MS"/>
        </w:rPr>
        <w:t>Utility</w:t>
      </w:r>
      <w:r>
        <w:rPr>
          <w:rFonts w:eastAsia="Arial Unicode MS" w:cs="Arial Unicode MS"/>
        </w:rPr>
        <w:t xml:space="preserve"> Carbon Intensity</w:t>
      </w:r>
      <w:bookmarkEnd w:id="69"/>
    </w:p>
    <w:p w14:paraId="70260711" w14:textId="3196DFE3" w:rsidR="008507EA" w:rsidRDefault="0081023B" w:rsidP="00554C37">
      <w:r>
        <w:t xml:space="preserve">Since program participants are unevenly dispersed across </w:t>
      </w:r>
      <w:r w:rsidR="006F4A5A">
        <w:t xml:space="preserve">California’s many electric </w:t>
      </w:r>
      <w:r>
        <w:t>utility territories, t</w:t>
      </w:r>
      <w:r w:rsidR="002E6CAD">
        <w:t>he sensitivity of using statewide average electric</w:t>
      </w:r>
      <w:r>
        <w:t>ity</w:t>
      </w:r>
      <w:r w:rsidR="002E6CAD">
        <w:t xml:space="preserve"> CI values is tested </w:t>
      </w:r>
      <w:r w:rsidR="0086452D">
        <w:t xml:space="preserve">to assess the potential impact of </w:t>
      </w:r>
      <w:r w:rsidR="006205AE">
        <w:t>differen</w:t>
      </w:r>
      <w:r w:rsidR="0086452D">
        <w:t>ces in</w:t>
      </w:r>
      <w:r w:rsidR="006205AE">
        <w:t xml:space="preserve"> </w:t>
      </w:r>
      <w:r w:rsidR="008E164A">
        <w:t>electric utilit</w:t>
      </w:r>
      <w:r w:rsidR="00A81999">
        <w:t>y</w:t>
      </w:r>
      <w:r w:rsidR="008E164A">
        <w:t xml:space="preserve"> CI</w:t>
      </w:r>
      <w:r w:rsidR="00FD7668">
        <w:t xml:space="preserve">. </w:t>
      </w:r>
      <w:r w:rsidR="00C4253F">
        <w:t xml:space="preserve">Case-specific </w:t>
      </w:r>
      <w:r w:rsidR="00495737">
        <w:t xml:space="preserve">electric utility </w:t>
      </w:r>
      <w:r w:rsidR="00632F4A">
        <w:t xml:space="preserve">CI </w:t>
      </w:r>
      <w:r w:rsidR="003A67BB">
        <w:t>values are assigned</w:t>
      </w:r>
      <w:r w:rsidR="00AC328D">
        <w:t xml:space="preserve"> </w:t>
      </w:r>
      <w:r w:rsidR="00326EC7">
        <w:t xml:space="preserve">based on </w:t>
      </w:r>
      <w:r w:rsidR="00AF6631">
        <w:t xml:space="preserve">the </w:t>
      </w:r>
      <w:r w:rsidR="00AC328D">
        <w:t xml:space="preserve">utility </w:t>
      </w:r>
      <w:r w:rsidR="009D6729">
        <w:t xml:space="preserve">territory </w:t>
      </w:r>
      <w:r w:rsidR="0043215E">
        <w:t xml:space="preserve">that </w:t>
      </w:r>
      <w:r w:rsidR="00D47CF7">
        <w:t xml:space="preserve">applicant </w:t>
      </w:r>
      <w:r w:rsidR="00AC328D">
        <w:t>address</w:t>
      </w:r>
      <w:r w:rsidR="0043215E">
        <w:t>es</w:t>
      </w:r>
      <w:r w:rsidR="00AC328D">
        <w:t xml:space="preserve"> </w:t>
      </w:r>
      <w:r w:rsidR="00633AEE">
        <w:t xml:space="preserve">were in </w:t>
      </w:r>
      <w:r w:rsidR="007D2536">
        <w:t xml:space="preserve">at the time of </w:t>
      </w:r>
      <w:r w:rsidR="00396878">
        <w:t>application</w:t>
      </w:r>
      <w:r w:rsidR="00431BBD">
        <w:t>.</w:t>
      </w:r>
      <w:r w:rsidR="004C348B">
        <w:t xml:space="preserve"> </w:t>
      </w:r>
      <w:r w:rsidR="001C75CA">
        <w:t xml:space="preserve">Primary </w:t>
      </w:r>
      <w:r w:rsidR="002E3400">
        <w:t xml:space="preserve">CI </w:t>
      </w:r>
      <w:r w:rsidR="001C75CA">
        <w:t>values were scaled</w:t>
      </w:r>
      <w:r w:rsidR="00E37689">
        <w:t xml:space="preserve"> up or down</w:t>
      </w:r>
      <w:r w:rsidR="001C75CA">
        <w:t xml:space="preserve"> </w:t>
      </w:r>
      <w:r w:rsidR="00D15089">
        <w:t xml:space="preserve">based on the </w:t>
      </w:r>
      <w:r w:rsidR="00E426E4">
        <w:t>percentage</w:t>
      </w:r>
      <w:r w:rsidR="00D15089">
        <w:t xml:space="preserve"> difference </w:t>
      </w:r>
      <w:r w:rsidR="00370D5A">
        <w:t xml:space="preserve">of </w:t>
      </w:r>
      <w:r w:rsidR="00E076B4">
        <w:t xml:space="preserve">each utility’s </w:t>
      </w:r>
      <w:r w:rsidR="00370D5A">
        <w:t xml:space="preserve">average CI from </w:t>
      </w:r>
      <w:r w:rsidR="003F5168">
        <w:t xml:space="preserve">the </w:t>
      </w:r>
      <w:r w:rsidR="00DA34E1">
        <w:t xml:space="preserve">statewide average </w:t>
      </w:r>
      <w:r w:rsidR="003F5168">
        <w:t xml:space="preserve">CI </w:t>
      </w:r>
      <w:r w:rsidR="0051640A">
        <w:t xml:space="preserve">per </w:t>
      </w:r>
      <w:r w:rsidR="00DA34E1">
        <w:t>2023</w:t>
      </w:r>
      <w:r w:rsidR="00472E2E">
        <w:t xml:space="preserve"> </w:t>
      </w:r>
      <w:r w:rsidR="0051640A">
        <w:t xml:space="preserve">Power Content Labels </w:t>
      </w:r>
      <w:r w:rsidR="002479B8" w:rsidRPr="002479B8">
        <w:rPr>
          <w:rFonts w:cs="Calibri"/>
        </w:rPr>
        <w:t>(California Energy Commission, 2025)</w:t>
      </w:r>
      <w:r w:rsidR="00DA34E1">
        <w:t xml:space="preserve">. </w:t>
      </w:r>
      <w:r w:rsidR="00472E2E">
        <w:t>T</w:t>
      </w:r>
      <w:r w:rsidR="00D47CF7">
        <w:t>he five most common utility territories</w:t>
      </w:r>
      <w:r w:rsidR="005B7DA7">
        <w:t xml:space="preserve"> of participants</w:t>
      </w:r>
      <w:r w:rsidR="00D47CF7">
        <w:t xml:space="preserve"> </w:t>
      </w:r>
      <w:r w:rsidR="002E3400">
        <w:t xml:space="preserve">were </w:t>
      </w:r>
      <w:r w:rsidR="00472E2E">
        <w:t>used, contain</w:t>
      </w:r>
      <w:r w:rsidR="005705E0">
        <w:t>ing</w:t>
      </w:r>
      <w:r w:rsidR="00472E2E">
        <w:t xml:space="preserve"> 9</w:t>
      </w:r>
      <w:r w:rsidR="002B1F1C">
        <w:t>3</w:t>
      </w:r>
      <w:r w:rsidR="00472E2E">
        <w:t>% of</w:t>
      </w:r>
      <w:r w:rsidR="00B25216">
        <w:t xml:space="preserve"> </w:t>
      </w:r>
      <w:r w:rsidR="008616FF">
        <w:t xml:space="preserve">all </w:t>
      </w:r>
      <w:r w:rsidR="00B25216">
        <w:t>participants</w:t>
      </w:r>
      <w:r w:rsidR="000E4560">
        <w:t>.</w:t>
      </w:r>
      <w:r w:rsidR="00625372">
        <w:t xml:space="preserve"> The </w:t>
      </w:r>
      <w:r w:rsidR="007F7789">
        <w:t xml:space="preserve">primary (statewide average) CI values were used for the </w:t>
      </w:r>
      <w:r w:rsidR="00625372">
        <w:t xml:space="preserve">remaining </w:t>
      </w:r>
      <w:r w:rsidR="002B1F1C">
        <w:t>7</w:t>
      </w:r>
      <w:r w:rsidR="00625372">
        <w:t>%</w:t>
      </w:r>
      <w:r w:rsidR="007F7789">
        <w:t>.</w:t>
      </w:r>
      <w:r w:rsidR="00733AFC">
        <w:t xml:space="preserve"> </w:t>
      </w:r>
      <w:r w:rsidR="00502690">
        <w:t xml:space="preserve">This approach </w:t>
      </w:r>
      <w:r w:rsidR="005A546A">
        <w:t>d</w:t>
      </w:r>
      <w:r w:rsidR="00000E2C">
        <w:t xml:space="preserve">ecreased </w:t>
      </w:r>
      <w:r w:rsidR="00325946">
        <w:t xml:space="preserve">rebate costs per ton of </w:t>
      </w:r>
      <w:r w:rsidR="0099157C">
        <w:t>reductions</w:t>
      </w:r>
      <w:r w:rsidR="00325946">
        <w:t xml:space="preserve"> by </w:t>
      </w:r>
      <w:r w:rsidR="00000E2C">
        <w:t>5</w:t>
      </w:r>
      <w:r w:rsidR="0099157C">
        <w:t>% (to $</w:t>
      </w:r>
      <w:r w:rsidR="00FD550B">
        <w:t>179</w:t>
      </w:r>
      <w:r w:rsidR="0099157C">
        <w:t>).</w:t>
      </w:r>
    </w:p>
    <w:p w14:paraId="6EC06EA2" w14:textId="2FC861EA" w:rsidR="005E6ADA" w:rsidRPr="003A15C4" w:rsidRDefault="005E6ADA" w:rsidP="005E6ADA">
      <w:pPr>
        <w:pStyle w:val="Heading3"/>
        <w:rPr>
          <w:rFonts w:eastAsia="Arial Unicode MS" w:cs="Arial Unicode MS"/>
        </w:rPr>
      </w:pPr>
      <w:bookmarkStart w:id="70" w:name="_Toc227069805"/>
      <w:r>
        <w:rPr>
          <w:rFonts w:eastAsia="Arial Unicode MS" w:cs="Arial Unicode MS"/>
        </w:rPr>
        <w:t>Home Solar Electricity</w:t>
      </w:r>
      <w:bookmarkEnd w:id="70"/>
    </w:p>
    <w:p w14:paraId="7CC9851D" w14:textId="28119B91" w:rsidR="005E6ADA" w:rsidRDefault="005E6ADA" w:rsidP="00834CD7">
      <w:r>
        <w:rPr>
          <w:rFonts w:eastAsia="Arial Unicode MS"/>
        </w:rPr>
        <w:t xml:space="preserve">While </w:t>
      </w:r>
      <w:r w:rsidR="0002753C">
        <w:rPr>
          <w:rFonts w:eastAsia="Arial Unicode MS"/>
        </w:rPr>
        <w:t xml:space="preserve">the </w:t>
      </w:r>
      <w:r>
        <w:rPr>
          <w:rFonts w:eastAsia="Arial Unicode MS"/>
        </w:rPr>
        <w:t xml:space="preserve">EV emissions are primarily quantified using </w:t>
      </w:r>
      <w:r w:rsidRPr="00822BE4">
        <w:t>statewide average CI values for electricity</w:t>
      </w:r>
      <w:r>
        <w:t xml:space="preserve">, it is likely that many consumers have home solar power systems and can partially charge their EV from this non-emitting source. </w:t>
      </w:r>
      <w:r w:rsidR="004328C1">
        <w:t xml:space="preserve">CVRP </w:t>
      </w:r>
      <w:r>
        <w:t>Consumer Survey data are used to assess the potential impact of home solar on GHG reductions</w:t>
      </w:r>
      <w:r w:rsidR="002B1815">
        <w:t xml:space="preserve"> of PHEVs and BEVs</w:t>
      </w:r>
      <w:r w:rsidR="00601FF6">
        <w:t xml:space="preserve">. </w:t>
      </w:r>
      <w:r>
        <w:t xml:space="preserve">The Consumer Survey asked respondents if they </w:t>
      </w:r>
      <w:r w:rsidRPr="0001421E">
        <w:rPr>
          <w:rFonts w:eastAsia="Times New Roman"/>
        </w:rPr>
        <w:t xml:space="preserve">have solar </w:t>
      </w:r>
      <w:r w:rsidRPr="0001421E">
        <w:rPr>
          <w:rFonts w:eastAsia="Times New Roman"/>
        </w:rPr>
        <w:lastRenderedPageBreak/>
        <w:t xml:space="preserve">panels that produce electricity at </w:t>
      </w:r>
      <w:r>
        <w:rPr>
          <w:rFonts w:eastAsia="Times New Roman"/>
        </w:rPr>
        <w:t xml:space="preserve">their </w:t>
      </w:r>
      <w:r w:rsidRPr="0001421E">
        <w:rPr>
          <w:rFonts w:eastAsia="Times New Roman"/>
        </w:rPr>
        <w:t>residence</w:t>
      </w:r>
      <w:r>
        <w:rPr>
          <w:rFonts w:eastAsia="Times New Roman"/>
        </w:rPr>
        <w:t>.</w:t>
      </w:r>
      <w:r w:rsidRPr="001E5E83">
        <w:rPr>
          <w:rStyle w:val="FootnoteReference"/>
        </w:rPr>
        <w:footnoteReference w:id="28"/>
      </w:r>
      <w:r>
        <w:t xml:space="preserve"> Approximately </w:t>
      </w:r>
      <w:r w:rsidR="00E960C8" w:rsidRPr="00CA4051">
        <w:t>2</w:t>
      </w:r>
      <w:r w:rsidR="00CA4051" w:rsidRPr="00CA4051">
        <w:t>7</w:t>
      </w:r>
      <w:proofErr w:type="gramStart"/>
      <w:r w:rsidRPr="00CA4051">
        <w:t>%</w:t>
      </w:r>
      <w:r>
        <w:t xml:space="preserve"> </w:t>
      </w:r>
      <w:r w:rsidR="00A4143F">
        <w:t>overall</w:t>
      </w:r>
      <w:proofErr w:type="gramEnd"/>
      <w:r w:rsidR="00A4143F">
        <w:t xml:space="preserve"> </w:t>
      </w:r>
      <w:r>
        <w:t>responded that they did</w:t>
      </w:r>
      <w:r w:rsidR="005C562B">
        <w:t xml:space="preserve"> and</w:t>
      </w:r>
      <w:r w:rsidR="00BC360E">
        <w:t xml:space="preserve"> another</w:t>
      </w:r>
      <w:r w:rsidR="005C562B">
        <w:t xml:space="preserve"> </w:t>
      </w:r>
      <w:r w:rsidR="0084596E">
        <w:t xml:space="preserve">16% did not but </w:t>
      </w:r>
      <w:r w:rsidR="00CD1DC5">
        <w:t>were planning</w:t>
      </w:r>
      <w:r w:rsidR="0084596E">
        <w:t xml:space="preserve"> to</w:t>
      </w:r>
      <w:r w:rsidR="00CD1DC5">
        <w:t xml:space="preserve"> install them</w:t>
      </w:r>
      <w:r>
        <w:t>. Following</w:t>
      </w:r>
      <w:r w:rsidR="0036750E">
        <w:t xml:space="preserve"> </w:t>
      </w:r>
      <w:r w:rsidR="0036750E" w:rsidRPr="0036750E">
        <w:rPr>
          <w:rFonts w:cs="Calibri"/>
        </w:rPr>
        <w:t>(Coffman et al., 2017)</w:t>
      </w:r>
      <w:r>
        <w:t>, we assume that weekend charging can occur during the day when solar electricity is available. As such, 2/7ths of VMT</w:t>
      </w:r>
      <w:r w:rsidR="0021607A">
        <w:t xml:space="preserve"> for BEVs </w:t>
      </w:r>
      <w:r w:rsidR="000A3851">
        <w:t xml:space="preserve">and ~1/7th of VMT for PHEVs </w:t>
      </w:r>
      <w:r w:rsidR="00F748A3">
        <w:t>are</w:t>
      </w:r>
      <w:r>
        <w:t xml:space="preserve"> attributed to this non-emitting source.</w:t>
      </w:r>
      <w:r w:rsidR="00CD0B1F" w:rsidRPr="001E5E83">
        <w:rPr>
          <w:rStyle w:val="FootnoteReference"/>
        </w:rPr>
        <w:footnoteReference w:id="29"/>
      </w:r>
      <w:r>
        <w:t xml:space="preserve"> </w:t>
      </w:r>
    </w:p>
    <w:p w14:paraId="35F50BC8" w14:textId="10CA456F" w:rsidR="00DC7422" w:rsidRPr="005E6ADA" w:rsidRDefault="004D3EA0" w:rsidP="00834CD7">
      <w:pPr>
        <w:rPr>
          <w:rStyle w:val="Bold"/>
          <w:rFonts w:eastAsia="SimSun"/>
        </w:rPr>
      </w:pPr>
      <w:r w:rsidRPr="00B32AC3">
        <w:t xml:space="preserve">Using these </w:t>
      </w:r>
      <w:r w:rsidR="00980DAB" w:rsidRPr="00B32AC3">
        <w:t xml:space="preserve">solar assumptions </w:t>
      </w:r>
      <w:r w:rsidR="009856C4" w:rsidRPr="00B32AC3">
        <w:t xml:space="preserve">for known solar </w:t>
      </w:r>
      <w:r w:rsidR="00C0429E" w:rsidRPr="00B32AC3">
        <w:t>owners</w:t>
      </w:r>
      <w:r w:rsidR="00421F3D" w:rsidRPr="00B32AC3">
        <w:t xml:space="preserve"> </w:t>
      </w:r>
      <w:r w:rsidR="00745887">
        <w:t>(27%</w:t>
      </w:r>
      <w:r w:rsidR="005C562B">
        <w:t xml:space="preserve"> of respondents</w:t>
      </w:r>
      <w:r w:rsidR="00745887">
        <w:t xml:space="preserve">) </w:t>
      </w:r>
      <w:r w:rsidR="00421F3D" w:rsidRPr="00B32AC3">
        <w:t>rebated for a BEV or PHEV</w:t>
      </w:r>
      <w:r w:rsidR="00C0429E" w:rsidRPr="00B32AC3">
        <w:t xml:space="preserve"> </w:t>
      </w:r>
      <w:r w:rsidRPr="00B32AC3">
        <w:t xml:space="preserve">reduces </w:t>
      </w:r>
      <w:r w:rsidR="0052307E">
        <w:t xml:space="preserve">their </w:t>
      </w:r>
      <w:r w:rsidRPr="00B32AC3">
        <w:t xml:space="preserve">costs per ton of reductions </w:t>
      </w:r>
      <w:r w:rsidR="008C13DC" w:rsidRPr="00B32AC3">
        <w:t xml:space="preserve">by </w:t>
      </w:r>
      <w:r w:rsidR="00E9370B">
        <w:t>7</w:t>
      </w:r>
      <w:r w:rsidR="008C13DC" w:rsidRPr="00B32AC3">
        <w:t>%</w:t>
      </w:r>
      <w:r w:rsidRPr="00B32AC3">
        <w:t>.</w:t>
      </w:r>
      <w:r w:rsidR="008C13DC">
        <w:t xml:space="preserve"> </w:t>
      </w:r>
      <w:r w:rsidR="00DF0F7A">
        <w:t xml:space="preserve">To illustrate the potential for additional savings that may be realized through solar EV charging, </w:t>
      </w:r>
      <w:r w:rsidR="003C40F4">
        <w:t>this result can be roughly extrapolated to the full program. I</w:t>
      </w:r>
      <w:r w:rsidR="00AC0B73">
        <w:t>f 2</w:t>
      </w:r>
      <w:r w:rsidR="001A36EE">
        <w:t>7</w:t>
      </w:r>
      <w:r w:rsidR="00AC0B73">
        <w:t xml:space="preserve">% of </w:t>
      </w:r>
      <w:r w:rsidR="00052F49">
        <w:t xml:space="preserve">all </w:t>
      </w:r>
      <w:r w:rsidR="00FF3B81">
        <w:t xml:space="preserve">BEV and PHEV rebate recipients </w:t>
      </w:r>
      <w:r w:rsidR="007A46DB">
        <w:t xml:space="preserve">were </w:t>
      </w:r>
      <w:r w:rsidR="00052F49">
        <w:t>solar</w:t>
      </w:r>
      <w:r w:rsidR="007A46DB">
        <w:t xml:space="preserve"> owners</w:t>
      </w:r>
      <w:r w:rsidR="00052F49">
        <w:t xml:space="preserve">, </w:t>
      </w:r>
      <w:r w:rsidR="00A4000F">
        <w:t xml:space="preserve">total program </w:t>
      </w:r>
      <w:r w:rsidR="009A5A62">
        <w:t xml:space="preserve">costs per ton of reductions would decrease </w:t>
      </w:r>
      <w:r w:rsidR="009A5A62" w:rsidRPr="00C626BE">
        <w:t>by 2%</w:t>
      </w:r>
      <w:r w:rsidR="0099290D" w:rsidRPr="00C626BE">
        <w:t xml:space="preserve">. </w:t>
      </w:r>
      <w:r w:rsidR="00A15B1C" w:rsidRPr="00C626BE">
        <w:t>If</w:t>
      </w:r>
      <w:r w:rsidR="00A15B1C">
        <w:t xml:space="preserve"> additional participants </w:t>
      </w:r>
      <w:r w:rsidR="007D20D5">
        <w:t xml:space="preserve">gained access to home solar (e.g., the </w:t>
      </w:r>
      <w:r w:rsidR="00524C70">
        <w:t>16</w:t>
      </w:r>
      <w:r w:rsidR="007D20D5">
        <w:t>% who stated that they intended to</w:t>
      </w:r>
      <w:r w:rsidR="006D1E33">
        <w:t xml:space="preserve"> install</w:t>
      </w:r>
      <w:r w:rsidR="007D20D5">
        <w:t>)</w:t>
      </w:r>
      <w:r w:rsidR="00521494">
        <w:t xml:space="preserve"> or frequently utilized renewable-powered </w:t>
      </w:r>
      <w:r w:rsidR="00614D99">
        <w:t>public charging stations, GHG reductions would increase</w:t>
      </w:r>
      <w:r w:rsidR="00090A6F">
        <w:t>,</w:t>
      </w:r>
      <w:r w:rsidR="00614D99">
        <w:t xml:space="preserve"> </w:t>
      </w:r>
      <w:r w:rsidR="00940076">
        <w:t xml:space="preserve">reducing costs </w:t>
      </w:r>
      <w:r w:rsidR="00614D99">
        <w:t>further.</w:t>
      </w:r>
    </w:p>
    <w:p w14:paraId="21EF7153" w14:textId="6BF69994" w:rsidR="00A936F2" w:rsidRPr="007A3301" w:rsidRDefault="72B4B101" w:rsidP="00CF11AE">
      <w:pPr>
        <w:pStyle w:val="Heading2"/>
      </w:pPr>
      <w:bookmarkStart w:id="71" w:name="_Toc227069806"/>
      <w:r>
        <w:t>Sensitivity to Quantification Period</w:t>
      </w:r>
      <w:bookmarkEnd w:id="71"/>
      <w:r w:rsidR="0005345E">
        <w:t xml:space="preserve"> </w:t>
      </w:r>
    </w:p>
    <w:p w14:paraId="2C899F22" w14:textId="43C48FC0" w:rsidR="00A35CF0" w:rsidRDefault="3ADD1405" w:rsidP="00D35BAF">
      <w:r>
        <w:t xml:space="preserve">The operational </w:t>
      </w:r>
      <w:r w:rsidR="4D971938">
        <w:t xml:space="preserve">period </w:t>
      </w:r>
      <w:r>
        <w:t xml:space="preserve">over which emission reductions are quantified can play an even more </w:t>
      </w:r>
      <w:r w:rsidR="00B501AC">
        <w:t xml:space="preserve">impactful </w:t>
      </w:r>
      <w:r>
        <w:t>role</w:t>
      </w:r>
      <w:r w:rsidR="4D971938">
        <w:t xml:space="preserve"> than vehicle and fuel inputs</w:t>
      </w:r>
      <w:r>
        <w:t xml:space="preserve">. As described in </w:t>
      </w:r>
      <w:r w:rsidR="00FD2EAE" w:rsidRPr="00FD2EAE">
        <w:rPr>
          <w:rFonts w:cs="Calibri"/>
        </w:rPr>
        <w:t>(Pallonetti &amp; Williams, 2021)</w:t>
      </w:r>
      <w:r>
        <w:t>, 100k-mi</w:t>
      </w:r>
      <w:r w:rsidR="00CF0338">
        <w:t>le</w:t>
      </w:r>
      <w:r>
        <w:t xml:space="preserve"> estimates are arguably still a conservative proxy for useful vehicle life, depending on a balance of conflicting factors. </w:t>
      </w:r>
      <w:r w:rsidR="4D971938">
        <w:t>Due to the uncertainty around EV lifetimes and the sensitivity of the GHG estimates to the quantification period used, various operational timeframe scenarios are compared</w:t>
      </w:r>
      <w:r w:rsidR="2C85171C">
        <w:t xml:space="preserve"> in</w:t>
      </w:r>
      <w:r w:rsidR="4D971938">
        <w:t xml:space="preserve"> </w:t>
      </w:r>
      <w:r>
        <w:t xml:space="preserve">Table </w:t>
      </w:r>
      <w:r w:rsidR="02BA355B">
        <w:t>B3</w:t>
      </w:r>
      <w:r>
        <w:t xml:space="preserve">. </w:t>
      </w:r>
    </w:p>
    <w:p w14:paraId="538CCE24" w14:textId="1124322A" w:rsidR="00DC0498" w:rsidRPr="005D5305" w:rsidRDefault="24FEEBF4" w:rsidP="00811AE9">
      <w:pPr>
        <w:pStyle w:val="TableFigureNumber0"/>
        <w:keepNext/>
        <w:rPr>
          <w:b/>
          <w:bCs/>
          <w:color w:val="0579BD"/>
        </w:rPr>
      </w:pPr>
      <w:r w:rsidRPr="005D5305">
        <w:rPr>
          <w:color w:val="0579BD"/>
        </w:rPr>
        <w:t>TABLE B3</w:t>
      </w:r>
    </w:p>
    <w:p w14:paraId="5BCD1F8E" w14:textId="060F825C" w:rsidR="00DC0498" w:rsidRPr="003A15C4" w:rsidRDefault="25565B9D" w:rsidP="187DA56C">
      <w:pPr>
        <w:pStyle w:val="TableFigureheader"/>
        <w:keepNext/>
        <w:spacing w:after="120"/>
        <w:rPr>
          <w:sz w:val="24"/>
          <w:szCs w:val="24"/>
        </w:rPr>
      </w:pPr>
      <w:r>
        <w:t>Sensitivity of GHG Reductions and Cost-Effectiveness to Quantification Period</w:t>
      </w:r>
    </w:p>
    <w:tbl>
      <w:tblPr>
        <w:tblW w:w="6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5"/>
        <w:gridCol w:w="2968"/>
      </w:tblGrid>
      <w:tr w:rsidR="000C19D2" w:rsidRPr="00147F98" w14:paraId="6B2ACD51" w14:textId="77777777" w:rsidTr="000C19D2">
        <w:trPr>
          <w:tblHeader/>
        </w:trPr>
        <w:tc>
          <w:tcPr>
            <w:tcW w:w="3955" w:type="dxa"/>
            <w:shd w:val="clear" w:color="auto" w:fill="3C3A4C"/>
          </w:tcPr>
          <w:p w14:paraId="4BA2E53E" w14:textId="0A359876" w:rsidR="000C19D2" w:rsidRPr="009F6BA8" w:rsidRDefault="000C19D2" w:rsidP="7ACA0E52">
            <w:pPr>
              <w:pStyle w:val="Tabletext"/>
              <w:keepNext/>
              <w:rPr>
                <w:rFonts w:cs="Calibri"/>
                <w:b/>
                <w:bCs/>
                <w:color w:val="FFFFFF" w:themeColor="background1"/>
              </w:rPr>
            </w:pPr>
            <w:r w:rsidRPr="7ACA0E52">
              <w:rPr>
                <w:b/>
                <w:bCs/>
                <w:color w:val="FFFFFF" w:themeColor="background1"/>
              </w:rPr>
              <w:t xml:space="preserve">Operation </w:t>
            </w:r>
            <w:r w:rsidR="005E5E38">
              <w:rPr>
                <w:b/>
                <w:bCs/>
                <w:color w:val="FFFFFF" w:themeColor="background1"/>
              </w:rPr>
              <w:t>S</w:t>
            </w:r>
            <w:r w:rsidRPr="7ACA0E52">
              <w:rPr>
                <w:b/>
                <w:bCs/>
                <w:color w:val="FFFFFF" w:themeColor="background1"/>
              </w:rPr>
              <w:t>cenario</w:t>
            </w:r>
          </w:p>
        </w:tc>
        <w:tc>
          <w:tcPr>
            <w:tcW w:w="2968" w:type="dxa"/>
            <w:shd w:val="clear" w:color="auto" w:fill="3C3A4C"/>
          </w:tcPr>
          <w:p w14:paraId="3DBF3396" w14:textId="77857F27" w:rsidR="000C19D2" w:rsidRPr="009F6BA8" w:rsidRDefault="000C19D2" w:rsidP="7ACA0E52">
            <w:pPr>
              <w:pStyle w:val="Tabletext"/>
              <w:keepNext/>
              <w:jc w:val="center"/>
              <w:rPr>
                <w:rFonts w:cs="Calibri"/>
                <w:b/>
                <w:bCs/>
                <w:color w:val="FFFFFF" w:themeColor="background1"/>
              </w:rPr>
            </w:pPr>
            <w:r w:rsidRPr="7ACA0E52">
              <w:rPr>
                <w:rFonts w:cs="Calibri"/>
                <w:b/>
                <w:bCs/>
                <w:color w:val="FFFFFF" w:themeColor="background1"/>
              </w:rPr>
              <w:t xml:space="preserve">Rebate </w:t>
            </w:r>
            <w:r w:rsidR="005E5E38">
              <w:rPr>
                <w:rFonts w:cs="Calibri"/>
                <w:b/>
                <w:bCs/>
                <w:color w:val="FFFFFF" w:themeColor="background1"/>
              </w:rPr>
              <w:t>D</w:t>
            </w:r>
            <w:r w:rsidRPr="7ACA0E52">
              <w:rPr>
                <w:rFonts w:cs="Calibri"/>
                <w:b/>
                <w:bCs/>
                <w:color w:val="FFFFFF" w:themeColor="background1"/>
              </w:rPr>
              <w:t xml:space="preserve">ollars </w:t>
            </w:r>
            <w:r w:rsidR="005E5E38">
              <w:rPr>
                <w:rFonts w:cs="Calibri"/>
                <w:b/>
                <w:bCs/>
                <w:color w:val="FFFFFF" w:themeColor="background1"/>
              </w:rPr>
              <w:t>P</w:t>
            </w:r>
            <w:r w:rsidRPr="7ACA0E52">
              <w:rPr>
                <w:rFonts w:cs="Calibri"/>
                <w:b/>
                <w:bCs/>
                <w:color w:val="FFFFFF" w:themeColor="background1"/>
              </w:rPr>
              <w:t xml:space="preserve">er </w:t>
            </w:r>
            <w:r w:rsidR="005E5E38">
              <w:rPr>
                <w:rFonts w:cs="Calibri"/>
                <w:b/>
                <w:bCs/>
                <w:color w:val="FFFFFF" w:themeColor="background1"/>
              </w:rPr>
              <w:t>T</w:t>
            </w:r>
            <w:r w:rsidRPr="7ACA0E52">
              <w:rPr>
                <w:b/>
                <w:bCs/>
                <w:color w:val="FFFFFF" w:themeColor="background1"/>
              </w:rPr>
              <w:t xml:space="preserve">on of </w:t>
            </w:r>
            <w:r w:rsidRPr="007117E3">
              <w:rPr>
                <w:b/>
                <w:bCs/>
                <w:i/>
                <w:iCs/>
                <w:color w:val="FFFFFF" w:themeColor="background1"/>
              </w:rPr>
              <w:t xml:space="preserve">Rebate Essential </w:t>
            </w:r>
            <w:r w:rsidRPr="7ACA0E52">
              <w:rPr>
                <w:b/>
                <w:bCs/>
                <w:color w:val="FFFFFF" w:themeColor="background1"/>
              </w:rPr>
              <w:t xml:space="preserve">GHG </w:t>
            </w:r>
            <w:r w:rsidR="005E5E38">
              <w:rPr>
                <w:b/>
                <w:bCs/>
                <w:color w:val="FFFFFF" w:themeColor="background1"/>
              </w:rPr>
              <w:t>R</w:t>
            </w:r>
            <w:r w:rsidRPr="7ACA0E52">
              <w:rPr>
                <w:b/>
                <w:bCs/>
                <w:color w:val="FFFFFF" w:themeColor="background1"/>
              </w:rPr>
              <w:t>eductions</w:t>
            </w:r>
          </w:p>
        </w:tc>
      </w:tr>
      <w:tr w:rsidR="000C19D2" w:rsidRPr="00147F98" w14:paraId="0079A9FC" w14:textId="77777777" w:rsidTr="000C19D2">
        <w:tc>
          <w:tcPr>
            <w:tcW w:w="3955" w:type="dxa"/>
            <w:shd w:val="clear" w:color="auto" w:fill="EDEDED" w:themeFill="text2" w:themeFillTint="33"/>
          </w:tcPr>
          <w:p w14:paraId="641395BC" w14:textId="77777777" w:rsidR="000C19D2" w:rsidRPr="00232C2A" w:rsidRDefault="000C19D2" w:rsidP="7ACA0E52">
            <w:pPr>
              <w:pStyle w:val="Tabletext"/>
              <w:keepNext/>
              <w:rPr>
                <w:rFonts w:cs="Calibri"/>
                <w:b/>
                <w:bCs/>
              </w:rPr>
            </w:pPr>
            <w:r w:rsidRPr="7ACA0E52">
              <w:rPr>
                <w:b/>
                <w:bCs/>
              </w:rPr>
              <w:t>Primary (100,000 miles)</w:t>
            </w:r>
          </w:p>
        </w:tc>
        <w:tc>
          <w:tcPr>
            <w:tcW w:w="2968" w:type="dxa"/>
            <w:shd w:val="clear" w:color="auto" w:fill="EDEDED" w:themeFill="text2" w:themeFillTint="33"/>
            <w:vAlign w:val="center"/>
          </w:tcPr>
          <w:p w14:paraId="43B13637" w14:textId="5C297FD3" w:rsidR="000C19D2" w:rsidRPr="00232C2A" w:rsidRDefault="000C19D2" w:rsidP="7ACA0E52">
            <w:pPr>
              <w:pStyle w:val="StyleTabletextLeft"/>
              <w:keepNext/>
              <w:jc w:val="center"/>
              <w:rPr>
                <w:b/>
                <w:bCs/>
              </w:rPr>
            </w:pPr>
            <w:r w:rsidRPr="1AE06959">
              <w:rPr>
                <w:b/>
                <w:bCs/>
              </w:rPr>
              <w:t>$188</w:t>
            </w:r>
          </w:p>
        </w:tc>
      </w:tr>
      <w:tr w:rsidR="000C19D2" w:rsidRPr="00147F98" w14:paraId="398C1D0E" w14:textId="77777777" w:rsidTr="000C19D2">
        <w:tc>
          <w:tcPr>
            <w:tcW w:w="3955" w:type="dxa"/>
          </w:tcPr>
          <w:p w14:paraId="567ADF65" w14:textId="0AC9E39F" w:rsidR="000C19D2" w:rsidRPr="00147F98" w:rsidRDefault="000C19D2" w:rsidP="7ACA0E52">
            <w:pPr>
              <w:pStyle w:val="Tabletext"/>
              <w:keepNext/>
              <w:rPr>
                <w:rFonts w:cs="Calibri"/>
              </w:rPr>
            </w:pPr>
            <w:r>
              <w:t xml:space="preserve">2.5-year rebate “project life” </w:t>
            </w:r>
            <w:r w:rsidR="00FD2EAE" w:rsidRPr="00FD2EAE">
              <w:rPr>
                <w:rFonts w:cs="Calibri"/>
              </w:rPr>
              <w:t>(CARB, 2017b)</w:t>
            </w:r>
          </w:p>
        </w:tc>
        <w:tc>
          <w:tcPr>
            <w:tcW w:w="2968" w:type="dxa"/>
          </w:tcPr>
          <w:p w14:paraId="19966422" w14:textId="52282718" w:rsidR="000C19D2" w:rsidRPr="00147F98" w:rsidRDefault="000C19D2" w:rsidP="00DD5A37">
            <w:pPr>
              <w:pStyle w:val="StyleTabletextLeft"/>
              <w:keepNext/>
              <w:jc w:val="center"/>
            </w:pPr>
            <w:r>
              <w:t>$</w:t>
            </w:r>
            <w:r w:rsidR="009B4AB4">
              <w:t>626</w:t>
            </w:r>
            <w:r w:rsidR="7A79188B">
              <w:t xml:space="preserve"> (+</w:t>
            </w:r>
            <w:r w:rsidR="44E71425">
              <w:t>234</w:t>
            </w:r>
            <w:r>
              <w:t>%)</w:t>
            </w:r>
          </w:p>
        </w:tc>
      </w:tr>
      <w:tr w:rsidR="000C19D2" w:rsidRPr="00147F98" w14:paraId="4BC97633" w14:textId="77777777" w:rsidTr="000C19D2">
        <w:tc>
          <w:tcPr>
            <w:tcW w:w="3955" w:type="dxa"/>
          </w:tcPr>
          <w:p w14:paraId="4F437E79" w14:textId="5F31ADBB" w:rsidR="000C19D2" w:rsidRPr="00147F98" w:rsidRDefault="000C19D2" w:rsidP="7ACA0E52">
            <w:pPr>
              <w:pStyle w:val="Tabletext"/>
              <w:keepNext/>
              <w:rPr>
                <w:rFonts w:cs="Calibri"/>
              </w:rPr>
            </w:pPr>
            <w:r>
              <w:t xml:space="preserve">6-year ownership </w:t>
            </w:r>
            <w:r w:rsidR="00FD2EAE" w:rsidRPr="00FD2EAE">
              <w:rPr>
                <w:rFonts w:cs="Calibri"/>
              </w:rPr>
              <w:t>(</w:t>
            </w:r>
            <w:proofErr w:type="spellStart"/>
            <w:r w:rsidR="00FD2EAE" w:rsidRPr="00FD2EAE">
              <w:rPr>
                <w:rFonts w:cs="Calibri"/>
              </w:rPr>
              <w:t>Demuro</w:t>
            </w:r>
            <w:proofErr w:type="spellEnd"/>
            <w:r w:rsidR="00FD2EAE" w:rsidRPr="00FD2EAE">
              <w:rPr>
                <w:rFonts w:cs="Calibri"/>
              </w:rPr>
              <w:t>, 2019)</w:t>
            </w:r>
          </w:p>
        </w:tc>
        <w:tc>
          <w:tcPr>
            <w:tcW w:w="2968" w:type="dxa"/>
          </w:tcPr>
          <w:p w14:paraId="207BE33E" w14:textId="35C3E830" w:rsidR="000C19D2" w:rsidRPr="00147F98" w:rsidRDefault="000C19D2" w:rsidP="00DD5A37">
            <w:pPr>
              <w:pStyle w:val="StyleTabletextLeft"/>
              <w:keepNext/>
              <w:jc w:val="center"/>
            </w:pPr>
            <w:r>
              <w:t>$</w:t>
            </w:r>
            <w:r w:rsidR="00AE7C58">
              <w:t>268</w:t>
            </w:r>
            <w:r>
              <w:t xml:space="preserve"> (+43%)</w:t>
            </w:r>
          </w:p>
        </w:tc>
      </w:tr>
      <w:tr w:rsidR="000C19D2" w:rsidRPr="00147F98" w14:paraId="4543B631" w14:textId="77777777" w:rsidTr="000C19D2">
        <w:tc>
          <w:tcPr>
            <w:tcW w:w="3955" w:type="dxa"/>
          </w:tcPr>
          <w:p w14:paraId="052D7483" w14:textId="01364D72" w:rsidR="000C19D2" w:rsidRPr="00147F98" w:rsidRDefault="000C19D2" w:rsidP="00FF4C80">
            <w:pPr>
              <w:pStyle w:val="Tabletext"/>
              <w:keepNext/>
              <w:rPr>
                <w:rFonts w:cs="Calibri"/>
              </w:rPr>
            </w:pPr>
            <w:r>
              <w:t xml:space="preserve">11.8-year average CA vehicle age                    </w:t>
            </w:r>
            <w:r w:rsidR="00FD2EAE" w:rsidRPr="00FD2EAE">
              <w:rPr>
                <w:rFonts w:cs="Calibri"/>
              </w:rPr>
              <w:t>(Auto Innovators, 2024)</w:t>
            </w:r>
          </w:p>
        </w:tc>
        <w:tc>
          <w:tcPr>
            <w:tcW w:w="2968" w:type="dxa"/>
          </w:tcPr>
          <w:p w14:paraId="6D8C952C" w14:textId="4D9677D6" w:rsidR="000C19D2" w:rsidRPr="00147F98" w:rsidRDefault="000C19D2" w:rsidP="00DD5A37">
            <w:pPr>
              <w:pStyle w:val="StyleTabletextLeft"/>
              <w:keepNext/>
              <w:jc w:val="center"/>
            </w:pPr>
            <w:r>
              <w:t>$</w:t>
            </w:r>
            <w:r w:rsidR="00F1334E">
              <w:t>146</w:t>
            </w:r>
            <w:r w:rsidR="7A79188B">
              <w:t xml:space="preserve"> (-</w:t>
            </w:r>
            <w:r w:rsidR="788C3B0E">
              <w:t>22</w:t>
            </w:r>
            <w:r>
              <w:t>%)</w:t>
            </w:r>
          </w:p>
        </w:tc>
      </w:tr>
      <w:tr w:rsidR="000C19D2" w:rsidRPr="00147F98" w14:paraId="244B7855" w14:textId="77777777" w:rsidTr="000C19D2">
        <w:tc>
          <w:tcPr>
            <w:tcW w:w="3955" w:type="dxa"/>
          </w:tcPr>
          <w:p w14:paraId="51B13D5B" w14:textId="77777777" w:rsidR="000C19D2" w:rsidRPr="00435B52" w:rsidRDefault="000C19D2" w:rsidP="00DD5A37">
            <w:pPr>
              <w:pStyle w:val="Tabletext"/>
              <w:keepNext/>
            </w:pPr>
            <w:r>
              <w:t>150,000 miles</w:t>
            </w:r>
          </w:p>
        </w:tc>
        <w:tc>
          <w:tcPr>
            <w:tcW w:w="2968" w:type="dxa"/>
          </w:tcPr>
          <w:p w14:paraId="66173B51" w14:textId="24FD4574" w:rsidR="000C19D2" w:rsidRPr="0063029C" w:rsidRDefault="000C19D2" w:rsidP="00DD5A37">
            <w:pPr>
              <w:pStyle w:val="StyleTabletextLeft"/>
              <w:keepNext/>
              <w:jc w:val="center"/>
            </w:pPr>
            <w:r>
              <w:t>$12</w:t>
            </w:r>
            <w:r w:rsidR="00AE7C58">
              <w:t>4</w:t>
            </w:r>
            <w:r>
              <w:t xml:space="preserve"> (-34%)</w:t>
            </w:r>
          </w:p>
        </w:tc>
      </w:tr>
      <w:tr w:rsidR="000C19D2" w:rsidRPr="00147F98" w14:paraId="50244070" w14:textId="77777777" w:rsidTr="000C19D2">
        <w:tc>
          <w:tcPr>
            <w:tcW w:w="3955" w:type="dxa"/>
          </w:tcPr>
          <w:p w14:paraId="7E54098D" w14:textId="541DA027" w:rsidR="000C19D2" w:rsidRPr="00147F98" w:rsidRDefault="000C19D2" w:rsidP="7ACA0E52">
            <w:pPr>
              <w:pStyle w:val="Tabletext"/>
              <w:keepNext/>
              <w:rPr>
                <w:rFonts w:cs="Calibri"/>
              </w:rPr>
            </w:pPr>
            <w:r>
              <w:t xml:space="preserve">15-year project-comparison life </w:t>
            </w:r>
            <w:r w:rsidR="00FD2EAE" w:rsidRPr="00FD2EAE">
              <w:rPr>
                <w:rFonts w:cs="Calibri"/>
              </w:rPr>
              <w:t>(CARB, 2017b)</w:t>
            </w:r>
          </w:p>
        </w:tc>
        <w:tc>
          <w:tcPr>
            <w:tcW w:w="2968" w:type="dxa"/>
          </w:tcPr>
          <w:p w14:paraId="7745E9B8" w14:textId="1B86CE08" w:rsidR="000C19D2" w:rsidRPr="00147F98" w:rsidRDefault="000C19D2" w:rsidP="00DD5A37">
            <w:pPr>
              <w:pStyle w:val="StyleTabletextLeft"/>
              <w:keepNext/>
              <w:jc w:val="center"/>
            </w:pPr>
            <w:r>
              <w:t>$1</w:t>
            </w:r>
            <w:r w:rsidR="00ED6BF6">
              <w:t>20</w:t>
            </w:r>
            <w:r>
              <w:t xml:space="preserve"> (-</w:t>
            </w:r>
            <w:r w:rsidR="00ED6BF6">
              <w:t>36</w:t>
            </w:r>
            <w:r>
              <w:t>%)</w:t>
            </w:r>
          </w:p>
        </w:tc>
      </w:tr>
    </w:tbl>
    <w:p w14:paraId="316C73AA" w14:textId="77777777" w:rsidR="00AA0A36" w:rsidRPr="003A15C4" w:rsidRDefault="00AA0A36" w:rsidP="00AB3FBB">
      <w:pPr>
        <w:pStyle w:val="SummaryofResults"/>
        <w:rPr>
          <w:lang w:val="en-US"/>
        </w:rPr>
      </w:pPr>
    </w:p>
    <w:p w14:paraId="627D54D7" w14:textId="798B90FB" w:rsidR="0006708D" w:rsidRDefault="0006708D" w:rsidP="0006708D">
      <w:pPr>
        <w:pStyle w:val="Heading1"/>
        <w:ind w:left="450" w:hanging="450"/>
      </w:pPr>
      <w:bookmarkStart w:id="72" w:name="_Toc227069807"/>
      <w:r>
        <w:lastRenderedPageBreak/>
        <w:t xml:space="preserve">Appendix </w:t>
      </w:r>
      <w:r w:rsidR="00E23819">
        <w:t>C</w:t>
      </w:r>
      <w:r>
        <w:t xml:space="preserve">: </w:t>
      </w:r>
      <w:r w:rsidR="003124B2">
        <w:t xml:space="preserve">Additional </w:t>
      </w:r>
      <w:r w:rsidR="00A80B39">
        <w:t>Program</w:t>
      </w:r>
      <w:r>
        <w:t xml:space="preserve"> </w:t>
      </w:r>
      <w:r w:rsidR="001C46A6">
        <w:t>and</w:t>
      </w:r>
      <w:r>
        <w:t xml:space="preserve"> </w:t>
      </w:r>
      <w:r w:rsidR="00A80B39">
        <w:t>Market Context</w:t>
      </w:r>
      <w:bookmarkEnd w:id="72"/>
    </w:p>
    <w:p w14:paraId="51EEA920" w14:textId="33350471" w:rsidR="00417E2A" w:rsidRPr="005D5305" w:rsidRDefault="00417E2A" w:rsidP="00417E2A">
      <w:pPr>
        <w:pStyle w:val="TableFigureNumber0"/>
        <w:keepNext/>
        <w:rPr>
          <w:color w:val="0579BD"/>
        </w:rPr>
      </w:pPr>
      <w:bookmarkStart w:id="73" w:name="_Ref205471518"/>
      <w:r w:rsidRPr="005D5305">
        <w:rPr>
          <w:color w:val="0579BD"/>
        </w:rPr>
        <w:t xml:space="preserve">Figure </w:t>
      </w:r>
      <w:r w:rsidR="001C46A6" w:rsidRPr="005D5305">
        <w:rPr>
          <w:color w:val="0579BD"/>
        </w:rPr>
        <w:t>C</w:t>
      </w:r>
      <w:bookmarkEnd w:id="73"/>
      <w:r w:rsidR="006D62EE" w:rsidRPr="005D5305">
        <w:rPr>
          <w:color w:val="0579BD"/>
        </w:rPr>
        <w:t>1</w:t>
      </w:r>
    </w:p>
    <w:p w14:paraId="4BDB00A6" w14:textId="78C5B4D1" w:rsidR="00417E2A" w:rsidRPr="00992AC3" w:rsidRDefault="00237673" w:rsidP="00417E2A">
      <w:pPr>
        <w:pStyle w:val="TableFigureTitle"/>
        <w:keepNext/>
      </w:pPr>
      <w:r>
        <w:t xml:space="preserve">CVRP </w:t>
      </w:r>
      <w:r w:rsidR="00417E2A">
        <w:t>Rebates by Technology</w:t>
      </w:r>
      <w:r>
        <w:t xml:space="preserve"> Over Time</w:t>
      </w:r>
    </w:p>
    <w:p w14:paraId="2BB4B9D8" w14:textId="7FF3D98C" w:rsidR="0082426D" w:rsidRDefault="00F43918" w:rsidP="007933B8">
      <w:pPr>
        <w:pStyle w:val="TableFigureNumber0"/>
        <w:keepNext/>
      </w:pPr>
      <w:r>
        <w:rPr>
          <w:noProof/>
        </w:rPr>
        <w:drawing>
          <wp:inline distT="0" distB="0" distL="0" distR="0" wp14:anchorId="39C004EC" wp14:editId="08CDD4A6">
            <wp:extent cx="5825022" cy="3252934"/>
            <wp:effectExtent l="0" t="0" r="4445" b="5080"/>
            <wp:docPr id="1722566764" name="Picture 12" descr="Stacked bar chart displaying the percent of CVRP rebates for PHEV, BEV, and FCEV vehicle types by year of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66764" name="Picture 12" descr="Stacked bar chart displaying the percent of CVRP rebates for PHEV, BEV, and FCEV vehicle types by year of purchase."/>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5825022" cy="3252934"/>
                    </a:xfrm>
                    <a:prstGeom prst="rect">
                      <a:avLst/>
                    </a:prstGeom>
                  </pic:spPr>
                </pic:pic>
              </a:graphicData>
            </a:graphic>
          </wp:inline>
        </w:drawing>
      </w:r>
    </w:p>
    <w:p w14:paraId="48EDDAED" w14:textId="77777777" w:rsidR="0082426D" w:rsidRDefault="0082426D">
      <w:pPr>
        <w:spacing w:after="0" w:line="240" w:lineRule="auto"/>
        <w:rPr>
          <w:rFonts w:eastAsiaTheme="majorEastAsia" w:cs="Calibri"/>
          <w:caps/>
          <w:color w:val="0695E5" w:themeColor="accent3"/>
          <w:sz w:val="20"/>
          <w:szCs w:val="24"/>
          <w:bdr w:val="none" w:sz="0" w:space="0" w:color="auto"/>
        </w:rPr>
      </w:pPr>
      <w:r>
        <w:br w:type="page"/>
      </w:r>
    </w:p>
    <w:p w14:paraId="7D6F8582" w14:textId="2F327D48" w:rsidR="00417E2A" w:rsidRPr="005D5305" w:rsidRDefault="00417E2A" w:rsidP="007933B8">
      <w:pPr>
        <w:pStyle w:val="TableFigureNumber0"/>
        <w:keepNext/>
        <w:rPr>
          <w:color w:val="0579BD"/>
        </w:rPr>
      </w:pPr>
      <w:bookmarkStart w:id="74" w:name="_Ref205825396"/>
      <w:bookmarkStart w:id="75" w:name="_Ref213685299"/>
      <w:bookmarkStart w:id="76" w:name="_Hlk205543063"/>
      <w:r w:rsidRPr="005D5305">
        <w:rPr>
          <w:color w:val="0579BD"/>
        </w:rPr>
        <w:lastRenderedPageBreak/>
        <w:t xml:space="preserve">Figure </w:t>
      </w:r>
      <w:r w:rsidR="001C46A6" w:rsidRPr="005D5305">
        <w:rPr>
          <w:color w:val="0579BD"/>
        </w:rPr>
        <w:t>c</w:t>
      </w:r>
      <w:bookmarkEnd w:id="74"/>
      <w:bookmarkEnd w:id="75"/>
      <w:r w:rsidR="006D62EE" w:rsidRPr="005D5305">
        <w:rPr>
          <w:color w:val="0579BD"/>
        </w:rPr>
        <w:t>2</w:t>
      </w:r>
    </w:p>
    <w:bookmarkEnd w:id="76"/>
    <w:p w14:paraId="3A61CC6E" w14:textId="0D506D55" w:rsidR="00417E2A" w:rsidRDefault="00417E2A" w:rsidP="007933B8">
      <w:pPr>
        <w:pStyle w:val="TableFigureTitle"/>
        <w:keepNext/>
      </w:pPr>
      <w:r>
        <w:t xml:space="preserve">Average Electric Range Capability </w:t>
      </w:r>
      <w:r w:rsidR="00CC649A">
        <w:t xml:space="preserve">of Rebated </w:t>
      </w:r>
      <w:r w:rsidR="009E194E">
        <w:t xml:space="preserve">Vehicles </w:t>
      </w:r>
      <w:r>
        <w:t>Over Time</w:t>
      </w:r>
    </w:p>
    <w:p w14:paraId="54EC69B5" w14:textId="6BB398BD" w:rsidR="00417E2A" w:rsidRDefault="00A310E6" w:rsidP="00206DDB">
      <w:pPr>
        <w:pStyle w:val="TableFigureNumber0"/>
        <w:keepNext/>
        <w:spacing w:before="0"/>
      </w:pPr>
      <w:r>
        <w:rPr>
          <w:noProof/>
        </w:rPr>
        <w:drawing>
          <wp:inline distT="0" distB="0" distL="0" distR="0" wp14:anchorId="63F778E1" wp14:editId="361881ED">
            <wp:extent cx="5486400" cy="3333610"/>
            <wp:effectExtent l="0" t="0" r="0" b="635"/>
            <wp:docPr id="1658936041" name="Picture 2" descr="Line chart displaying the electric range (miles) for BEVs and PHEVs by year of purchase. The BEV average increases from 75 miles in 2011 to 267 in 2023 and the PHEV average spans from 23 to 38 miles.">
              <a:extLst xmlns:a="http://schemas.openxmlformats.org/drawingml/2006/main">
                <a:ext uri="{FF2B5EF4-FFF2-40B4-BE49-F238E27FC236}">
                  <a16:creationId xmlns:a16="http://schemas.microsoft.com/office/drawing/2014/main" id="{420088E4-7C12-71B8-2143-EDCE9A70A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36041" name="Picture 2" descr="Line chart displaying the electric range (miles) for BEVs and PHEVs by year of purchase. The BEV average increases from 75 miles in 2011 to 267 in 2023 and the PHEV average spans from 23 to 38 miles.">
                      <a:extLst>
                        <a:ext uri="{FF2B5EF4-FFF2-40B4-BE49-F238E27FC236}">
                          <a16:creationId xmlns:a16="http://schemas.microsoft.com/office/drawing/2014/main" id="{420088E4-7C12-71B8-2143-EDCE9A70A6B2}"/>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5486400" cy="3333610"/>
                    </a:xfrm>
                    <a:prstGeom prst="rect">
                      <a:avLst/>
                    </a:prstGeom>
                  </pic:spPr>
                </pic:pic>
              </a:graphicData>
            </a:graphic>
          </wp:inline>
        </w:drawing>
      </w:r>
    </w:p>
    <w:p w14:paraId="6B5E68CE" w14:textId="77777777" w:rsidR="00467608" w:rsidRDefault="00467608" w:rsidP="00467608">
      <w:pPr>
        <w:pStyle w:val="NoSpacing"/>
        <w:rPr>
          <w:sz w:val="18"/>
          <w:szCs w:val="18"/>
        </w:rPr>
      </w:pPr>
      <w:r w:rsidRPr="008E2C6F">
        <w:rPr>
          <w:b/>
          <w:bCs/>
          <w:sz w:val="18"/>
          <w:szCs w:val="18"/>
        </w:rPr>
        <w:t>Note:</w:t>
      </w:r>
      <w:r w:rsidRPr="007E35C2">
        <w:rPr>
          <w:sz w:val="18"/>
          <w:szCs w:val="18"/>
        </w:rPr>
        <w:t xml:space="preserve"> Electric range </w:t>
      </w:r>
      <w:r>
        <w:rPr>
          <w:sz w:val="18"/>
          <w:szCs w:val="18"/>
        </w:rPr>
        <w:t xml:space="preserve">based on </w:t>
      </w:r>
      <w:r w:rsidRPr="007E35C2">
        <w:rPr>
          <w:sz w:val="18"/>
          <w:szCs w:val="18"/>
        </w:rPr>
        <w:t>the minimum range of any trim for a given model and model year.</w:t>
      </w:r>
    </w:p>
    <w:p w14:paraId="2173F3BB" w14:textId="77777777" w:rsidR="008E2C6F" w:rsidRDefault="008E2C6F" w:rsidP="00467608">
      <w:pPr>
        <w:pStyle w:val="NoSpacing"/>
        <w:rPr>
          <w:sz w:val="18"/>
          <w:szCs w:val="18"/>
        </w:rPr>
      </w:pPr>
    </w:p>
    <w:p w14:paraId="3B78C6B5" w14:textId="25CBE2E4" w:rsidR="00417E2A" w:rsidRPr="005D5305" w:rsidRDefault="00417E2A" w:rsidP="00417E2A">
      <w:pPr>
        <w:pStyle w:val="TableFigureNumber0"/>
        <w:keepNext/>
        <w:rPr>
          <w:color w:val="0579BD"/>
        </w:rPr>
      </w:pPr>
      <w:bookmarkStart w:id="77" w:name="_Ref213685602"/>
      <w:r w:rsidRPr="005D5305">
        <w:rPr>
          <w:color w:val="0579BD"/>
        </w:rPr>
        <w:t xml:space="preserve">Figure </w:t>
      </w:r>
      <w:bookmarkEnd w:id="77"/>
      <w:r w:rsidR="001C46A6" w:rsidRPr="005D5305">
        <w:rPr>
          <w:color w:val="0579BD"/>
        </w:rPr>
        <w:t>c</w:t>
      </w:r>
      <w:r w:rsidR="006D62EE" w:rsidRPr="005D5305">
        <w:rPr>
          <w:color w:val="0579BD"/>
        </w:rPr>
        <w:t>3</w:t>
      </w:r>
    </w:p>
    <w:p w14:paraId="236BD636" w14:textId="77777777" w:rsidR="00417E2A" w:rsidRDefault="00417E2A" w:rsidP="00417E2A">
      <w:pPr>
        <w:pStyle w:val="TableFigureTitle"/>
        <w:keepNext/>
      </w:pPr>
      <w:r w:rsidRPr="004C1AA5">
        <w:t>Rebate</w:t>
      </w:r>
      <w:r>
        <w:t>s by Vehicle Class</w:t>
      </w:r>
    </w:p>
    <w:p w14:paraId="7B05A1E4" w14:textId="1E7F6A85" w:rsidR="00417E2A" w:rsidRPr="00C85AE8" w:rsidRDefault="00951CC3" w:rsidP="00417E2A">
      <w:pPr>
        <w:pStyle w:val="NoSpacing"/>
        <w:rPr>
          <w:noProof/>
        </w:rPr>
      </w:pPr>
      <w:r>
        <w:rPr>
          <w:noProof/>
        </w:rPr>
        <w:drawing>
          <wp:inline distT="0" distB="0" distL="0" distR="0" wp14:anchorId="1926370D" wp14:editId="02266C40">
            <wp:extent cx="5486400" cy="3129426"/>
            <wp:effectExtent l="0" t="0" r="0" b="0"/>
            <wp:docPr id="1236099200" name="Picture 2" descr="Stacked bar chart displaying the percent of rebates by year of purchase that were cars, SUVs, vans, or pickups. More than 90% of rebates each year were for cars through 2019, after which the SUV share increased from 30% in 2020 to 54% in 2023. ">
              <a:extLst xmlns:a="http://schemas.openxmlformats.org/drawingml/2006/main">
                <a:ext uri="{FF2B5EF4-FFF2-40B4-BE49-F238E27FC236}">
                  <a16:creationId xmlns:a16="http://schemas.microsoft.com/office/drawing/2014/main" id="{0A60410E-F048-3AC4-95F1-4E5EEE7E7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99200" name="Picture 2" descr="Stacked bar chart displaying the percent of rebates by year of purchase that were cars, SUVs, vans, or pickups. More than 90% of rebates each year were for cars through 2019, after which the SUV share increased from 30% in 2020 to 54% in 2023. ">
                      <a:extLst>
                        <a:ext uri="{FF2B5EF4-FFF2-40B4-BE49-F238E27FC236}">
                          <a16:creationId xmlns:a16="http://schemas.microsoft.com/office/drawing/2014/main" id="{0A60410E-F048-3AC4-95F1-4E5EEE7E775B}"/>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5486400" cy="3129426"/>
                    </a:xfrm>
                    <a:prstGeom prst="rect">
                      <a:avLst/>
                    </a:prstGeom>
                  </pic:spPr>
                </pic:pic>
              </a:graphicData>
            </a:graphic>
          </wp:inline>
        </w:drawing>
      </w:r>
    </w:p>
    <w:p w14:paraId="7A42D58C" w14:textId="17F4DD71" w:rsidR="00CA2388" w:rsidRDefault="005976A0" w:rsidP="005976A0">
      <w:pPr>
        <w:pStyle w:val="Heading1"/>
      </w:pPr>
      <w:bookmarkStart w:id="78" w:name="_Toc227069808"/>
      <w:r>
        <w:lastRenderedPageBreak/>
        <w:t xml:space="preserve">Appendix </w:t>
      </w:r>
      <w:r w:rsidR="00E23819">
        <w:t>D</w:t>
      </w:r>
      <w:r>
        <w:t xml:space="preserve">: </w:t>
      </w:r>
      <w:r w:rsidR="00444FE2">
        <w:t xml:space="preserve">Fleet </w:t>
      </w:r>
      <w:r w:rsidR="00AD356F">
        <w:t xml:space="preserve">and TNC </w:t>
      </w:r>
      <w:r w:rsidR="00033356">
        <w:t>GHG Emission Reductions</w:t>
      </w:r>
      <w:bookmarkEnd w:id="78"/>
    </w:p>
    <w:p w14:paraId="01FC03B8" w14:textId="3853CFB2" w:rsidR="00AD356F" w:rsidRDefault="00AD356F" w:rsidP="00AD356F">
      <w:pPr>
        <w:pStyle w:val="Heading2"/>
      </w:pPr>
      <w:bookmarkStart w:id="79" w:name="_Toc227069809"/>
      <w:r w:rsidRPr="00AD356F">
        <w:t>Fleet GHG Emission Reductions</w:t>
      </w:r>
      <w:bookmarkEnd w:id="79"/>
    </w:p>
    <w:p w14:paraId="17F1F553" w14:textId="2DF74417" w:rsidR="00FF1AE4" w:rsidRDefault="00867430" w:rsidP="00D512CC">
      <w:r>
        <w:t xml:space="preserve">Public and private fleet vehicles totaled 2% of all </w:t>
      </w:r>
      <w:r w:rsidR="0011514E">
        <w:t xml:space="preserve">CVRP rebates </w:t>
      </w:r>
      <w:r>
        <w:t xml:space="preserve">and are analyzed separately from personal (nonfleet) participants. </w:t>
      </w:r>
      <w:r w:rsidR="001C52AD">
        <w:t xml:space="preserve">Rebates by </w:t>
      </w:r>
      <w:r w:rsidR="00EB71DD">
        <w:t>consumer</w:t>
      </w:r>
      <w:r w:rsidR="001C52AD">
        <w:t xml:space="preserve"> type </w:t>
      </w:r>
      <w:r w:rsidR="000F3C64">
        <w:t xml:space="preserve">and technology type are </w:t>
      </w:r>
      <w:r w:rsidR="00C541F1">
        <w:t>detailed in Table</w:t>
      </w:r>
      <w:r w:rsidR="00B25130">
        <w:t xml:space="preserve"> D1 and D2</w:t>
      </w:r>
      <w:r w:rsidR="00EB71DD">
        <w:t>, respectively</w:t>
      </w:r>
      <w:r w:rsidR="00B25130">
        <w:t xml:space="preserve">. </w:t>
      </w:r>
    </w:p>
    <w:p w14:paraId="2DE70010" w14:textId="77777777" w:rsidR="00DA0CAE" w:rsidRPr="005D5305" w:rsidRDefault="00DA0CAE" w:rsidP="00811AE9">
      <w:pPr>
        <w:pStyle w:val="TableFigureNumber0"/>
        <w:rPr>
          <w:b/>
          <w:bCs/>
          <w:color w:val="0579BD"/>
        </w:rPr>
      </w:pPr>
      <w:r w:rsidRPr="005D5305">
        <w:rPr>
          <w:color w:val="0579BD"/>
        </w:rPr>
        <w:t>TABLE D1</w:t>
      </w:r>
    </w:p>
    <w:p w14:paraId="11FA3ED5" w14:textId="026A2C0D" w:rsidR="00DA0CAE" w:rsidRDefault="00DA0CAE" w:rsidP="00DA0CAE">
      <w:pPr>
        <w:pStyle w:val="TableFigureheader"/>
      </w:pPr>
      <w:r>
        <w:t xml:space="preserve">Rebates by </w:t>
      </w:r>
      <w:r w:rsidR="00EB71DD">
        <w:t xml:space="preserve">Consumer </w:t>
      </w:r>
      <w:r>
        <w:t>Type</w:t>
      </w:r>
    </w:p>
    <w:p w14:paraId="48491CC3" w14:textId="77777777" w:rsidR="00DA0CAE" w:rsidRPr="003A15C4" w:rsidRDefault="00DA0CAE" w:rsidP="00DA0CAE">
      <w:pPr>
        <w:pStyle w:val="TableFigureSubtitle"/>
        <w:rPr>
          <w:rStyle w:val="Bold"/>
        </w:rPr>
      </w:pPr>
      <w:r>
        <w:t>Fleet Participants</w:t>
      </w:r>
    </w:p>
    <w:tbl>
      <w:tblPr>
        <w:tblpPr w:leftFromText="187" w:rightFromText="187" w:topFromText="29" w:bottomFromText="29" w:vertAnchor="text" w:horzAnchor="margin" w:tblpY="59"/>
        <w:tblW w:w="4666"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2780"/>
        <w:gridCol w:w="2616"/>
        <w:gridCol w:w="3329"/>
      </w:tblGrid>
      <w:tr w:rsidR="00DA0CAE" w14:paraId="1CD9ADDC" w14:textId="77777777" w:rsidTr="0015703C">
        <w:trPr>
          <w:trHeight w:val="260"/>
        </w:trPr>
        <w:tc>
          <w:tcPr>
            <w:tcW w:w="1593" w:type="pct"/>
            <w:shd w:val="clear" w:color="auto" w:fill="3C3A4C"/>
            <w:tcMar>
              <w:top w:w="80" w:type="dxa"/>
              <w:left w:w="80" w:type="dxa"/>
              <w:bottom w:w="80" w:type="dxa"/>
              <w:right w:w="80" w:type="dxa"/>
            </w:tcMar>
          </w:tcPr>
          <w:p w14:paraId="37E14533" w14:textId="2C7EB49A" w:rsidR="00DA0CAE" w:rsidRPr="003A15C4" w:rsidRDefault="00EB71DD">
            <w:pPr>
              <w:pStyle w:val="Body"/>
              <w:spacing w:after="0" w:line="240" w:lineRule="auto"/>
              <w:rPr>
                <w:sz w:val="20"/>
                <w:szCs w:val="20"/>
              </w:rPr>
            </w:pPr>
            <w:r>
              <w:rPr>
                <w:b/>
                <w:bCs/>
                <w:color w:val="FFFFFF" w:themeColor="background1"/>
                <w:sz w:val="20"/>
                <w:szCs w:val="20"/>
              </w:rPr>
              <w:t xml:space="preserve">Consumer </w:t>
            </w:r>
            <w:r w:rsidR="00DA0CAE" w:rsidRPr="7ACA0E52">
              <w:rPr>
                <w:b/>
                <w:bCs/>
                <w:color w:val="FFFFFF" w:themeColor="background1"/>
                <w:sz w:val="20"/>
                <w:szCs w:val="20"/>
              </w:rPr>
              <w:t>Type</w:t>
            </w:r>
          </w:p>
        </w:tc>
        <w:tc>
          <w:tcPr>
            <w:tcW w:w="1499" w:type="pct"/>
            <w:shd w:val="clear" w:color="auto" w:fill="3C3A4C"/>
            <w:tcMar>
              <w:top w:w="80" w:type="dxa"/>
              <w:left w:w="80" w:type="dxa"/>
              <w:bottom w:w="80" w:type="dxa"/>
              <w:right w:w="80" w:type="dxa"/>
            </w:tcMar>
          </w:tcPr>
          <w:p w14:paraId="24B535FB" w14:textId="77777777" w:rsidR="00DA0CAE" w:rsidRPr="003A15C4" w:rsidRDefault="00DA0CAE">
            <w:pPr>
              <w:pStyle w:val="Body"/>
              <w:spacing w:after="0" w:line="240" w:lineRule="auto"/>
              <w:jc w:val="center"/>
              <w:rPr>
                <w:sz w:val="20"/>
                <w:szCs w:val="20"/>
              </w:rPr>
            </w:pPr>
            <w:r w:rsidRPr="7ACA0E52">
              <w:rPr>
                <w:b/>
                <w:bCs/>
                <w:color w:val="FFFFFF" w:themeColor="background1"/>
                <w:sz w:val="20"/>
                <w:szCs w:val="20"/>
              </w:rPr>
              <w:t>Rebate Counts</w:t>
            </w:r>
          </w:p>
        </w:tc>
        <w:tc>
          <w:tcPr>
            <w:tcW w:w="1908" w:type="pct"/>
            <w:shd w:val="clear" w:color="auto" w:fill="3C3A4C"/>
            <w:tcMar>
              <w:top w:w="80" w:type="dxa"/>
              <w:left w:w="80" w:type="dxa"/>
              <w:bottom w:w="80" w:type="dxa"/>
              <w:right w:w="80" w:type="dxa"/>
            </w:tcMar>
          </w:tcPr>
          <w:p w14:paraId="56E4A6A3" w14:textId="77777777" w:rsidR="00DA0CAE" w:rsidRPr="003A15C4" w:rsidRDefault="00DA0CAE">
            <w:pPr>
              <w:pStyle w:val="Body"/>
              <w:spacing w:after="0" w:line="240" w:lineRule="auto"/>
              <w:jc w:val="center"/>
              <w:rPr>
                <w:sz w:val="20"/>
                <w:szCs w:val="20"/>
              </w:rPr>
            </w:pPr>
            <w:r w:rsidRPr="7ACA0E52">
              <w:rPr>
                <w:b/>
                <w:bCs/>
                <w:color w:val="FFFFFF" w:themeColor="background1"/>
                <w:sz w:val="20"/>
                <w:szCs w:val="20"/>
              </w:rPr>
              <w:t>Total Rebate Dollars</w:t>
            </w:r>
          </w:p>
        </w:tc>
      </w:tr>
      <w:tr w:rsidR="00DA0CAE" w14:paraId="2CA07150" w14:textId="77777777" w:rsidTr="0015703C">
        <w:trPr>
          <w:trHeight w:val="20"/>
        </w:trPr>
        <w:tc>
          <w:tcPr>
            <w:tcW w:w="1593" w:type="pct"/>
            <w:tcMar>
              <w:top w:w="80" w:type="dxa"/>
              <w:left w:w="80" w:type="dxa"/>
              <w:bottom w:w="80" w:type="dxa"/>
              <w:right w:w="80" w:type="dxa"/>
            </w:tcMar>
            <w:vAlign w:val="center"/>
          </w:tcPr>
          <w:p w14:paraId="65EF80F3" w14:textId="261A2DFA" w:rsidR="00DA0CAE" w:rsidRPr="00E65889" w:rsidRDefault="00223E26">
            <w:pPr>
              <w:pStyle w:val="Body"/>
              <w:spacing w:after="0"/>
              <w:rPr>
                <w:sz w:val="20"/>
                <w:szCs w:val="20"/>
              </w:rPr>
            </w:pPr>
            <w:r w:rsidRPr="00223E26">
              <w:rPr>
                <w:b/>
                <w:bCs/>
                <w:sz w:val="20"/>
                <w:szCs w:val="20"/>
              </w:rPr>
              <w:t>Business</w:t>
            </w:r>
          </w:p>
        </w:tc>
        <w:tc>
          <w:tcPr>
            <w:tcW w:w="1499" w:type="pct"/>
            <w:tcMar>
              <w:top w:w="80" w:type="dxa"/>
              <w:left w:w="80" w:type="dxa"/>
              <w:bottom w:w="80" w:type="dxa"/>
              <w:right w:w="80" w:type="dxa"/>
            </w:tcMar>
            <w:vAlign w:val="center"/>
          </w:tcPr>
          <w:p w14:paraId="52B460B7" w14:textId="77777777" w:rsidR="00CE3CCA" w:rsidRDefault="00CA29CC">
            <w:pPr>
              <w:pStyle w:val="Body"/>
              <w:spacing w:after="0" w:line="240" w:lineRule="auto"/>
              <w:jc w:val="center"/>
              <w:rPr>
                <w:sz w:val="20"/>
                <w:szCs w:val="20"/>
              </w:rPr>
            </w:pPr>
            <w:r>
              <w:rPr>
                <w:sz w:val="20"/>
                <w:szCs w:val="20"/>
              </w:rPr>
              <w:t xml:space="preserve">11,308 </w:t>
            </w:r>
          </w:p>
          <w:p w14:paraId="55FDBCFF" w14:textId="660B1869" w:rsidR="00DA0CAE" w:rsidRPr="00E51F92" w:rsidRDefault="00DA0CAE">
            <w:pPr>
              <w:pStyle w:val="Body"/>
              <w:spacing w:after="0" w:line="240" w:lineRule="auto"/>
              <w:jc w:val="center"/>
              <w:rPr>
                <w:sz w:val="20"/>
                <w:szCs w:val="20"/>
              </w:rPr>
            </w:pPr>
            <w:r w:rsidRPr="00E51F92">
              <w:rPr>
                <w:sz w:val="20"/>
                <w:szCs w:val="20"/>
              </w:rPr>
              <w:t>(</w:t>
            </w:r>
            <w:r w:rsidR="00CC0C10">
              <w:rPr>
                <w:sz w:val="20"/>
                <w:szCs w:val="20"/>
              </w:rPr>
              <w:t>80</w:t>
            </w:r>
            <w:r w:rsidRPr="00E51F92">
              <w:rPr>
                <w:sz w:val="20"/>
                <w:szCs w:val="20"/>
              </w:rPr>
              <w:t>%)</w:t>
            </w:r>
          </w:p>
        </w:tc>
        <w:tc>
          <w:tcPr>
            <w:tcW w:w="1908" w:type="pct"/>
            <w:tcMar>
              <w:top w:w="80" w:type="dxa"/>
              <w:left w:w="80" w:type="dxa"/>
              <w:bottom w:w="80" w:type="dxa"/>
              <w:right w:w="80" w:type="dxa"/>
            </w:tcMar>
            <w:vAlign w:val="center"/>
          </w:tcPr>
          <w:p w14:paraId="024869BE" w14:textId="4BF1FFB2" w:rsidR="00DA0CAE" w:rsidRPr="00E51F92" w:rsidRDefault="00DA0CAE" w:rsidP="0015703C">
            <w:pPr>
              <w:pStyle w:val="Body"/>
              <w:spacing w:after="0" w:line="240" w:lineRule="auto"/>
              <w:ind w:right="385"/>
              <w:jc w:val="center"/>
              <w:rPr>
                <w:sz w:val="20"/>
                <w:szCs w:val="20"/>
              </w:rPr>
            </w:pPr>
            <w:r w:rsidRPr="00E51F92">
              <w:rPr>
                <w:sz w:val="20"/>
                <w:szCs w:val="20"/>
              </w:rPr>
              <w:t>$</w:t>
            </w:r>
            <w:r w:rsidR="00DF4A89">
              <w:rPr>
                <w:sz w:val="20"/>
                <w:szCs w:val="20"/>
              </w:rPr>
              <w:t>24,672,885</w:t>
            </w:r>
          </w:p>
          <w:p w14:paraId="2F0D4F1A" w14:textId="14E7C923" w:rsidR="00DA0CAE" w:rsidRPr="00E65889" w:rsidRDefault="00DA0CAE" w:rsidP="0015703C">
            <w:pPr>
              <w:pStyle w:val="Body"/>
              <w:spacing w:after="0" w:line="240" w:lineRule="auto"/>
              <w:ind w:right="385"/>
              <w:jc w:val="center"/>
              <w:rPr>
                <w:sz w:val="20"/>
                <w:szCs w:val="20"/>
              </w:rPr>
            </w:pPr>
            <w:r w:rsidRPr="00E51F92">
              <w:rPr>
                <w:sz w:val="20"/>
                <w:szCs w:val="20"/>
              </w:rPr>
              <w:t>(</w:t>
            </w:r>
            <w:r w:rsidR="00DF4A89">
              <w:rPr>
                <w:sz w:val="20"/>
                <w:szCs w:val="20"/>
              </w:rPr>
              <w:t>75</w:t>
            </w:r>
            <w:r w:rsidRPr="00E51F92">
              <w:rPr>
                <w:sz w:val="20"/>
                <w:szCs w:val="20"/>
              </w:rPr>
              <w:t>%)</w:t>
            </w:r>
          </w:p>
        </w:tc>
      </w:tr>
      <w:tr w:rsidR="00FB14E9" w14:paraId="47D52B0C" w14:textId="77777777" w:rsidTr="0015703C">
        <w:trPr>
          <w:trHeight w:val="20"/>
        </w:trPr>
        <w:tc>
          <w:tcPr>
            <w:tcW w:w="1593" w:type="pct"/>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2227E4E1" w14:textId="20ABADFB" w:rsidR="00FB14E9" w:rsidRPr="00E65889" w:rsidRDefault="00FB14E9" w:rsidP="00FB14E9">
            <w:pPr>
              <w:pStyle w:val="Body"/>
              <w:spacing w:after="0"/>
              <w:rPr>
                <w:sz w:val="20"/>
                <w:szCs w:val="20"/>
              </w:rPr>
            </w:pPr>
            <w:r>
              <w:rPr>
                <w:rFonts w:cs="Calibri"/>
                <w:b/>
                <w:bCs/>
                <w:sz w:val="20"/>
                <w:szCs w:val="20"/>
              </w:rPr>
              <w:t>Local Government Entity</w:t>
            </w:r>
          </w:p>
        </w:tc>
        <w:tc>
          <w:tcPr>
            <w:tcW w:w="1499" w:type="pct"/>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10D98EAD" w14:textId="540CFE4D" w:rsidR="00FB14E9" w:rsidRDefault="00FB14E9" w:rsidP="00FB14E9">
            <w:pPr>
              <w:pStyle w:val="Body"/>
              <w:spacing w:after="0" w:line="240" w:lineRule="auto"/>
              <w:jc w:val="center"/>
              <w:rPr>
                <w:sz w:val="20"/>
                <w:szCs w:val="20"/>
              </w:rPr>
            </w:pPr>
            <w:r>
              <w:rPr>
                <w:sz w:val="20"/>
                <w:szCs w:val="20"/>
              </w:rPr>
              <w:t>2,196</w:t>
            </w:r>
          </w:p>
          <w:p w14:paraId="7E27FED3" w14:textId="48D8A0D2" w:rsidR="00FB14E9" w:rsidRPr="00E51F92" w:rsidRDefault="00FB14E9" w:rsidP="00FB14E9">
            <w:pPr>
              <w:pStyle w:val="Body"/>
              <w:spacing w:after="0" w:line="240" w:lineRule="auto"/>
              <w:jc w:val="center"/>
              <w:rPr>
                <w:sz w:val="20"/>
                <w:szCs w:val="20"/>
              </w:rPr>
            </w:pPr>
            <w:r w:rsidRPr="00E51F92">
              <w:rPr>
                <w:sz w:val="20"/>
                <w:szCs w:val="20"/>
              </w:rPr>
              <w:t>(</w:t>
            </w:r>
            <w:r>
              <w:rPr>
                <w:sz w:val="20"/>
                <w:szCs w:val="20"/>
              </w:rPr>
              <w:t>15%</w:t>
            </w:r>
            <w:r w:rsidRPr="00E51F92">
              <w:rPr>
                <w:sz w:val="20"/>
                <w:szCs w:val="20"/>
              </w:rPr>
              <w:t>)</w:t>
            </w:r>
          </w:p>
        </w:tc>
        <w:tc>
          <w:tcPr>
            <w:tcW w:w="1908" w:type="pct"/>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58FDA294" w14:textId="3FC9946C" w:rsidR="00FB14E9" w:rsidRDefault="00FB14E9" w:rsidP="00FB14E9">
            <w:pPr>
              <w:pStyle w:val="Body"/>
              <w:spacing w:after="0" w:line="240" w:lineRule="auto"/>
              <w:ind w:right="385"/>
              <w:jc w:val="center"/>
              <w:rPr>
                <w:color w:val="auto"/>
                <w:sz w:val="20"/>
                <w:szCs w:val="20"/>
              </w:rPr>
            </w:pPr>
            <w:r w:rsidRPr="7ACA0E52">
              <w:rPr>
                <w:color w:val="auto"/>
                <w:sz w:val="20"/>
                <w:szCs w:val="20"/>
              </w:rPr>
              <w:t>$</w:t>
            </w:r>
            <w:r>
              <w:rPr>
                <w:color w:val="auto"/>
                <w:sz w:val="20"/>
                <w:szCs w:val="20"/>
              </w:rPr>
              <w:t>6,795,500</w:t>
            </w:r>
          </w:p>
          <w:p w14:paraId="2C8D67D5" w14:textId="31CCAA2A" w:rsidR="00FB14E9" w:rsidRPr="00E51F92" w:rsidRDefault="00FB14E9" w:rsidP="00FB14E9">
            <w:pPr>
              <w:pStyle w:val="Body"/>
              <w:spacing w:after="0" w:line="240" w:lineRule="auto"/>
              <w:ind w:right="385"/>
              <w:jc w:val="center"/>
              <w:rPr>
                <w:color w:val="FFFF00"/>
                <w:sz w:val="20"/>
                <w:szCs w:val="20"/>
              </w:rPr>
            </w:pPr>
            <w:r w:rsidRPr="00E51F92">
              <w:rPr>
                <w:color w:val="auto"/>
                <w:sz w:val="20"/>
                <w:szCs w:val="20"/>
              </w:rPr>
              <w:t>(</w:t>
            </w:r>
            <w:r>
              <w:rPr>
                <w:color w:val="auto"/>
                <w:sz w:val="20"/>
                <w:szCs w:val="20"/>
              </w:rPr>
              <w:t>21</w:t>
            </w:r>
            <w:r w:rsidRPr="00E51F92">
              <w:rPr>
                <w:color w:val="auto"/>
                <w:sz w:val="20"/>
                <w:szCs w:val="20"/>
              </w:rPr>
              <w:t>%)</w:t>
            </w:r>
          </w:p>
        </w:tc>
      </w:tr>
      <w:tr w:rsidR="00FA4067" w14:paraId="7CDC3EF5" w14:textId="77777777" w:rsidTr="0015703C">
        <w:trPr>
          <w:trHeight w:val="20"/>
        </w:trPr>
        <w:tc>
          <w:tcPr>
            <w:tcW w:w="1593" w:type="pct"/>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57E14EF0" w14:textId="20154AE1" w:rsidR="00FA4067" w:rsidRPr="00445151" w:rsidRDefault="00FA4067" w:rsidP="00FA4067">
            <w:pPr>
              <w:pStyle w:val="Body"/>
              <w:spacing w:after="0"/>
              <w:rPr>
                <w:b/>
                <w:bCs/>
                <w:sz w:val="20"/>
                <w:szCs w:val="20"/>
              </w:rPr>
            </w:pPr>
            <w:r w:rsidRPr="00B47E8E">
              <w:rPr>
                <w:b/>
                <w:bCs/>
                <w:sz w:val="20"/>
                <w:szCs w:val="20"/>
              </w:rPr>
              <w:t>Federal Government Entity</w:t>
            </w:r>
          </w:p>
        </w:tc>
        <w:tc>
          <w:tcPr>
            <w:tcW w:w="1499" w:type="pct"/>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00BF1F88" w14:textId="77777777" w:rsidR="00FA4067" w:rsidRDefault="00FA4067" w:rsidP="00FA4067">
            <w:pPr>
              <w:pStyle w:val="Body"/>
              <w:spacing w:after="0" w:line="240" w:lineRule="auto"/>
              <w:jc w:val="center"/>
              <w:rPr>
                <w:sz w:val="20"/>
                <w:szCs w:val="20"/>
              </w:rPr>
            </w:pPr>
            <w:r>
              <w:rPr>
                <w:sz w:val="20"/>
                <w:szCs w:val="20"/>
              </w:rPr>
              <w:t>201</w:t>
            </w:r>
          </w:p>
          <w:p w14:paraId="67A5902C" w14:textId="3F29514A" w:rsidR="00FA4067" w:rsidRPr="00E65889" w:rsidRDefault="00FA4067" w:rsidP="00FA4067">
            <w:pPr>
              <w:pStyle w:val="Body"/>
              <w:spacing w:after="0"/>
              <w:jc w:val="center"/>
              <w:rPr>
                <w:sz w:val="20"/>
                <w:szCs w:val="20"/>
              </w:rPr>
            </w:pPr>
            <w:r w:rsidRPr="00E51F92">
              <w:rPr>
                <w:sz w:val="20"/>
                <w:szCs w:val="20"/>
              </w:rPr>
              <w:t>(</w:t>
            </w:r>
            <w:r>
              <w:rPr>
                <w:sz w:val="20"/>
                <w:szCs w:val="20"/>
              </w:rPr>
              <w:t>1%</w:t>
            </w:r>
            <w:r w:rsidRPr="00E51F92">
              <w:rPr>
                <w:sz w:val="20"/>
                <w:szCs w:val="20"/>
              </w:rPr>
              <w:t>)</w:t>
            </w:r>
          </w:p>
        </w:tc>
        <w:tc>
          <w:tcPr>
            <w:tcW w:w="1908" w:type="pct"/>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06960C69" w14:textId="77777777" w:rsidR="00FA4067" w:rsidRDefault="00FA4067" w:rsidP="00FA4067">
            <w:pPr>
              <w:pStyle w:val="Body"/>
              <w:spacing w:after="0" w:line="240" w:lineRule="auto"/>
              <w:ind w:right="385"/>
              <w:jc w:val="center"/>
              <w:rPr>
                <w:color w:val="auto"/>
                <w:sz w:val="20"/>
                <w:szCs w:val="20"/>
              </w:rPr>
            </w:pPr>
            <w:r w:rsidRPr="7ACA0E52">
              <w:rPr>
                <w:color w:val="auto"/>
                <w:sz w:val="20"/>
                <w:szCs w:val="20"/>
              </w:rPr>
              <w:t>$</w:t>
            </w:r>
            <w:r>
              <w:rPr>
                <w:color w:val="auto"/>
                <w:sz w:val="20"/>
                <w:szCs w:val="20"/>
              </w:rPr>
              <w:t>212,000</w:t>
            </w:r>
          </w:p>
          <w:p w14:paraId="64611E82" w14:textId="4566BD62" w:rsidR="00FA4067" w:rsidRPr="00E65889" w:rsidRDefault="00FA4067" w:rsidP="00FA4067">
            <w:pPr>
              <w:pStyle w:val="Body"/>
              <w:spacing w:after="0" w:line="240" w:lineRule="auto"/>
              <w:ind w:right="385"/>
              <w:jc w:val="center"/>
              <w:rPr>
                <w:sz w:val="20"/>
                <w:szCs w:val="20"/>
              </w:rPr>
            </w:pPr>
            <w:r w:rsidRPr="00E51F92">
              <w:rPr>
                <w:color w:val="auto"/>
                <w:sz w:val="20"/>
                <w:szCs w:val="20"/>
              </w:rPr>
              <w:t>(</w:t>
            </w:r>
            <w:r>
              <w:rPr>
                <w:color w:val="auto"/>
                <w:sz w:val="20"/>
                <w:szCs w:val="20"/>
              </w:rPr>
              <w:t>1</w:t>
            </w:r>
            <w:r w:rsidRPr="00E51F92">
              <w:rPr>
                <w:color w:val="auto"/>
                <w:sz w:val="20"/>
                <w:szCs w:val="20"/>
              </w:rPr>
              <w:t>%)</w:t>
            </w:r>
          </w:p>
        </w:tc>
      </w:tr>
      <w:tr w:rsidR="00CC0C10" w14:paraId="311BEE90" w14:textId="77777777" w:rsidTr="0015703C">
        <w:trPr>
          <w:trHeight w:val="20"/>
        </w:trPr>
        <w:tc>
          <w:tcPr>
            <w:tcW w:w="1593" w:type="pct"/>
            <w:tcBorders>
              <w:top w:val="single" w:sz="6" w:space="0" w:color="FFFFFF" w:themeColor="background1"/>
              <w:bottom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262DB982" w14:textId="4FD0DA11" w:rsidR="00CC0C10" w:rsidRPr="7ACA0E52" w:rsidRDefault="00CC0C10" w:rsidP="00CC0C10">
            <w:pPr>
              <w:pStyle w:val="Body"/>
              <w:spacing w:after="0"/>
              <w:rPr>
                <w:b/>
                <w:bCs/>
                <w:sz w:val="20"/>
                <w:szCs w:val="20"/>
              </w:rPr>
            </w:pPr>
            <w:r w:rsidRPr="00445151">
              <w:rPr>
                <w:b/>
                <w:bCs/>
                <w:sz w:val="20"/>
                <w:szCs w:val="20"/>
              </w:rPr>
              <w:t>Non-Profit</w:t>
            </w:r>
          </w:p>
        </w:tc>
        <w:tc>
          <w:tcPr>
            <w:tcW w:w="1499" w:type="pct"/>
            <w:tcBorders>
              <w:top w:val="single" w:sz="6" w:space="0" w:color="FFFFFF" w:themeColor="background1"/>
              <w:bottom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030EDF10" w14:textId="71D69BB1" w:rsidR="00CC0C10" w:rsidRPr="00E51F92" w:rsidRDefault="00A2722D" w:rsidP="00CC0C10">
            <w:pPr>
              <w:pStyle w:val="Body"/>
              <w:spacing w:after="0" w:line="240" w:lineRule="auto"/>
              <w:jc w:val="center"/>
              <w:rPr>
                <w:sz w:val="20"/>
                <w:szCs w:val="20"/>
              </w:rPr>
            </w:pPr>
            <w:r>
              <w:rPr>
                <w:sz w:val="20"/>
                <w:szCs w:val="20"/>
              </w:rPr>
              <w:t xml:space="preserve">144 </w:t>
            </w:r>
          </w:p>
          <w:p w14:paraId="00F3AD60" w14:textId="5C56CC98" w:rsidR="00CC0C10" w:rsidRDefault="00CC0C10" w:rsidP="00CC0C10">
            <w:pPr>
              <w:pStyle w:val="Body"/>
              <w:spacing w:after="0" w:line="240" w:lineRule="auto"/>
              <w:jc w:val="center"/>
              <w:rPr>
                <w:sz w:val="20"/>
                <w:szCs w:val="20"/>
              </w:rPr>
            </w:pPr>
            <w:r w:rsidRPr="00E51F92">
              <w:rPr>
                <w:sz w:val="20"/>
                <w:szCs w:val="20"/>
              </w:rPr>
              <w:t>(</w:t>
            </w:r>
            <w:r>
              <w:rPr>
                <w:sz w:val="20"/>
                <w:szCs w:val="20"/>
              </w:rPr>
              <w:t>1</w:t>
            </w:r>
            <w:r w:rsidRPr="00E51F92">
              <w:rPr>
                <w:sz w:val="20"/>
                <w:szCs w:val="20"/>
              </w:rPr>
              <w:t>%)</w:t>
            </w:r>
          </w:p>
        </w:tc>
        <w:tc>
          <w:tcPr>
            <w:tcW w:w="1908" w:type="pct"/>
            <w:tcBorders>
              <w:top w:val="single" w:sz="6" w:space="0" w:color="FFFFFF" w:themeColor="background1"/>
              <w:bottom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6E18E5E2" w14:textId="14F9ABD4" w:rsidR="00CC0C10" w:rsidRDefault="00CC0C10" w:rsidP="0015703C">
            <w:pPr>
              <w:pStyle w:val="Body"/>
              <w:spacing w:after="0" w:line="240" w:lineRule="auto"/>
              <w:ind w:right="385"/>
              <w:jc w:val="center"/>
              <w:rPr>
                <w:sz w:val="20"/>
                <w:szCs w:val="20"/>
              </w:rPr>
            </w:pPr>
            <w:r w:rsidRPr="7ACA0E52">
              <w:rPr>
                <w:sz w:val="20"/>
                <w:szCs w:val="20"/>
              </w:rPr>
              <w:t>$</w:t>
            </w:r>
            <w:r w:rsidR="0011789A">
              <w:rPr>
                <w:sz w:val="20"/>
                <w:szCs w:val="20"/>
              </w:rPr>
              <w:t>293,000</w:t>
            </w:r>
          </w:p>
          <w:p w14:paraId="1F4EE7B6" w14:textId="13021372" w:rsidR="00CC0C10" w:rsidRPr="7ACA0E52" w:rsidRDefault="00CC0C10" w:rsidP="0015703C">
            <w:pPr>
              <w:pStyle w:val="Body"/>
              <w:spacing w:after="0" w:line="240" w:lineRule="auto"/>
              <w:ind w:right="385"/>
              <w:jc w:val="center"/>
              <w:rPr>
                <w:sz w:val="20"/>
                <w:szCs w:val="20"/>
              </w:rPr>
            </w:pPr>
            <w:r w:rsidRPr="00E51F92">
              <w:rPr>
                <w:sz w:val="20"/>
                <w:szCs w:val="20"/>
              </w:rPr>
              <w:t>(</w:t>
            </w:r>
            <w:r w:rsidR="00A2722D">
              <w:rPr>
                <w:sz w:val="20"/>
                <w:szCs w:val="20"/>
              </w:rPr>
              <w:t>1</w:t>
            </w:r>
            <w:r w:rsidRPr="00E51F92">
              <w:rPr>
                <w:sz w:val="20"/>
                <w:szCs w:val="20"/>
              </w:rPr>
              <w:t>%)</w:t>
            </w:r>
          </w:p>
        </w:tc>
      </w:tr>
      <w:tr w:rsidR="00CC0C10" w14:paraId="5DF18B5B" w14:textId="77777777" w:rsidTr="0015703C">
        <w:trPr>
          <w:trHeight w:val="20"/>
        </w:trPr>
        <w:tc>
          <w:tcPr>
            <w:tcW w:w="1593" w:type="pct"/>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179BC732" w14:textId="2C4FBCAD" w:rsidR="00CC0C10" w:rsidRPr="7ACA0E52" w:rsidRDefault="00CC0C10" w:rsidP="00CC0C10">
            <w:pPr>
              <w:pStyle w:val="Body"/>
              <w:spacing w:after="0"/>
              <w:rPr>
                <w:b/>
                <w:bCs/>
                <w:sz w:val="20"/>
                <w:szCs w:val="20"/>
              </w:rPr>
            </w:pPr>
            <w:r w:rsidRPr="00445151">
              <w:rPr>
                <w:b/>
                <w:bCs/>
                <w:sz w:val="20"/>
                <w:szCs w:val="20"/>
              </w:rPr>
              <w:t>State Government Entity</w:t>
            </w:r>
          </w:p>
        </w:tc>
        <w:tc>
          <w:tcPr>
            <w:tcW w:w="1499" w:type="pct"/>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5EC95DEC" w14:textId="0EDE1D2C" w:rsidR="00CC0C10" w:rsidRPr="00E51F92" w:rsidRDefault="00954FA4" w:rsidP="00CC0C10">
            <w:pPr>
              <w:pStyle w:val="Body"/>
              <w:spacing w:after="0" w:line="240" w:lineRule="auto"/>
              <w:jc w:val="center"/>
              <w:rPr>
                <w:sz w:val="20"/>
                <w:szCs w:val="20"/>
              </w:rPr>
            </w:pPr>
            <w:r>
              <w:rPr>
                <w:sz w:val="20"/>
                <w:szCs w:val="20"/>
              </w:rPr>
              <w:t xml:space="preserve">348 </w:t>
            </w:r>
          </w:p>
          <w:p w14:paraId="75759BC0" w14:textId="2A30AEA5" w:rsidR="00CC0C10" w:rsidRDefault="00CC0C10" w:rsidP="00CC0C10">
            <w:pPr>
              <w:pStyle w:val="Body"/>
              <w:spacing w:after="0" w:line="240" w:lineRule="auto"/>
              <w:jc w:val="center"/>
              <w:rPr>
                <w:sz w:val="20"/>
                <w:szCs w:val="20"/>
              </w:rPr>
            </w:pPr>
            <w:r w:rsidRPr="00E51F92">
              <w:rPr>
                <w:sz w:val="20"/>
                <w:szCs w:val="20"/>
              </w:rPr>
              <w:t>(</w:t>
            </w:r>
            <w:r w:rsidR="007C3408">
              <w:rPr>
                <w:sz w:val="20"/>
                <w:szCs w:val="20"/>
              </w:rPr>
              <w:t>2</w:t>
            </w:r>
            <w:r w:rsidRPr="00E51F92">
              <w:rPr>
                <w:sz w:val="20"/>
                <w:szCs w:val="20"/>
              </w:rPr>
              <w:t>%)</w:t>
            </w:r>
          </w:p>
        </w:tc>
        <w:tc>
          <w:tcPr>
            <w:tcW w:w="1908" w:type="pct"/>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1DDB8A55" w14:textId="04C0BC1C" w:rsidR="00CC0C10" w:rsidRDefault="00CC0C10" w:rsidP="0015703C">
            <w:pPr>
              <w:pStyle w:val="Body"/>
              <w:spacing w:after="0" w:line="240" w:lineRule="auto"/>
              <w:ind w:right="385"/>
              <w:jc w:val="center"/>
              <w:rPr>
                <w:sz w:val="20"/>
                <w:szCs w:val="20"/>
              </w:rPr>
            </w:pPr>
            <w:r w:rsidRPr="7ACA0E52">
              <w:rPr>
                <w:sz w:val="20"/>
                <w:szCs w:val="20"/>
              </w:rPr>
              <w:t>$</w:t>
            </w:r>
            <w:r w:rsidR="00954FA4">
              <w:rPr>
                <w:sz w:val="20"/>
                <w:szCs w:val="20"/>
              </w:rPr>
              <w:t>784,000</w:t>
            </w:r>
          </w:p>
          <w:p w14:paraId="3BE51208" w14:textId="79ED78D7" w:rsidR="00CC0C10" w:rsidRPr="7ACA0E52" w:rsidRDefault="00CC0C10" w:rsidP="0015703C">
            <w:pPr>
              <w:pStyle w:val="Body"/>
              <w:spacing w:after="0" w:line="240" w:lineRule="auto"/>
              <w:ind w:right="385"/>
              <w:jc w:val="center"/>
              <w:rPr>
                <w:sz w:val="20"/>
                <w:szCs w:val="20"/>
              </w:rPr>
            </w:pPr>
            <w:r w:rsidRPr="00E51F92">
              <w:rPr>
                <w:sz w:val="20"/>
                <w:szCs w:val="20"/>
              </w:rPr>
              <w:t>(</w:t>
            </w:r>
            <w:r w:rsidR="00954FA4">
              <w:rPr>
                <w:sz w:val="20"/>
                <w:szCs w:val="20"/>
              </w:rPr>
              <w:t>2</w:t>
            </w:r>
            <w:r w:rsidRPr="00E51F92">
              <w:rPr>
                <w:sz w:val="20"/>
                <w:szCs w:val="20"/>
              </w:rPr>
              <w:t>%)</w:t>
            </w:r>
          </w:p>
        </w:tc>
      </w:tr>
      <w:tr w:rsidR="00CC0C10" w14:paraId="4A9FC01D" w14:textId="77777777" w:rsidTr="0015703C">
        <w:trPr>
          <w:trHeight w:val="20"/>
        </w:trPr>
        <w:tc>
          <w:tcPr>
            <w:tcW w:w="1593" w:type="pct"/>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28684620" w14:textId="77777777" w:rsidR="00CC0C10" w:rsidRPr="003A15C4" w:rsidRDefault="00CC0C10" w:rsidP="00CC0C10">
            <w:pPr>
              <w:pStyle w:val="Body"/>
              <w:spacing w:after="0"/>
              <w:rPr>
                <w:b/>
                <w:sz w:val="20"/>
                <w:szCs w:val="20"/>
              </w:rPr>
            </w:pPr>
            <w:r w:rsidRPr="7ACA0E52">
              <w:rPr>
                <w:b/>
                <w:bCs/>
                <w:sz w:val="20"/>
                <w:szCs w:val="20"/>
              </w:rPr>
              <w:t>All</w:t>
            </w:r>
          </w:p>
        </w:tc>
        <w:tc>
          <w:tcPr>
            <w:tcW w:w="1499" w:type="pct"/>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63BCF18B" w14:textId="77777777" w:rsidR="00CC0C10" w:rsidRDefault="00CC0C10" w:rsidP="00CC0C10">
            <w:pPr>
              <w:pStyle w:val="Body"/>
              <w:spacing w:after="0" w:line="240" w:lineRule="auto"/>
              <w:jc w:val="center"/>
              <w:rPr>
                <w:b/>
                <w:sz w:val="20"/>
                <w:szCs w:val="20"/>
              </w:rPr>
            </w:pPr>
            <w:r>
              <w:rPr>
                <w:b/>
                <w:sz w:val="20"/>
                <w:szCs w:val="20"/>
              </w:rPr>
              <w:t>14,197</w:t>
            </w:r>
          </w:p>
          <w:p w14:paraId="628B575B" w14:textId="77777777" w:rsidR="00CC0C10" w:rsidRPr="00301093" w:rsidRDefault="00CC0C10" w:rsidP="00CC0C10">
            <w:pPr>
              <w:pStyle w:val="Body"/>
              <w:spacing w:after="0" w:line="240" w:lineRule="auto"/>
              <w:jc w:val="center"/>
              <w:rPr>
                <w:b/>
                <w:bCs/>
                <w:sz w:val="20"/>
                <w:szCs w:val="20"/>
              </w:rPr>
            </w:pPr>
            <w:r w:rsidRPr="00E51F92">
              <w:rPr>
                <w:b/>
                <w:sz w:val="20"/>
                <w:szCs w:val="20"/>
              </w:rPr>
              <w:t>(100%)</w:t>
            </w:r>
          </w:p>
        </w:tc>
        <w:tc>
          <w:tcPr>
            <w:tcW w:w="1908" w:type="pct"/>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16A3338D" w14:textId="77777777" w:rsidR="00CC0C10" w:rsidRPr="00A75DF5" w:rsidRDefault="00CC0C10" w:rsidP="0015703C">
            <w:pPr>
              <w:pStyle w:val="Body"/>
              <w:spacing w:after="0" w:line="240" w:lineRule="auto"/>
              <w:ind w:right="385"/>
              <w:jc w:val="center"/>
              <w:rPr>
                <w:b/>
                <w:bCs/>
                <w:color w:val="auto"/>
                <w:sz w:val="20"/>
                <w:szCs w:val="20"/>
              </w:rPr>
            </w:pPr>
            <w:r w:rsidRPr="7ACA0E52">
              <w:rPr>
                <w:b/>
                <w:bCs/>
                <w:color w:val="auto"/>
                <w:sz w:val="20"/>
                <w:szCs w:val="20"/>
              </w:rPr>
              <w:t>$</w:t>
            </w:r>
            <w:r>
              <w:rPr>
                <w:b/>
                <w:bCs/>
                <w:color w:val="auto"/>
                <w:sz w:val="20"/>
                <w:szCs w:val="20"/>
              </w:rPr>
              <w:t>32,757,385</w:t>
            </w:r>
          </w:p>
          <w:p w14:paraId="0DFD5482" w14:textId="77777777" w:rsidR="00CC0C10" w:rsidRPr="00301093" w:rsidRDefault="00CC0C10" w:rsidP="0015703C">
            <w:pPr>
              <w:pStyle w:val="Body"/>
              <w:spacing w:after="0" w:line="240" w:lineRule="auto"/>
              <w:ind w:right="385"/>
              <w:jc w:val="center"/>
              <w:rPr>
                <w:b/>
                <w:bCs/>
                <w:color w:val="00B0F0"/>
                <w:sz w:val="20"/>
                <w:szCs w:val="20"/>
              </w:rPr>
            </w:pPr>
            <w:r w:rsidRPr="7ACA0E52">
              <w:rPr>
                <w:b/>
                <w:bCs/>
                <w:color w:val="auto"/>
                <w:sz w:val="20"/>
                <w:szCs w:val="20"/>
              </w:rPr>
              <w:t>(100%)</w:t>
            </w:r>
          </w:p>
        </w:tc>
      </w:tr>
    </w:tbl>
    <w:p w14:paraId="2E4AC66A" w14:textId="77777777" w:rsidR="00A56BEF" w:rsidRDefault="00A56BEF" w:rsidP="00811AE9">
      <w:pPr>
        <w:pStyle w:val="TableFigureNumber0"/>
      </w:pPr>
    </w:p>
    <w:p w14:paraId="7F056D9F" w14:textId="77777777" w:rsidR="00A56BEF" w:rsidRDefault="00A56BEF" w:rsidP="00811AE9">
      <w:pPr>
        <w:pStyle w:val="TableFigureNumber0"/>
      </w:pPr>
    </w:p>
    <w:p w14:paraId="7E9A51BB" w14:textId="77777777" w:rsidR="00A56BEF" w:rsidRDefault="00A56BEF" w:rsidP="00811AE9">
      <w:pPr>
        <w:pStyle w:val="TableFigureNumber0"/>
      </w:pPr>
    </w:p>
    <w:p w14:paraId="560A1DE9" w14:textId="77777777" w:rsidR="00A56BEF" w:rsidRDefault="00A56BEF" w:rsidP="00811AE9">
      <w:pPr>
        <w:pStyle w:val="TableFigureNumber0"/>
      </w:pPr>
    </w:p>
    <w:p w14:paraId="39EB96B2" w14:textId="77777777" w:rsidR="00A56BEF" w:rsidRDefault="00A56BEF" w:rsidP="00811AE9">
      <w:pPr>
        <w:pStyle w:val="TableFigureNumber0"/>
      </w:pPr>
    </w:p>
    <w:p w14:paraId="1F483596" w14:textId="77777777" w:rsidR="0000244A" w:rsidRDefault="0000244A">
      <w:pPr>
        <w:spacing w:after="0" w:line="240" w:lineRule="auto"/>
        <w:rPr>
          <w:rFonts w:eastAsiaTheme="majorEastAsia" w:cs="Calibri"/>
          <w:caps/>
          <w:color w:val="0695E5" w:themeColor="accent3"/>
          <w:sz w:val="20"/>
          <w:szCs w:val="24"/>
          <w:bdr w:val="none" w:sz="0" w:space="0" w:color="auto"/>
        </w:rPr>
      </w:pPr>
      <w:r>
        <w:br w:type="page"/>
      </w:r>
    </w:p>
    <w:p w14:paraId="2E10BF05" w14:textId="765BE546" w:rsidR="00CA2388" w:rsidRPr="005D5305" w:rsidRDefault="00CA2388" w:rsidP="00811AE9">
      <w:pPr>
        <w:pStyle w:val="TableFigureNumber0"/>
        <w:rPr>
          <w:b/>
          <w:bCs/>
          <w:color w:val="0579BD"/>
        </w:rPr>
      </w:pPr>
      <w:r w:rsidRPr="005D5305">
        <w:rPr>
          <w:color w:val="0579BD"/>
        </w:rPr>
        <w:lastRenderedPageBreak/>
        <w:t xml:space="preserve">TABLE </w:t>
      </w:r>
      <w:r w:rsidR="00444FE2" w:rsidRPr="005D5305">
        <w:rPr>
          <w:color w:val="0579BD"/>
        </w:rPr>
        <w:t>D</w:t>
      </w:r>
      <w:r w:rsidR="00811AE9" w:rsidRPr="005D5305">
        <w:rPr>
          <w:color w:val="0579BD"/>
        </w:rPr>
        <w:t>2</w:t>
      </w:r>
    </w:p>
    <w:p w14:paraId="537CE307" w14:textId="77777777" w:rsidR="00CA2388" w:rsidRDefault="00CA2388" w:rsidP="00CA2388">
      <w:pPr>
        <w:pStyle w:val="TableFigureheader"/>
      </w:pPr>
      <w:r>
        <w:t>Rebates by Vehicle Technology Type</w:t>
      </w:r>
    </w:p>
    <w:p w14:paraId="791E76EE" w14:textId="66B9CFB0" w:rsidR="00CA2388" w:rsidRDefault="00444FE2" w:rsidP="00CA2388">
      <w:pPr>
        <w:pStyle w:val="TableFigureSubtitle"/>
      </w:pPr>
      <w:r>
        <w:t>Fleet Participants</w:t>
      </w:r>
    </w:p>
    <w:tbl>
      <w:tblPr>
        <w:tblpPr w:leftFromText="187" w:rightFromText="187" w:topFromText="29" w:bottomFromText="29" w:vertAnchor="text" w:horzAnchor="margin" w:tblpY="59"/>
        <w:tblW w:w="447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DBEBCF"/>
        <w:tblLayout w:type="fixed"/>
        <w:tblCellMar>
          <w:top w:w="58" w:type="dxa"/>
          <w:left w:w="86" w:type="dxa"/>
          <w:bottom w:w="58" w:type="dxa"/>
          <w:right w:w="86" w:type="dxa"/>
        </w:tblCellMar>
        <w:tblLook w:val="04A0" w:firstRow="1" w:lastRow="0" w:firstColumn="1" w:lastColumn="0" w:noHBand="0" w:noVBand="1"/>
      </w:tblPr>
      <w:tblGrid>
        <w:gridCol w:w="1885"/>
        <w:gridCol w:w="3060"/>
        <w:gridCol w:w="3420"/>
      </w:tblGrid>
      <w:tr w:rsidR="00513BB1" w:rsidRPr="003A15C4" w14:paraId="6F180DDB" w14:textId="77777777" w:rsidTr="000D45C1">
        <w:trPr>
          <w:trHeight w:val="260"/>
        </w:trPr>
        <w:tc>
          <w:tcPr>
            <w:tcW w:w="1127" w:type="pct"/>
            <w:shd w:val="clear" w:color="auto" w:fill="3C3A4C"/>
            <w:tcMar>
              <w:top w:w="80" w:type="dxa"/>
              <w:left w:w="80" w:type="dxa"/>
              <w:bottom w:w="80" w:type="dxa"/>
              <w:right w:w="80" w:type="dxa"/>
            </w:tcMar>
          </w:tcPr>
          <w:p w14:paraId="3A29D78C" w14:textId="3C48FB6B" w:rsidR="00513BB1" w:rsidRPr="003A15C4" w:rsidRDefault="00513BB1">
            <w:pPr>
              <w:pStyle w:val="Body"/>
              <w:spacing w:after="0" w:line="240" w:lineRule="auto"/>
              <w:rPr>
                <w:sz w:val="20"/>
                <w:szCs w:val="20"/>
              </w:rPr>
            </w:pPr>
            <w:r>
              <w:rPr>
                <w:b/>
                <w:bCs/>
                <w:color w:val="FFFFFF" w:themeColor="background1"/>
                <w:sz w:val="20"/>
                <w:szCs w:val="20"/>
              </w:rPr>
              <w:t xml:space="preserve">Technology </w:t>
            </w:r>
            <w:r w:rsidRPr="7ACA0E52">
              <w:rPr>
                <w:b/>
                <w:bCs/>
                <w:color w:val="FFFFFF" w:themeColor="background1"/>
                <w:sz w:val="20"/>
                <w:szCs w:val="20"/>
              </w:rPr>
              <w:t>Type</w:t>
            </w:r>
          </w:p>
        </w:tc>
        <w:tc>
          <w:tcPr>
            <w:tcW w:w="1829" w:type="pct"/>
            <w:shd w:val="clear" w:color="auto" w:fill="3C3A4C"/>
            <w:tcMar>
              <w:top w:w="80" w:type="dxa"/>
              <w:left w:w="80" w:type="dxa"/>
              <w:bottom w:w="80" w:type="dxa"/>
              <w:right w:w="80" w:type="dxa"/>
            </w:tcMar>
          </w:tcPr>
          <w:p w14:paraId="723EFA69" w14:textId="77777777" w:rsidR="00513BB1" w:rsidRPr="003A15C4" w:rsidRDefault="00513BB1">
            <w:pPr>
              <w:pStyle w:val="Body"/>
              <w:spacing w:after="0" w:line="240" w:lineRule="auto"/>
              <w:jc w:val="center"/>
              <w:rPr>
                <w:sz w:val="20"/>
                <w:szCs w:val="20"/>
              </w:rPr>
            </w:pPr>
            <w:r w:rsidRPr="7ACA0E52">
              <w:rPr>
                <w:b/>
                <w:bCs/>
                <w:color w:val="FFFFFF" w:themeColor="background1"/>
                <w:sz w:val="20"/>
                <w:szCs w:val="20"/>
              </w:rPr>
              <w:t>Rebate Counts</w:t>
            </w:r>
          </w:p>
        </w:tc>
        <w:tc>
          <w:tcPr>
            <w:tcW w:w="2044" w:type="pct"/>
            <w:shd w:val="clear" w:color="auto" w:fill="3C3A4C"/>
            <w:tcMar>
              <w:top w:w="80" w:type="dxa"/>
              <w:left w:w="80" w:type="dxa"/>
              <w:bottom w:w="80" w:type="dxa"/>
              <w:right w:w="80" w:type="dxa"/>
            </w:tcMar>
          </w:tcPr>
          <w:p w14:paraId="75198534" w14:textId="77777777" w:rsidR="00513BB1" w:rsidRPr="003A15C4" w:rsidRDefault="00513BB1">
            <w:pPr>
              <w:pStyle w:val="Body"/>
              <w:spacing w:after="0" w:line="240" w:lineRule="auto"/>
              <w:jc w:val="center"/>
              <w:rPr>
                <w:sz w:val="20"/>
                <w:szCs w:val="20"/>
              </w:rPr>
            </w:pPr>
            <w:r w:rsidRPr="7ACA0E52">
              <w:rPr>
                <w:b/>
                <w:bCs/>
                <w:color w:val="FFFFFF" w:themeColor="background1"/>
                <w:sz w:val="20"/>
                <w:szCs w:val="20"/>
              </w:rPr>
              <w:t>Total Rebate Dollars</w:t>
            </w:r>
          </w:p>
        </w:tc>
      </w:tr>
      <w:tr w:rsidR="00513BB1" w:rsidRPr="00E65889" w14:paraId="4A19C385" w14:textId="77777777" w:rsidTr="000D45C1">
        <w:trPr>
          <w:trHeight w:val="20"/>
        </w:trPr>
        <w:tc>
          <w:tcPr>
            <w:tcW w:w="1127" w:type="pct"/>
            <w:tcMar>
              <w:top w:w="80" w:type="dxa"/>
              <w:left w:w="80" w:type="dxa"/>
              <w:bottom w:w="80" w:type="dxa"/>
              <w:right w:w="80" w:type="dxa"/>
            </w:tcMar>
            <w:vAlign w:val="center"/>
          </w:tcPr>
          <w:p w14:paraId="08D86F0B" w14:textId="2B9C16B4" w:rsidR="00513BB1" w:rsidRPr="00E65889" w:rsidRDefault="00513BB1">
            <w:pPr>
              <w:pStyle w:val="Body"/>
              <w:spacing w:after="0"/>
              <w:rPr>
                <w:sz w:val="20"/>
                <w:szCs w:val="20"/>
              </w:rPr>
            </w:pPr>
            <w:r>
              <w:rPr>
                <w:b/>
                <w:bCs/>
                <w:sz w:val="20"/>
                <w:szCs w:val="20"/>
              </w:rPr>
              <w:t>PHEV</w:t>
            </w:r>
          </w:p>
        </w:tc>
        <w:tc>
          <w:tcPr>
            <w:tcW w:w="1829" w:type="pct"/>
            <w:tcMar>
              <w:top w:w="80" w:type="dxa"/>
              <w:left w:w="80" w:type="dxa"/>
              <w:bottom w:w="80" w:type="dxa"/>
              <w:right w:w="80" w:type="dxa"/>
            </w:tcMar>
            <w:vAlign w:val="center"/>
          </w:tcPr>
          <w:p w14:paraId="72289C6F" w14:textId="716776A7" w:rsidR="00513BB1" w:rsidRDefault="00513BB1">
            <w:pPr>
              <w:pStyle w:val="Body"/>
              <w:spacing w:after="0" w:line="240" w:lineRule="auto"/>
              <w:jc w:val="center"/>
              <w:rPr>
                <w:sz w:val="20"/>
                <w:szCs w:val="20"/>
              </w:rPr>
            </w:pPr>
            <w:r>
              <w:rPr>
                <w:sz w:val="20"/>
                <w:szCs w:val="20"/>
              </w:rPr>
              <w:t xml:space="preserve">3,140 </w:t>
            </w:r>
          </w:p>
          <w:p w14:paraId="1B064B4F" w14:textId="144BB9D3" w:rsidR="00513BB1" w:rsidRPr="00E51F92" w:rsidRDefault="00513BB1">
            <w:pPr>
              <w:pStyle w:val="Body"/>
              <w:spacing w:after="0" w:line="240" w:lineRule="auto"/>
              <w:jc w:val="center"/>
              <w:rPr>
                <w:sz w:val="20"/>
                <w:szCs w:val="20"/>
              </w:rPr>
            </w:pPr>
            <w:r w:rsidRPr="00E51F92">
              <w:rPr>
                <w:sz w:val="20"/>
                <w:szCs w:val="20"/>
              </w:rPr>
              <w:t>(</w:t>
            </w:r>
            <w:r>
              <w:rPr>
                <w:sz w:val="20"/>
                <w:szCs w:val="20"/>
              </w:rPr>
              <w:t>22</w:t>
            </w:r>
            <w:r w:rsidRPr="00E51F92">
              <w:rPr>
                <w:sz w:val="20"/>
                <w:szCs w:val="20"/>
              </w:rPr>
              <w:t>%)</w:t>
            </w:r>
          </w:p>
        </w:tc>
        <w:tc>
          <w:tcPr>
            <w:tcW w:w="2044" w:type="pct"/>
            <w:tcMar>
              <w:top w:w="80" w:type="dxa"/>
              <w:left w:w="80" w:type="dxa"/>
              <w:bottom w:w="80" w:type="dxa"/>
              <w:right w:w="80" w:type="dxa"/>
            </w:tcMar>
            <w:vAlign w:val="center"/>
          </w:tcPr>
          <w:p w14:paraId="5B83C846" w14:textId="50EC898E" w:rsidR="00513BB1" w:rsidRPr="00E51F92" w:rsidRDefault="00513BB1" w:rsidP="000D45C1">
            <w:pPr>
              <w:pStyle w:val="Body"/>
              <w:spacing w:after="0" w:line="240" w:lineRule="auto"/>
              <w:ind w:right="385"/>
              <w:jc w:val="center"/>
              <w:rPr>
                <w:sz w:val="20"/>
                <w:szCs w:val="20"/>
              </w:rPr>
            </w:pPr>
            <w:r w:rsidRPr="00E51F92">
              <w:rPr>
                <w:sz w:val="20"/>
                <w:szCs w:val="20"/>
              </w:rPr>
              <w:t>$</w:t>
            </w:r>
            <w:r w:rsidR="00F56AB2">
              <w:rPr>
                <w:sz w:val="20"/>
                <w:szCs w:val="20"/>
              </w:rPr>
              <w:t>5</w:t>
            </w:r>
            <w:r>
              <w:rPr>
                <w:sz w:val="20"/>
                <w:szCs w:val="20"/>
              </w:rPr>
              <w:t>,</w:t>
            </w:r>
            <w:r w:rsidR="00F56AB2">
              <w:rPr>
                <w:sz w:val="20"/>
                <w:szCs w:val="20"/>
              </w:rPr>
              <w:t>093</w:t>
            </w:r>
            <w:r>
              <w:rPr>
                <w:sz w:val="20"/>
                <w:szCs w:val="20"/>
              </w:rPr>
              <w:t>,</w:t>
            </w:r>
            <w:r w:rsidR="00F56AB2">
              <w:rPr>
                <w:sz w:val="20"/>
                <w:szCs w:val="20"/>
              </w:rPr>
              <w:t>150</w:t>
            </w:r>
          </w:p>
          <w:p w14:paraId="69A71692" w14:textId="5376940C" w:rsidR="00513BB1" w:rsidRPr="00E65889" w:rsidRDefault="00513BB1" w:rsidP="000D45C1">
            <w:pPr>
              <w:pStyle w:val="Body"/>
              <w:spacing w:after="0" w:line="240" w:lineRule="auto"/>
              <w:ind w:right="385"/>
              <w:jc w:val="center"/>
              <w:rPr>
                <w:sz w:val="20"/>
                <w:szCs w:val="20"/>
              </w:rPr>
            </w:pPr>
            <w:r w:rsidRPr="00E51F92">
              <w:rPr>
                <w:sz w:val="20"/>
                <w:szCs w:val="20"/>
              </w:rPr>
              <w:t>(</w:t>
            </w:r>
            <w:r w:rsidR="00F56AB2">
              <w:rPr>
                <w:sz w:val="20"/>
                <w:szCs w:val="20"/>
              </w:rPr>
              <w:t>16</w:t>
            </w:r>
            <w:r w:rsidRPr="00E51F92">
              <w:rPr>
                <w:sz w:val="20"/>
                <w:szCs w:val="20"/>
              </w:rPr>
              <w:t>%)</w:t>
            </w:r>
          </w:p>
        </w:tc>
      </w:tr>
      <w:tr w:rsidR="00513BB1" w:rsidRPr="00E51F92" w14:paraId="6EADB842" w14:textId="77777777" w:rsidTr="000D45C1">
        <w:trPr>
          <w:trHeight w:val="20"/>
        </w:trPr>
        <w:tc>
          <w:tcPr>
            <w:tcW w:w="1127" w:type="pct"/>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596E8F0B" w14:textId="25D7707D" w:rsidR="00513BB1" w:rsidRPr="00513BB1" w:rsidRDefault="00513BB1">
            <w:pPr>
              <w:pStyle w:val="Body"/>
              <w:spacing w:after="0"/>
              <w:rPr>
                <w:b/>
                <w:bCs/>
                <w:sz w:val="20"/>
                <w:szCs w:val="20"/>
              </w:rPr>
            </w:pPr>
            <w:r w:rsidRPr="00513BB1">
              <w:rPr>
                <w:b/>
                <w:bCs/>
                <w:sz w:val="20"/>
                <w:szCs w:val="20"/>
              </w:rPr>
              <w:t>BEV</w:t>
            </w:r>
          </w:p>
        </w:tc>
        <w:tc>
          <w:tcPr>
            <w:tcW w:w="1829" w:type="pct"/>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01728F03" w14:textId="6FCC2820" w:rsidR="00513BB1" w:rsidRDefault="00513BB1">
            <w:pPr>
              <w:pStyle w:val="Body"/>
              <w:spacing w:after="0" w:line="240" w:lineRule="auto"/>
              <w:jc w:val="center"/>
              <w:rPr>
                <w:sz w:val="20"/>
                <w:szCs w:val="20"/>
              </w:rPr>
            </w:pPr>
            <w:r>
              <w:rPr>
                <w:sz w:val="20"/>
                <w:szCs w:val="20"/>
              </w:rPr>
              <w:t>10,743</w:t>
            </w:r>
          </w:p>
          <w:p w14:paraId="22E51CCA" w14:textId="4BA4B9D5" w:rsidR="00513BB1" w:rsidRPr="00E51F92" w:rsidRDefault="00513BB1">
            <w:pPr>
              <w:pStyle w:val="Body"/>
              <w:spacing w:after="0" w:line="240" w:lineRule="auto"/>
              <w:jc w:val="center"/>
              <w:rPr>
                <w:sz w:val="20"/>
                <w:szCs w:val="20"/>
              </w:rPr>
            </w:pPr>
            <w:r w:rsidRPr="00E51F92">
              <w:rPr>
                <w:sz w:val="20"/>
                <w:szCs w:val="20"/>
              </w:rPr>
              <w:t>(</w:t>
            </w:r>
            <w:r>
              <w:rPr>
                <w:sz w:val="20"/>
                <w:szCs w:val="20"/>
              </w:rPr>
              <w:t>76%</w:t>
            </w:r>
            <w:r w:rsidRPr="00E51F92">
              <w:rPr>
                <w:sz w:val="20"/>
                <w:szCs w:val="20"/>
              </w:rPr>
              <w:t>)</w:t>
            </w:r>
          </w:p>
        </w:tc>
        <w:tc>
          <w:tcPr>
            <w:tcW w:w="2044" w:type="pct"/>
            <w:tcBorders>
              <w:bottom w:val="single" w:sz="6" w:space="0" w:color="FFFFFF" w:themeColor="background1"/>
            </w:tcBorders>
            <w:shd w:val="clear" w:color="auto" w:fill="F2F2F2" w:themeFill="background1" w:themeFillShade="F2"/>
            <w:tcMar>
              <w:top w:w="80" w:type="dxa"/>
              <w:left w:w="80" w:type="dxa"/>
              <w:bottom w:w="80" w:type="dxa"/>
              <w:right w:w="80" w:type="dxa"/>
            </w:tcMar>
            <w:vAlign w:val="center"/>
          </w:tcPr>
          <w:p w14:paraId="75FE966A" w14:textId="1D65FBEF" w:rsidR="00F56AB2" w:rsidRPr="00E51F92" w:rsidRDefault="00F56AB2" w:rsidP="000D45C1">
            <w:pPr>
              <w:pStyle w:val="Body"/>
              <w:spacing w:after="0" w:line="240" w:lineRule="auto"/>
              <w:ind w:right="385"/>
              <w:jc w:val="center"/>
              <w:rPr>
                <w:sz w:val="20"/>
                <w:szCs w:val="20"/>
              </w:rPr>
            </w:pPr>
            <w:r w:rsidRPr="00E51F92">
              <w:rPr>
                <w:sz w:val="20"/>
                <w:szCs w:val="20"/>
              </w:rPr>
              <w:t>$</w:t>
            </w:r>
            <w:r>
              <w:rPr>
                <w:sz w:val="20"/>
                <w:szCs w:val="20"/>
              </w:rPr>
              <w:t>26,112,235</w:t>
            </w:r>
          </w:p>
          <w:p w14:paraId="4D988185" w14:textId="42DD4FA0" w:rsidR="00513BB1" w:rsidRPr="00E51F92" w:rsidRDefault="00F56AB2" w:rsidP="000D45C1">
            <w:pPr>
              <w:pStyle w:val="Body"/>
              <w:spacing w:after="0" w:line="240" w:lineRule="auto"/>
              <w:ind w:right="385"/>
              <w:jc w:val="center"/>
              <w:rPr>
                <w:color w:val="FFFF00"/>
                <w:sz w:val="20"/>
                <w:szCs w:val="20"/>
              </w:rPr>
            </w:pPr>
            <w:r w:rsidRPr="00E51F92">
              <w:rPr>
                <w:sz w:val="20"/>
                <w:szCs w:val="20"/>
              </w:rPr>
              <w:t>(</w:t>
            </w:r>
            <w:r>
              <w:rPr>
                <w:sz w:val="20"/>
                <w:szCs w:val="20"/>
              </w:rPr>
              <w:t>80</w:t>
            </w:r>
            <w:r w:rsidRPr="00E51F92">
              <w:rPr>
                <w:sz w:val="20"/>
                <w:szCs w:val="20"/>
              </w:rPr>
              <w:t>%)</w:t>
            </w:r>
          </w:p>
        </w:tc>
      </w:tr>
      <w:tr w:rsidR="00513BB1" w:rsidRPr="00E65889" w14:paraId="5F0FC7C7" w14:textId="77777777" w:rsidTr="000D45C1">
        <w:trPr>
          <w:trHeight w:val="20"/>
        </w:trPr>
        <w:tc>
          <w:tcPr>
            <w:tcW w:w="1127" w:type="pct"/>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1982C03A" w14:textId="107643CD" w:rsidR="00513BB1" w:rsidRPr="00445151" w:rsidRDefault="00513BB1">
            <w:pPr>
              <w:pStyle w:val="Body"/>
              <w:spacing w:after="0"/>
              <w:rPr>
                <w:b/>
                <w:bCs/>
                <w:sz w:val="20"/>
                <w:szCs w:val="20"/>
              </w:rPr>
            </w:pPr>
            <w:r>
              <w:rPr>
                <w:b/>
                <w:bCs/>
                <w:sz w:val="20"/>
                <w:szCs w:val="20"/>
              </w:rPr>
              <w:t>FCEV</w:t>
            </w:r>
          </w:p>
        </w:tc>
        <w:tc>
          <w:tcPr>
            <w:tcW w:w="1829" w:type="pct"/>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48153B79" w14:textId="01F9C5D1" w:rsidR="00513BB1" w:rsidRPr="00E51F92" w:rsidRDefault="00513BB1">
            <w:pPr>
              <w:pStyle w:val="Body"/>
              <w:spacing w:after="0" w:line="240" w:lineRule="auto"/>
              <w:jc w:val="center"/>
              <w:rPr>
                <w:sz w:val="20"/>
                <w:szCs w:val="20"/>
              </w:rPr>
            </w:pPr>
            <w:r>
              <w:rPr>
                <w:sz w:val="20"/>
                <w:szCs w:val="20"/>
              </w:rPr>
              <w:t>314</w:t>
            </w:r>
          </w:p>
          <w:p w14:paraId="719778F4" w14:textId="5828BCD1" w:rsidR="00513BB1" w:rsidRPr="00E65889" w:rsidRDefault="00513BB1">
            <w:pPr>
              <w:pStyle w:val="Body"/>
              <w:spacing w:after="0"/>
              <w:jc w:val="center"/>
              <w:rPr>
                <w:sz w:val="20"/>
                <w:szCs w:val="20"/>
              </w:rPr>
            </w:pPr>
            <w:r w:rsidRPr="00E51F92">
              <w:rPr>
                <w:sz w:val="20"/>
                <w:szCs w:val="20"/>
              </w:rPr>
              <w:t>(</w:t>
            </w:r>
            <w:r>
              <w:rPr>
                <w:sz w:val="20"/>
                <w:szCs w:val="20"/>
              </w:rPr>
              <w:t>2</w:t>
            </w:r>
            <w:r w:rsidRPr="00E51F92">
              <w:rPr>
                <w:sz w:val="20"/>
                <w:szCs w:val="20"/>
              </w:rPr>
              <w:t>%)</w:t>
            </w:r>
          </w:p>
        </w:tc>
        <w:tc>
          <w:tcPr>
            <w:tcW w:w="2044" w:type="pct"/>
            <w:tcBorders>
              <w:top w:val="single" w:sz="6" w:space="0" w:color="FFFFFF" w:themeColor="background1"/>
              <w:bottom w:val="single" w:sz="4" w:space="0" w:color="535353" w:themeColor="text2" w:themeShade="80"/>
            </w:tcBorders>
            <w:tcMar>
              <w:top w:w="80" w:type="dxa"/>
              <w:left w:w="80" w:type="dxa"/>
              <w:bottom w:w="80" w:type="dxa"/>
              <w:right w:w="80" w:type="dxa"/>
            </w:tcMar>
            <w:vAlign w:val="center"/>
          </w:tcPr>
          <w:p w14:paraId="5B082D56" w14:textId="6C7EB027" w:rsidR="00513BB1" w:rsidRDefault="00513BB1" w:rsidP="000D45C1">
            <w:pPr>
              <w:pStyle w:val="Body"/>
              <w:spacing w:after="0" w:line="240" w:lineRule="auto"/>
              <w:ind w:right="385"/>
              <w:jc w:val="center"/>
              <w:rPr>
                <w:sz w:val="20"/>
                <w:szCs w:val="20"/>
              </w:rPr>
            </w:pPr>
            <w:r w:rsidRPr="7ACA0E52">
              <w:rPr>
                <w:sz w:val="20"/>
                <w:szCs w:val="20"/>
              </w:rPr>
              <w:t>$</w:t>
            </w:r>
            <w:r w:rsidR="00F56AB2">
              <w:rPr>
                <w:sz w:val="20"/>
                <w:szCs w:val="20"/>
              </w:rPr>
              <w:t>1</w:t>
            </w:r>
            <w:r>
              <w:rPr>
                <w:sz w:val="20"/>
                <w:szCs w:val="20"/>
              </w:rPr>
              <w:t>,</w:t>
            </w:r>
            <w:r w:rsidR="00F56AB2">
              <w:rPr>
                <w:sz w:val="20"/>
                <w:szCs w:val="20"/>
              </w:rPr>
              <w:t>552</w:t>
            </w:r>
            <w:r>
              <w:rPr>
                <w:sz w:val="20"/>
                <w:szCs w:val="20"/>
              </w:rPr>
              <w:t>,</w:t>
            </w:r>
            <w:r w:rsidR="00F56AB2">
              <w:rPr>
                <w:sz w:val="20"/>
                <w:szCs w:val="20"/>
              </w:rPr>
              <w:t>0</w:t>
            </w:r>
            <w:r>
              <w:rPr>
                <w:sz w:val="20"/>
                <w:szCs w:val="20"/>
              </w:rPr>
              <w:t>00</w:t>
            </w:r>
          </w:p>
          <w:p w14:paraId="63C03074" w14:textId="4BD5F804" w:rsidR="00513BB1" w:rsidRPr="00E65889" w:rsidRDefault="00513BB1" w:rsidP="000D45C1">
            <w:pPr>
              <w:pStyle w:val="Body"/>
              <w:spacing w:after="0" w:line="240" w:lineRule="auto"/>
              <w:ind w:right="385"/>
              <w:jc w:val="center"/>
              <w:rPr>
                <w:sz w:val="20"/>
                <w:szCs w:val="20"/>
              </w:rPr>
            </w:pPr>
            <w:r w:rsidRPr="00E51F92">
              <w:rPr>
                <w:sz w:val="20"/>
                <w:szCs w:val="20"/>
              </w:rPr>
              <w:t>(</w:t>
            </w:r>
            <w:r w:rsidR="00F56AB2">
              <w:rPr>
                <w:sz w:val="20"/>
                <w:szCs w:val="20"/>
              </w:rPr>
              <w:t>5</w:t>
            </w:r>
            <w:r w:rsidRPr="00E51F92">
              <w:rPr>
                <w:sz w:val="20"/>
                <w:szCs w:val="20"/>
              </w:rPr>
              <w:t>%)</w:t>
            </w:r>
          </w:p>
        </w:tc>
      </w:tr>
      <w:tr w:rsidR="00513BB1" w:rsidRPr="00301093" w14:paraId="0511DA64" w14:textId="77777777" w:rsidTr="000D45C1">
        <w:trPr>
          <w:trHeight w:val="20"/>
        </w:trPr>
        <w:tc>
          <w:tcPr>
            <w:tcW w:w="1127" w:type="pct"/>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3D4450AA" w14:textId="77777777" w:rsidR="00513BB1" w:rsidRPr="003A15C4" w:rsidRDefault="00513BB1">
            <w:pPr>
              <w:pStyle w:val="Body"/>
              <w:spacing w:after="0"/>
              <w:rPr>
                <w:b/>
                <w:sz w:val="20"/>
                <w:szCs w:val="20"/>
              </w:rPr>
            </w:pPr>
            <w:r w:rsidRPr="7ACA0E52">
              <w:rPr>
                <w:b/>
                <w:bCs/>
                <w:sz w:val="20"/>
                <w:szCs w:val="20"/>
              </w:rPr>
              <w:t>All</w:t>
            </w:r>
          </w:p>
        </w:tc>
        <w:tc>
          <w:tcPr>
            <w:tcW w:w="1829" w:type="pct"/>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00D75B79" w14:textId="77777777" w:rsidR="00513BB1" w:rsidRDefault="00513BB1">
            <w:pPr>
              <w:pStyle w:val="Body"/>
              <w:spacing w:after="0" w:line="240" w:lineRule="auto"/>
              <w:jc w:val="center"/>
              <w:rPr>
                <w:b/>
                <w:sz w:val="20"/>
                <w:szCs w:val="20"/>
              </w:rPr>
            </w:pPr>
            <w:r>
              <w:rPr>
                <w:b/>
                <w:sz w:val="20"/>
                <w:szCs w:val="20"/>
              </w:rPr>
              <w:t>14,197</w:t>
            </w:r>
          </w:p>
          <w:p w14:paraId="60DCD452" w14:textId="77777777" w:rsidR="00513BB1" w:rsidRPr="00301093" w:rsidRDefault="00513BB1">
            <w:pPr>
              <w:pStyle w:val="Body"/>
              <w:spacing w:after="0" w:line="240" w:lineRule="auto"/>
              <w:jc w:val="center"/>
              <w:rPr>
                <w:b/>
                <w:bCs/>
                <w:sz w:val="20"/>
                <w:szCs w:val="20"/>
              </w:rPr>
            </w:pPr>
            <w:r w:rsidRPr="00E51F92">
              <w:rPr>
                <w:b/>
                <w:sz w:val="20"/>
                <w:szCs w:val="20"/>
              </w:rPr>
              <w:t>(100%)</w:t>
            </w:r>
          </w:p>
        </w:tc>
        <w:tc>
          <w:tcPr>
            <w:tcW w:w="2044" w:type="pct"/>
            <w:tcBorders>
              <w:top w:val="single" w:sz="4" w:space="0" w:color="535353" w:themeColor="text2" w:themeShade="80"/>
            </w:tcBorders>
            <w:shd w:val="clear" w:color="auto" w:fill="F2F2F2" w:themeFill="background1" w:themeFillShade="F2"/>
            <w:tcMar>
              <w:top w:w="80" w:type="dxa"/>
              <w:left w:w="80" w:type="dxa"/>
              <w:bottom w:w="80" w:type="dxa"/>
              <w:right w:w="80" w:type="dxa"/>
            </w:tcMar>
            <w:vAlign w:val="center"/>
          </w:tcPr>
          <w:p w14:paraId="12CA43CE" w14:textId="77777777" w:rsidR="00513BB1" w:rsidRPr="00A75DF5" w:rsidRDefault="00513BB1" w:rsidP="000D45C1">
            <w:pPr>
              <w:pStyle w:val="Body"/>
              <w:spacing w:after="0" w:line="240" w:lineRule="auto"/>
              <w:ind w:right="385"/>
              <w:jc w:val="center"/>
              <w:rPr>
                <w:b/>
                <w:bCs/>
                <w:color w:val="auto"/>
                <w:sz w:val="20"/>
                <w:szCs w:val="20"/>
              </w:rPr>
            </w:pPr>
            <w:r w:rsidRPr="7ACA0E52">
              <w:rPr>
                <w:b/>
                <w:bCs/>
                <w:color w:val="auto"/>
                <w:sz w:val="20"/>
                <w:szCs w:val="20"/>
              </w:rPr>
              <w:t>$</w:t>
            </w:r>
            <w:r>
              <w:rPr>
                <w:b/>
                <w:bCs/>
                <w:color w:val="auto"/>
                <w:sz w:val="20"/>
                <w:szCs w:val="20"/>
              </w:rPr>
              <w:t>32,757,385</w:t>
            </w:r>
          </w:p>
          <w:p w14:paraId="7497F7FF" w14:textId="77777777" w:rsidR="00513BB1" w:rsidRPr="00301093" w:rsidRDefault="00513BB1" w:rsidP="000D45C1">
            <w:pPr>
              <w:pStyle w:val="Body"/>
              <w:spacing w:after="0" w:line="240" w:lineRule="auto"/>
              <w:ind w:right="385"/>
              <w:jc w:val="center"/>
              <w:rPr>
                <w:b/>
                <w:bCs/>
                <w:color w:val="00B0F0"/>
                <w:sz w:val="20"/>
                <w:szCs w:val="20"/>
              </w:rPr>
            </w:pPr>
            <w:r w:rsidRPr="7ACA0E52">
              <w:rPr>
                <w:b/>
                <w:bCs/>
                <w:color w:val="auto"/>
                <w:sz w:val="20"/>
                <w:szCs w:val="20"/>
              </w:rPr>
              <w:t>(100%)</w:t>
            </w:r>
          </w:p>
        </w:tc>
      </w:tr>
    </w:tbl>
    <w:p w14:paraId="1E159C0E" w14:textId="75348AB0" w:rsidR="00447778" w:rsidRDefault="00447778">
      <w:pPr>
        <w:spacing w:after="0" w:line="240" w:lineRule="auto"/>
      </w:pPr>
    </w:p>
    <w:p w14:paraId="166954C3" w14:textId="77777777" w:rsidR="00CC3258" w:rsidRDefault="00CC3258">
      <w:pPr>
        <w:spacing w:after="0" w:line="240" w:lineRule="auto"/>
      </w:pPr>
    </w:p>
    <w:p w14:paraId="3BEA0FE4" w14:textId="77777777" w:rsidR="00CC3258" w:rsidRDefault="00CC3258">
      <w:pPr>
        <w:spacing w:after="0" w:line="240" w:lineRule="auto"/>
      </w:pPr>
    </w:p>
    <w:p w14:paraId="7B0E166F" w14:textId="77777777" w:rsidR="00CC3258" w:rsidRDefault="00CC3258">
      <w:pPr>
        <w:spacing w:after="0" w:line="240" w:lineRule="auto"/>
      </w:pPr>
    </w:p>
    <w:p w14:paraId="46D148B9" w14:textId="77777777" w:rsidR="00CC3258" w:rsidRDefault="00CC3258">
      <w:pPr>
        <w:spacing w:after="0" w:line="240" w:lineRule="auto"/>
      </w:pPr>
    </w:p>
    <w:p w14:paraId="553C9454" w14:textId="77777777" w:rsidR="00CC3258" w:rsidRDefault="00CC3258">
      <w:pPr>
        <w:spacing w:after="0" w:line="240" w:lineRule="auto"/>
      </w:pPr>
    </w:p>
    <w:p w14:paraId="4E811990" w14:textId="77777777" w:rsidR="00CC3258" w:rsidRDefault="00CC3258">
      <w:pPr>
        <w:spacing w:after="0" w:line="240" w:lineRule="auto"/>
      </w:pPr>
    </w:p>
    <w:p w14:paraId="2D4CDA3F" w14:textId="77777777" w:rsidR="00CC3258" w:rsidRDefault="00CC3258">
      <w:pPr>
        <w:spacing w:after="0" w:line="240" w:lineRule="auto"/>
      </w:pPr>
    </w:p>
    <w:p w14:paraId="32B53DB4" w14:textId="77777777" w:rsidR="00CC3258" w:rsidRDefault="00CC3258">
      <w:pPr>
        <w:spacing w:after="0" w:line="240" w:lineRule="auto"/>
      </w:pPr>
    </w:p>
    <w:p w14:paraId="02F03837" w14:textId="77777777" w:rsidR="00CC3258" w:rsidRDefault="00CC3258">
      <w:pPr>
        <w:spacing w:after="0" w:line="240" w:lineRule="auto"/>
      </w:pPr>
    </w:p>
    <w:p w14:paraId="7AFB7BA0" w14:textId="77777777" w:rsidR="00CC3258" w:rsidRDefault="00CC3258">
      <w:pPr>
        <w:spacing w:after="0" w:line="240" w:lineRule="auto"/>
      </w:pPr>
    </w:p>
    <w:p w14:paraId="742B9E92" w14:textId="77777777" w:rsidR="00CC3258" w:rsidRDefault="00CC3258">
      <w:pPr>
        <w:spacing w:after="0" w:line="240" w:lineRule="auto"/>
      </w:pPr>
    </w:p>
    <w:p w14:paraId="363A4E5F" w14:textId="77777777" w:rsidR="000D45C1" w:rsidRDefault="000D45C1">
      <w:pPr>
        <w:spacing w:after="0" w:line="240" w:lineRule="auto"/>
      </w:pPr>
    </w:p>
    <w:p w14:paraId="49B53453" w14:textId="52926C6F" w:rsidR="000D45C1" w:rsidRDefault="000D45C1">
      <w:pPr>
        <w:spacing w:after="0" w:line="240" w:lineRule="auto"/>
      </w:pPr>
      <w:r w:rsidRPr="000D45C1">
        <w:t xml:space="preserve">California fleet-specific annual VMT data are available as detailed in Table D3. These sources indicate that commercial EVs tend to be driven slightly more miles </w:t>
      </w:r>
      <w:r w:rsidR="00856D04">
        <w:t xml:space="preserve">annually </w:t>
      </w:r>
      <w:r w:rsidRPr="000D45C1">
        <w:t>than personal EVs and government EVs are driven fewer miles.</w:t>
      </w:r>
    </w:p>
    <w:p w14:paraId="26F00216" w14:textId="2BF4A5D1" w:rsidR="00447778" w:rsidRPr="005D5305" w:rsidRDefault="00447778" w:rsidP="00811AE9">
      <w:pPr>
        <w:pStyle w:val="TableFigureNumber0"/>
        <w:rPr>
          <w:b/>
          <w:bCs/>
          <w:color w:val="0579BD"/>
        </w:rPr>
      </w:pPr>
      <w:r w:rsidRPr="005D5305">
        <w:rPr>
          <w:color w:val="0579BD"/>
        </w:rPr>
        <w:t>TABLE D3</w:t>
      </w:r>
    </w:p>
    <w:p w14:paraId="608CBC77" w14:textId="66B4DF94" w:rsidR="00447778" w:rsidRDefault="00447778" w:rsidP="00447778">
      <w:pPr>
        <w:pStyle w:val="TableFigureheader"/>
        <w:spacing w:after="120"/>
      </w:pPr>
      <w:r>
        <w:t>Annual VMT Values and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713"/>
        <w:gridCol w:w="1381"/>
        <w:gridCol w:w="4011"/>
      </w:tblGrid>
      <w:tr w:rsidR="00644CD3" w:rsidRPr="00A10071" w14:paraId="45F8A86D" w14:textId="77777777" w:rsidTr="002D2603">
        <w:trPr>
          <w:jc w:val="center"/>
        </w:trPr>
        <w:tc>
          <w:tcPr>
            <w:tcW w:w="2245" w:type="dxa"/>
            <w:shd w:val="clear" w:color="auto" w:fill="3C3A4C"/>
            <w:vAlign w:val="center"/>
          </w:tcPr>
          <w:p w14:paraId="760B364F" w14:textId="7359F260" w:rsidR="00644CD3" w:rsidRPr="00A42E30" w:rsidRDefault="00644CD3" w:rsidP="002D2603">
            <w:pPr>
              <w:pStyle w:val="Tabletext"/>
              <w:jc w:val="left"/>
              <w:rPr>
                <w:rFonts w:cs="Calibri"/>
                <w:b/>
                <w:bCs/>
                <w:color w:val="FFFFFF" w:themeColor="background1"/>
              </w:rPr>
            </w:pPr>
            <w:r w:rsidRPr="00A42E30">
              <w:rPr>
                <w:rFonts w:cs="Calibri"/>
                <w:b/>
                <w:bCs/>
                <w:color w:val="FFFFFF" w:themeColor="background1"/>
              </w:rPr>
              <w:t>Fleet Type</w:t>
            </w:r>
          </w:p>
        </w:tc>
        <w:tc>
          <w:tcPr>
            <w:tcW w:w="1713" w:type="dxa"/>
            <w:shd w:val="clear" w:color="auto" w:fill="3C3A4C"/>
            <w:vAlign w:val="center"/>
          </w:tcPr>
          <w:p w14:paraId="1226FD18" w14:textId="0BF5CD20" w:rsidR="00644CD3" w:rsidRPr="00A42E30" w:rsidRDefault="00644CD3" w:rsidP="00A85974">
            <w:pPr>
              <w:pStyle w:val="Tabletext"/>
              <w:jc w:val="center"/>
              <w:rPr>
                <w:rFonts w:cs="Calibri"/>
                <w:b/>
                <w:color w:val="FFFFFF" w:themeColor="background1"/>
              </w:rPr>
            </w:pPr>
            <w:r w:rsidRPr="00A42E30">
              <w:rPr>
                <w:rFonts w:cs="Calibri"/>
                <w:b/>
                <w:bCs/>
                <w:color w:val="FFFFFF" w:themeColor="background1"/>
              </w:rPr>
              <w:t xml:space="preserve">Technology </w:t>
            </w:r>
            <w:r w:rsidR="00DD77BE">
              <w:rPr>
                <w:rFonts w:cs="Calibri"/>
                <w:b/>
                <w:bCs/>
                <w:color w:val="FFFFFF" w:themeColor="background1"/>
              </w:rPr>
              <w:t>T</w:t>
            </w:r>
            <w:r w:rsidRPr="00A42E30">
              <w:rPr>
                <w:rFonts w:cs="Calibri"/>
                <w:b/>
                <w:bCs/>
                <w:color w:val="FFFFFF" w:themeColor="background1"/>
              </w:rPr>
              <w:t>ype</w:t>
            </w:r>
          </w:p>
        </w:tc>
        <w:tc>
          <w:tcPr>
            <w:tcW w:w="1381" w:type="dxa"/>
            <w:shd w:val="clear" w:color="auto" w:fill="3C3A4C"/>
            <w:vAlign w:val="center"/>
          </w:tcPr>
          <w:p w14:paraId="7CC84FB7" w14:textId="77777777" w:rsidR="00644CD3" w:rsidRPr="009F6BA8" w:rsidRDefault="00644CD3" w:rsidP="00A85974">
            <w:pPr>
              <w:pStyle w:val="Tabletext"/>
              <w:jc w:val="center"/>
              <w:rPr>
                <w:rFonts w:cs="Calibri"/>
                <w:b/>
                <w:bCs/>
                <w:color w:val="FFFFFF" w:themeColor="background1"/>
              </w:rPr>
            </w:pPr>
            <w:r w:rsidRPr="7ACA0E52">
              <w:rPr>
                <w:rFonts w:cs="Calibri"/>
                <w:b/>
                <w:bCs/>
                <w:color w:val="FFFFFF" w:themeColor="background1"/>
              </w:rPr>
              <w:t>Annual VMT</w:t>
            </w:r>
            <w:r>
              <w:rPr>
                <w:rFonts w:cs="Calibri"/>
                <w:b/>
                <w:bCs/>
                <w:color w:val="FFFFFF" w:themeColor="background1"/>
              </w:rPr>
              <w:t xml:space="preserve"> (First Year)</w:t>
            </w:r>
          </w:p>
        </w:tc>
        <w:tc>
          <w:tcPr>
            <w:tcW w:w="4011" w:type="dxa"/>
            <w:shd w:val="clear" w:color="auto" w:fill="3C3A4C"/>
            <w:vAlign w:val="center"/>
          </w:tcPr>
          <w:p w14:paraId="2BA7230E" w14:textId="183A70FA" w:rsidR="00644CD3" w:rsidRPr="009F6BA8" w:rsidRDefault="00A37DA2" w:rsidP="00A85974">
            <w:pPr>
              <w:pStyle w:val="Tabletext"/>
              <w:jc w:val="center"/>
              <w:rPr>
                <w:rFonts w:cs="Calibri"/>
                <w:b/>
                <w:bCs/>
                <w:color w:val="FFFFFF" w:themeColor="background1"/>
              </w:rPr>
            </w:pPr>
            <w:proofErr w:type="gramStart"/>
            <w:r>
              <w:rPr>
                <w:rFonts w:cs="Calibri"/>
                <w:b/>
                <w:bCs/>
                <w:color w:val="FFFFFF" w:themeColor="background1"/>
              </w:rPr>
              <w:t>Detail</w:t>
            </w:r>
            <w:proofErr w:type="gramEnd"/>
            <w:r>
              <w:rPr>
                <w:rFonts w:cs="Calibri"/>
                <w:b/>
                <w:bCs/>
                <w:color w:val="FFFFFF" w:themeColor="background1"/>
              </w:rPr>
              <w:t xml:space="preserve"> and </w:t>
            </w:r>
            <w:r w:rsidR="00644CD3" w:rsidRPr="7ACA0E52">
              <w:rPr>
                <w:rFonts w:cs="Calibri"/>
                <w:b/>
                <w:bCs/>
                <w:color w:val="FFFFFF" w:themeColor="background1"/>
              </w:rPr>
              <w:t>Source</w:t>
            </w:r>
            <w:r w:rsidR="00E83D42">
              <w:rPr>
                <w:rFonts w:cs="Calibri"/>
                <w:b/>
                <w:bCs/>
                <w:color w:val="FFFFFF" w:themeColor="background1"/>
              </w:rPr>
              <w:t>s</w:t>
            </w:r>
          </w:p>
        </w:tc>
      </w:tr>
      <w:tr w:rsidR="00B20F56" w14:paraId="344770AE" w14:textId="77777777" w:rsidTr="0049557A">
        <w:trPr>
          <w:jc w:val="center"/>
        </w:trPr>
        <w:tc>
          <w:tcPr>
            <w:tcW w:w="2245" w:type="dxa"/>
            <w:vAlign w:val="center"/>
          </w:tcPr>
          <w:p w14:paraId="33FADDD2" w14:textId="6E6DEEB4" w:rsidR="00B20F56" w:rsidRPr="7ACA0E52" w:rsidRDefault="00B20F56" w:rsidP="0049557A">
            <w:pPr>
              <w:pStyle w:val="Tabletext"/>
              <w:jc w:val="left"/>
              <w:rPr>
                <w:rFonts w:cs="Calibri"/>
              </w:rPr>
            </w:pPr>
            <w:r>
              <w:rPr>
                <w:rFonts w:cs="Calibri"/>
              </w:rPr>
              <w:t>Business/</w:t>
            </w:r>
            <w:proofErr w:type="gramStart"/>
            <w:r>
              <w:rPr>
                <w:rFonts w:cs="Calibri"/>
              </w:rPr>
              <w:t>Non-profit</w:t>
            </w:r>
            <w:proofErr w:type="gramEnd"/>
          </w:p>
        </w:tc>
        <w:tc>
          <w:tcPr>
            <w:tcW w:w="1713" w:type="dxa"/>
            <w:vAlign w:val="center"/>
          </w:tcPr>
          <w:p w14:paraId="6F623D5A" w14:textId="04D6800B" w:rsidR="00B20F56" w:rsidRPr="003A15C4" w:rsidRDefault="00B20F56" w:rsidP="00B20F56">
            <w:pPr>
              <w:pStyle w:val="Tabletext"/>
              <w:jc w:val="left"/>
              <w:rPr>
                <w:rFonts w:cs="Calibri"/>
              </w:rPr>
            </w:pPr>
            <w:r w:rsidRPr="7ACA0E52">
              <w:rPr>
                <w:rFonts w:cs="Calibri"/>
              </w:rPr>
              <w:t xml:space="preserve">PHEV </w:t>
            </w:r>
          </w:p>
        </w:tc>
        <w:tc>
          <w:tcPr>
            <w:tcW w:w="1381" w:type="dxa"/>
            <w:vAlign w:val="center"/>
          </w:tcPr>
          <w:p w14:paraId="26D8AB25" w14:textId="4816C0CC" w:rsidR="00B20F56" w:rsidRPr="006F44F5" w:rsidRDefault="00B20F56" w:rsidP="00B20F56">
            <w:pPr>
              <w:pStyle w:val="Tabletext"/>
              <w:jc w:val="left"/>
              <w:rPr>
                <w:rFonts w:cs="Calibri"/>
              </w:rPr>
            </w:pPr>
            <w:r w:rsidRPr="00B20F56">
              <w:rPr>
                <w:rFonts w:cs="Calibri"/>
              </w:rPr>
              <w:t xml:space="preserve"> 14,545 </w:t>
            </w:r>
          </w:p>
        </w:tc>
        <w:tc>
          <w:tcPr>
            <w:tcW w:w="4011" w:type="dxa"/>
            <w:vAlign w:val="center"/>
          </w:tcPr>
          <w:p w14:paraId="612A713F" w14:textId="023F0559" w:rsidR="00B20F56" w:rsidRPr="006F44F5" w:rsidRDefault="00BE2CE1" w:rsidP="00B20F56">
            <w:pPr>
              <w:pStyle w:val="Tabletext"/>
              <w:rPr>
                <w:rFonts w:cs="Calibri"/>
              </w:rPr>
            </w:pPr>
            <w:r w:rsidRPr="00BE2CE1">
              <w:rPr>
                <w:rFonts w:cs="Calibri"/>
              </w:rPr>
              <w:t>(California Energy Commission, 2021)</w:t>
            </w:r>
          </w:p>
        </w:tc>
      </w:tr>
      <w:tr w:rsidR="002D2603" w14:paraId="6656E96C" w14:textId="77777777" w:rsidTr="0049557A">
        <w:trPr>
          <w:jc w:val="center"/>
        </w:trPr>
        <w:tc>
          <w:tcPr>
            <w:tcW w:w="2245" w:type="dxa"/>
            <w:vAlign w:val="center"/>
          </w:tcPr>
          <w:p w14:paraId="41B05509" w14:textId="7250DDA8" w:rsidR="002D2603" w:rsidRDefault="002D2603" w:rsidP="0049557A">
            <w:pPr>
              <w:pStyle w:val="Tabletext"/>
              <w:jc w:val="left"/>
              <w:rPr>
                <w:rFonts w:cs="Calibri"/>
              </w:rPr>
            </w:pPr>
            <w:r>
              <w:rPr>
                <w:rFonts w:cs="Calibri"/>
              </w:rPr>
              <w:t>Business/</w:t>
            </w:r>
            <w:proofErr w:type="gramStart"/>
            <w:r>
              <w:rPr>
                <w:rFonts w:cs="Calibri"/>
              </w:rPr>
              <w:t>Non-profit</w:t>
            </w:r>
            <w:proofErr w:type="gramEnd"/>
          </w:p>
        </w:tc>
        <w:tc>
          <w:tcPr>
            <w:tcW w:w="1713" w:type="dxa"/>
            <w:vAlign w:val="center"/>
          </w:tcPr>
          <w:p w14:paraId="33BA812D" w14:textId="3ED029C1" w:rsidR="002D2603" w:rsidRPr="003A15C4" w:rsidRDefault="002D2603" w:rsidP="002D2603">
            <w:pPr>
              <w:pStyle w:val="Tabletext"/>
              <w:jc w:val="left"/>
              <w:rPr>
                <w:rFonts w:cs="Calibri"/>
              </w:rPr>
            </w:pPr>
            <w:r>
              <w:rPr>
                <w:rFonts w:cs="Calibri"/>
              </w:rPr>
              <w:t xml:space="preserve">Short Range </w:t>
            </w:r>
            <w:r w:rsidRPr="7ACA0E52">
              <w:rPr>
                <w:rFonts w:cs="Calibri"/>
              </w:rPr>
              <w:t>BEV</w:t>
            </w:r>
            <w:r>
              <w:rPr>
                <w:rFonts w:cs="Calibri"/>
              </w:rPr>
              <w:t>*</w:t>
            </w:r>
          </w:p>
        </w:tc>
        <w:tc>
          <w:tcPr>
            <w:tcW w:w="1381" w:type="dxa"/>
            <w:vAlign w:val="center"/>
          </w:tcPr>
          <w:p w14:paraId="14FA7D82" w14:textId="2BEF2AE7" w:rsidR="002D2603" w:rsidRPr="006F44F5" w:rsidRDefault="002D2603" w:rsidP="002D2603">
            <w:pPr>
              <w:pStyle w:val="Tabletext"/>
              <w:jc w:val="left"/>
              <w:rPr>
                <w:rFonts w:cs="Calibri"/>
              </w:rPr>
            </w:pPr>
            <w:r w:rsidRPr="00B20F56">
              <w:rPr>
                <w:rFonts w:cs="Calibri"/>
              </w:rPr>
              <w:t xml:space="preserve"> 11,227 </w:t>
            </w:r>
          </w:p>
        </w:tc>
        <w:tc>
          <w:tcPr>
            <w:tcW w:w="4011" w:type="dxa"/>
            <w:vAlign w:val="center"/>
          </w:tcPr>
          <w:p w14:paraId="68AD95C1" w14:textId="47D8C02C" w:rsidR="002D2603" w:rsidRPr="006F44F5" w:rsidRDefault="008B4F94" w:rsidP="002D2603">
            <w:pPr>
              <w:pStyle w:val="Tabletext"/>
              <w:rPr>
                <w:rFonts w:cs="Calibri"/>
              </w:rPr>
            </w:pPr>
            <w:r w:rsidRPr="00BE2CE1">
              <w:rPr>
                <w:rFonts w:cs="Calibri"/>
              </w:rPr>
              <w:t>(California Energy Commission, 2021)</w:t>
            </w:r>
          </w:p>
        </w:tc>
      </w:tr>
      <w:tr w:rsidR="002D2603" w14:paraId="4E9A6F6D" w14:textId="77777777" w:rsidTr="0049557A">
        <w:trPr>
          <w:jc w:val="center"/>
        </w:trPr>
        <w:tc>
          <w:tcPr>
            <w:tcW w:w="2245" w:type="dxa"/>
            <w:vAlign w:val="center"/>
          </w:tcPr>
          <w:p w14:paraId="3EB05FA8" w14:textId="16E32151" w:rsidR="002D2603" w:rsidRDefault="002D2603" w:rsidP="0049557A">
            <w:pPr>
              <w:pStyle w:val="Tabletext"/>
              <w:jc w:val="left"/>
              <w:rPr>
                <w:rFonts w:cs="Calibri"/>
              </w:rPr>
            </w:pPr>
            <w:r>
              <w:rPr>
                <w:rFonts w:cs="Calibri"/>
              </w:rPr>
              <w:t>Business/</w:t>
            </w:r>
            <w:proofErr w:type="gramStart"/>
            <w:r>
              <w:rPr>
                <w:rFonts w:cs="Calibri"/>
              </w:rPr>
              <w:t>Non-profit</w:t>
            </w:r>
            <w:proofErr w:type="gramEnd"/>
          </w:p>
        </w:tc>
        <w:tc>
          <w:tcPr>
            <w:tcW w:w="1713" w:type="dxa"/>
            <w:vAlign w:val="center"/>
          </w:tcPr>
          <w:p w14:paraId="0F527618" w14:textId="0E5BF851" w:rsidR="002D2603" w:rsidRPr="7ACA0E52" w:rsidRDefault="002D2603" w:rsidP="002D2603">
            <w:pPr>
              <w:pStyle w:val="Tabletext"/>
              <w:jc w:val="left"/>
              <w:rPr>
                <w:rFonts w:cs="Calibri"/>
              </w:rPr>
            </w:pPr>
            <w:r>
              <w:rPr>
                <w:rFonts w:cs="Calibri"/>
              </w:rPr>
              <w:t xml:space="preserve">Long Range </w:t>
            </w:r>
            <w:r w:rsidRPr="7ACA0E52">
              <w:rPr>
                <w:rFonts w:cs="Calibri"/>
              </w:rPr>
              <w:t>BEV</w:t>
            </w:r>
            <w:r>
              <w:rPr>
                <w:rFonts w:cs="Calibri"/>
              </w:rPr>
              <w:t>*</w:t>
            </w:r>
          </w:p>
        </w:tc>
        <w:tc>
          <w:tcPr>
            <w:tcW w:w="1381" w:type="dxa"/>
            <w:vAlign w:val="center"/>
          </w:tcPr>
          <w:p w14:paraId="698923D3" w14:textId="114D9CC3" w:rsidR="002D2603" w:rsidRPr="006F44F5" w:rsidRDefault="002D2603" w:rsidP="002D2603">
            <w:pPr>
              <w:pStyle w:val="Tabletext"/>
              <w:jc w:val="left"/>
              <w:rPr>
                <w:rFonts w:cs="Calibri"/>
              </w:rPr>
            </w:pPr>
            <w:r w:rsidRPr="00B20F56">
              <w:rPr>
                <w:rFonts w:cs="Calibri"/>
              </w:rPr>
              <w:t xml:space="preserve"> 14,344 </w:t>
            </w:r>
          </w:p>
        </w:tc>
        <w:tc>
          <w:tcPr>
            <w:tcW w:w="4011" w:type="dxa"/>
            <w:vAlign w:val="center"/>
          </w:tcPr>
          <w:p w14:paraId="4D303CD4" w14:textId="6928B2DF" w:rsidR="002D2603" w:rsidRDefault="008B4F94" w:rsidP="002D2603">
            <w:pPr>
              <w:pStyle w:val="Tabletext"/>
              <w:rPr>
                <w:rFonts w:cs="Calibri"/>
              </w:rPr>
            </w:pPr>
            <w:r w:rsidRPr="00BE2CE1">
              <w:rPr>
                <w:rFonts w:cs="Calibri"/>
              </w:rPr>
              <w:t>(California Energy Commission, 2021)</w:t>
            </w:r>
          </w:p>
        </w:tc>
      </w:tr>
      <w:tr w:rsidR="00B20F56" w14:paraId="5D05AFF9" w14:textId="77777777" w:rsidTr="0049557A">
        <w:trPr>
          <w:jc w:val="center"/>
        </w:trPr>
        <w:tc>
          <w:tcPr>
            <w:tcW w:w="2245" w:type="dxa"/>
            <w:vAlign w:val="center"/>
          </w:tcPr>
          <w:p w14:paraId="583F0C37" w14:textId="752B15DC" w:rsidR="00B20F56" w:rsidRDefault="00B20F56" w:rsidP="0049557A">
            <w:pPr>
              <w:pStyle w:val="Tabletext"/>
              <w:jc w:val="left"/>
              <w:rPr>
                <w:rFonts w:cs="Calibri"/>
              </w:rPr>
            </w:pPr>
            <w:r>
              <w:rPr>
                <w:rFonts w:cs="Calibri"/>
              </w:rPr>
              <w:t>Business/</w:t>
            </w:r>
            <w:proofErr w:type="gramStart"/>
            <w:r>
              <w:rPr>
                <w:rFonts w:cs="Calibri"/>
              </w:rPr>
              <w:t>Non-profit</w:t>
            </w:r>
            <w:proofErr w:type="gramEnd"/>
          </w:p>
        </w:tc>
        <w:tc>
          <w:tcPr>
            <w:tcW w:w="1713" w:type="dxa"/>
            <w:vAlign w:val="center"/>
          </w:tcPr>
          <w:p w14:paraId="05C48608" w14:textId="53481535" w:rsidR="00B20F56" w:rsidRDefault="00B20F56" w:rsidP="00B20F56">
            <w:pPr>
              <w:pStyle w:val="Tabletext"/>
              <w:jc w:val="left"/>
              <w:rPr>
                <w:rFonts w:cs="Calibri"/>
              </w:rPr>
            </w:pPr>
            <w:r>
              <w:rPr>
                <w:rFonts w:cs="Calibri"/>
              </w:rPr>
              <w:t>FCEV</w:t>
            </w:r>
          </w:p>
        </w:tc>
        <w:tc>
          <w:tcPr>
            <w:tcW w:w="1381" w:type="dxa"/>
            <w:vAlign w:val="center"/>
          </w:tcPr>
          <w:p w14:paraId="5F569188" w14:textId="6983AB32" w:rsidR="00B20F56" w:rsidRPr="006F44F5" w:rsidRDefault="00B20F56" w:rsidP="00B20F56">
            <w:pPr>
              <w:pStyle w:val="Tabletext"/>
              <w:jc w:val="left"/>
              <w:rPr>
                <w:rFonts w:cs="Calibri"/>
              </w:rPr>
            </w:pPr>
            <w:r w:rsidRPr="00B20F56">
              <w:rPr>
                <w:rFonts w:cs="Calibri"/>
              </w:rPr>
              <w:t xml:space="preserve"> 13,434 </w:t>
            </w:r>
          </w:p>
        </w:tc>
        <w:tc>
          <w:tcPr>
            <w:tcW w:w="4011" w:type="dxa"/>
            <w:vAlign w:val="center"/>
          </w:tcPr>
          <w:p w14:paraId="171A0A31" w14:textId="676A4D2A" w:rsidR="00B20F56" w:rsidRDefault="00637895" w:rsidP="00B20F56">
            <w:pPr>
              <w:pStyle w:val="Tabletext"/>
              <w:rPr>
                <w:rFonts w:cs="Calibri"/>
              </w:rPr>
            </w:pPr>
            <w:r>
              <w:rPr>
                <w:rFonts w:cs="Calibri"/>
              </w:rPr>
              <w:t xml:space="preserve">PHEV </w:t>
            </w:r>
            <w:r w:rsidR="004A6DE7">
              <w:rPr>
                <w:rFonts w:cs="Calibri"/>
              </w:rPr>
              <w:t xml:space="preserve">VMT </w:t>
            </w:r>
            <w:r>
              <w:rPr>
                <w:rFonts w:cs="Calibri"/>
              </w:rPr>
              <w:t xml:space="preserve">from </w:t>
            </w:r>
            <w:r w:rsidR="008B4F94" w:rsidRPr="00BE2CE1">
              <w:rPr>
                <w:rFonts w:cs="Calibri"/>
              </w:rPr>
              <w:t>(California Energy Commission, 2021)</w:t>
            </w:r>
            <w:r w:rsidR="00DC7CE0">
              <w:rPr>
                <w:rFonts w:cs="Calibri"/>
              </w:rPr>
              <w:t xml:space="preserve"> scaled</w:t>
            </w:r>
            <w:r>
              <w:rPr>
                <w:rFonts w:cs="Calibri"/>
              </w:rPr>
              <w:t xml:space="preserve"> down</w:t>
            </w:r>
            <w:r w:rsidR="00DC7CE0">
              <w:rPr>
                <w:rFonts w:cs="Calibri"/>
              </w:rPr>
              <w:t xml:space="preserve"> based on </w:t>
            </w:r>
            <w:r w:rsidR="00003525">
              <w:rPr>
                <w:rFonts w:cs="Calibri"/>
              </w:rPr>
              <w:t xml:space="preserve">the magnitude </w:t>
            </w:r>
            <w:r w:rsidR="00D07FD1">
              <w:rPr>
                <w:rFonts w:cs="Calibri"/>
              </w:rPr>
              <w:t>observed for personal consumers</w:t>
            </w:r>
          </w:p>
        </w:tc>
      </w:tr>
      <w:tr w:rsidR="00A107E0" w14:paraId="376ECB14" w14:textId="77777777" w:rsidTr="0049557A">
        <w:trPr>
          <w:jc w:val="center"/>
        </w:trPr>
        <w:tc>
          <w:tcPr>
            <w:tcW w:w="2245" w:type="dxa"/>
            <w:shd w:val="clear" w:color="auto" w:fill="F2F2F2" w:themeFill="background1" w:themeFillShade="F2"/>
            <w:vAlign w:val="center"/>
          </w:tcPr>
          <w:p w14:paraId="1DF6B0BD" w14:textId="7EC1CCA3" w:rsidR="00A107E0" w:rsidRPr="7ACA0E52" w:rsidRDefault="00A107E0" w:rsidP="00A107E0">
            <w:pPr>
              <w:pStyle w:val="Tabletext"/>
              <w:jc w:val="left"/>
              <w:rPr>
                <w:rFonts w:cs="Calibri"/>
              </w:rPr>
            </w:pPr>
            <w:r>
              <w:rPr>
                <w:rFonts w:cs="Calibri"/>
              </w:rPr>
              <w:t>State/Local Government</w:t>
            </w:r>
          </w:p>
        </w:tc>
        <w:tc>
          <w:tcPr>
            <w:tcW w:w="1713" w:type="dxa"/>
            <w:shd w:val="clear" w:color="auto" w:fill="F2F2F2" w:themeFill="background1" w:themeFillShade="F2"/>
            <w:vAlign w:val="center"/>
          </w:tcPr>
          <w:p w14:paraId="2F45CC0C" w14:textId="54F330D2" w:rsidR="00A107E0" w:rsidRPr="003A15C4" w:rsidRDefault="00A107E0" w:rsidP="00A107E0">
            <w:pPr>
              <w:pStyle w:val="Tabletext"/>
              <w:jc w:val="left"/>
              <w:rPr>
                <w:rFonts w:cs="Calibri"/>
              </w:rPr>
            </w:pPr>
            <w:r>
              <w:rPr>
                <w:rFonts w:cs="Calibri"/>
              </w:rPr>
              <w:t>PHEV</w:t>
            </w:r>
          </w:p>
        </w:tc>
        <w:tc>
          <w:tcPr>
            <w:tcW w:w="1381" w:type="dxa"/>
            <w:shd w:val="clear" w:color="auto" w:fill="F2F2F2" w:themeFill="background1" w:themeFillShade="F2"/>
            <w:vAlign w:val="center"/>
          </w:tcPr>
          <w:p w14:paraId="23B1ACD9" w14:textId="1BB83DAA" w:rsidR="00A107E0" w:rsidRPr="006F44F5" w:rsidRDefault="00A107E0" w:rsidP="00A107E0">
            <w:pPr>
              <w:pStyle w:val="Tabletext"/>
              <w:jc w:val="left"/>
              <w:rPr>
                <w:rFonts w:cs="Calibri"/>
              </w:rPr>
            </w:pPr>
            <w:r w:rsidRPr="00B20F56">
              <w:rPr>
                <w:rFonts w:cs="Calibri"/>
              </w:rPr>
              <w:t>9,665</w:t>
            </w:r>
          </w:p>
        </w:tc>
        <w:tc>
          <w:tcPr>
            <w:tcW w:w="4011" w:type="dxa"/>
            <w:shd w:val="clear" w:color="auto" w:fill="F2F2F2" w:themeFill="background1" w:themeFillShade="F2"/>
            <w:vAlign w:val="center"/>
          </w:tcPr>
          <w:p w14:paraId="7240B50E" w14:textId="7C23915F" w:rsidR="00A107E0" w:rsidRPr="006F44F5" w:rsidRDefault="00A107E0" w:rsidP="00A107E0">
            <w:pPr>
              <w:pStyle w:val="Tabletext"/>
              <w:rPr>
                <w:rFonts w:cs="Calibri"/>
              </w:rPr>
            </w:pPr>
            <w:r w:rsidRPr="00A35900">
              <w:rPr>
                <w:rFonts w:cs="Calibri"/>
              </w:rPr>
              <w:t>(California Department of General Services, 2025)</w:t>
            </w:r>
          </w:p>
        </w:tc>
      </w:tr>
      <w:tr w:rsidR="00A107E0" w14:paraId="185D8335" w14:textId="77777777" w:rsidTr="0049557A">
        <w:trPr>
          <w:jc w:val="center"/>
        </w:trPr>
        <w:tc>
          <w:tcPr>
            <w:tcW w:w="2245" w:type="dxa"/>
            <w:shd w:val="clear" w:color="auto" w:fill="F2F2F2" w:themeFill="background1" w:themeFillShade="F2"/>
            <w:vAlign w:val="center"/>
          </w:tcPr>
          <w:p w14:paraId="59D6218C" w14:textId="17E1E9A2" w:rsidR="00A107E0" w:rsidRPr="7ACA0E52" w:rsidRDefault="00A107E0" w:rsidP="00A107E0">
            <w:pPr>
              <w:pStyle w:val="Tabletext"/>
              <w:jc w:val="left"/>
              <w:rPr>
                <w:rFonts w:cs="Calibri"/>
              </w:rPr>
            </w:pPr>
            <w:r>
              <w:rPr>
                <w:rFonts w:cs="Calibri"/>
              </w:rPr>
              <w:t>State/Local Government</w:t>
            </w:r>
          </w:p>
        </w:tc>
        <w:tc>
          <w:tcPr>
            <w:tcW w:w="1713" w:type="dxa"/>
            <w:tcBorders>
              <w:bottom w:val="single" w:sz="4" w:space="0" w:color="auto"/>
            </w:tcBorders>
            <w:shd w:val="clear" w:color="auto" w:fill="F2F2F2" w:themeFill="background1" w:themeFillShade="F2"/>
            <w:vAlign w:val="center"/>
          </w:tcPr>
          <w:p w14:paraId="307194CF" w14:textId="572592E0" w:rsidR="00A107E0" w:rsidRPr="003A15C4" w:rsidRDefault="00A107E0" w:rsidP="00A107E0">
            <w:pPr>
              <w:pStyle w:val="Tabletext"/>
              <w:jc w:val="left"/>
              <w:rPr>
                <w:rFonts w:cs="Calibri"/>
              </w:rPr>
            </w:pPr>
            <w:r>
              <w:rPr>
                <w:rFonts w:cs="Calibri"/>
              </w:rPr>
              <w:t xml:space="preserve">Short Range </w:t>
            </w:r>
            <w:r w:rsidRPr="7ACA0E52">
              <w:rPr>
                <w:rFonts w:cs="Calibri"/>
              </w:rPr>
              <w:t>BEV</w:t>
            </w:r>
            <w:r>
              <w:rPr>
                <w:rFonts w:cs="Calibri"/>
              </w:rPr>
              <w:t>*</w:t>
            </w:r>
          </w:p>
        </w:tc>
        <w:tc>
          <w:tcPr>
            <w:tcW w:w="1381" w:type="dxa"/>
            <w:tcBorders>
              <w:bottom w:val="single" w:sz="4" w:space="0" w:color="auto"/>
            </w:tcBorders>
            <w:shd w:val="clear" w:color="auto" w:fill="F2F2F2" w:themeFill="background1" w:themeFillShade="F2"/>
            <w:vAlign w:val="center"/>
          </w:tcPr>
          <w:p w14:paraId="10669B2D" w14:textId="74ECDE5C" w:rsidR="00A107E0" w:rsidRPr="006F44F5" w:rsidRDefault="00A107E0" w:rsidP="00A107E0">
            <w:pPr>
              <w:pStyle w:val="Tabletext"/>
              <w:jc w:val="left"/>
              <w:rPr>
                <w:rFonts w:cs="Calibri"/>
              </w:rPr>
            </w:pPr>
            <w:r w:rsidRPr="00B20F56">
              <w:rPr>
                <w:rFonts w:cs="Calibri"/>
              </w:rPr>
              <w:t xml:space="preserve">4,045 </w:t>
            </w:r>
          </w:p>
        </w:tc>
        <w:tc>
          <w:tcPr>
            <w:tcW w:w="4011" w:type="dxa"/>
            <w:tcBorders>
              <w:bottom w:val="single" w:sz="4" w:space="0" w:color="auto"/>
            </w:tcBorders>
            <w:shd w:val="clear" w:color="auto" w:fill="F2F2F2" w:themeFill="background1" w:themeFillShade="F2"/>
            <w:vAlign w:val="center"/>
          </w:tcPr>
          <w:p w14:paraId="4B5BB5E2" w14:textId="0038432B" w:rsidR="00A107E0" w:rsidRPr="006F44F5" w:rsidRDefault="00A107E0" w:rsidP="00A107E0">
            <w:pPr>
              <w:pStyle w:val="Tabletext"/>
              <w:rPr>
                <w:rFonts w:cs="Calibri"/>
              </w:rPr>
            </w:pPr>
            <w:r w:rsidRPr="00A35900">
              <w:rPr>
                <w:rFonts w:cs="Calibri"/>
              </w:rPr>
              <w:t>(California Department of General Services, 2025)</w:t>
            </w:r>
          </w:p>
        </w:tc>
      </w:tr>
      <w:tr w:rsidR="00A107E0" w14:paraId="41055675" w14:textId="77777777" w:rsidTr="0049557A">
        <w:trPr>
          <w:jc w:val="center"/>
        </w:trPr>
        <w:tc>
          <w:tcPr>
            <w:tcW w:w="2245" w:type="dxa"/>
            <w:shd w:val="clear" w:color="auto" w:fill="F2F2F2" w:themeFill="background1" w:themeFillShade="F2"/>
            <w:vAlign w:val="center"/>
          </w:tcPr>
          <w:p w14:paraId="5EAA2CE0" w14:textId="4BAD92BB" w:rsidR="00A107E0" w:rsidRDefault="00A107E0" w:rsidP="00A107E0">
            <w:pPr>
              <w:pStyle w:val="Tabletext"/>
              <w:jc w:val="left"/>
              <w:rPr>
                <w:rFonts w:cs="Calibri"/>
              </w:rPr>
            </w:pPr>
            <w:r>
              <w:rPr>
                <w:rFonts w:cs="Calibri"/>
              </w:rPr>
              <w:t>State/Local Government</w:t>
            </w:r>
          </w:p>
        </w:tc>
        <w:tc>
          <w:tcPr>
            <w:tcW w:w="1713" w:type="dxa"/>
            <w:tcBorders>
              <w:bottom w:val="single" w:sz="4" w:space="0" w:color="auto"/>
            </w:tcBorders>
            <w:shd w:val="clear" w:color="auto" w:fill="F2F2F2" w:themeFill="background1" w:themeFillShade="F2"/>
            <w:vAlign w:val="center"/>
          </w:tcPr>
          <w:p w14:paraId="418866C4" w14:textId="084BE150" w:rsidR="00A107E0" w:rsidRDefault="00A107E0" w:rsidP="00A107E0">
            <w:pPr>
              <w:pStyle w:val="Tabletext"/>
              <w:jc w:val="left"/>
              <w:rPr>
                <w:rFonts w:cs="Calibri"/>
              </w:rPr>
            </w:pPr>
            <w:r>
              <w:rPr>
                <w:rFonts w:cs="Calibri"/>
              </w:rPr>
              <w:t xml:space="preserve">Long Range </w:t>
            </w:r>
            <w:r w:rsidRPr="7ACA0E52">
              <w:rPr>
                <w:rFonts w:cs="Calibri"/>
              </w:rPr>
              <w:t>BEV</w:t>
            </w:r>
            <w:r>
              <w:rPr>
                <w:rFonts w:cs="Calibri"/>
              </w:rPr>
              <w:t>*</w:t>
            </w:r>
          </w:p>
        </w:tc>
        <w:tc>
          <w:tcPr>
            <w:tcW w:w="1381" w:type="dxa"/>
            <w:tcBorders>
              <w:bottom w:val="single" w:sz="4" w:space="0" w:color="auto"/>
            </w:tcBorders>
            <w:shd w:val="clear" w:color="auto" w:fill="F2F2F2" w:themeFill="background1" w:themeFillShade="F2"/>
            <w:vAlign w:val="center"/>
          </w:tcPr>
          <w:p w14:paraId="28DB3B6E" w14:textId="046B9E80" w:rsidR="00A107E0" w:rsidRPr="006F44F5" w:rsidRDefault="00A107E0" w:rsidP="00A107E0">
            <w:pPr>
              <w:pStyle w:val="Tabletext"/>
              <w:jc w:val="left"/>
              <w:rPr>
                <w:rFonts w:cs="Calibri"/>
              </w:rPr>
            </w:pPr>
            <w:r w:rsidRPr="00B20F56">
              <w:rPr>
                <w:rFonts w:cs="Calibri"/>
              </w:rPr>
              <w:t xml:space="preserve">7,343 </w:t>
            </w:r>
          </w:p>
        </w:tc>
        <w:tc>
          <w:tcPr>
            <w:tcW w:w="4011" w:type="dxa"/>
            <w:tcBorders>
              <w:bottom w:val="single" w:sz="4" w:space="0" w:color="auto"/>
            </w:tcBorders>
            <w:shd w:val="clear" w:color="auto" w:fill="F2F2F2" w:themeFill="background1" w:themeFillShade="F2"/>
            <w:vAlign w:val="center"/>
          </w:tcPr>
          <w:p w14:paraId="7D83B6B6" w14:textId="2530A836" w:rsidR="00A107E0" w:rsidRDefault="00A107E0" w:rsidP="00A107E0">
            <w:pPr>
              <w:pStyle w:val="Tabletext"/>
              <w:rPr>
                <w:rFonts w:cs="Calibri"/>
              </w:rPr>
            </w:pPr>
            <w:r w:rsidRPr="00A35900">
              <w:rPr>
                <w:rFonts w:cs="Calibri"/>
              </w:rPr>
              <w:t>(California Department of General Services, 2025)</w:t>
            </w:r>
          </w:p>
        </w:tc>
      </w:tr>
      <w:tr w:rsidR="00A107E0" w14:paraId="00B9EC42" w14:textId="77777777" w:rsidTr="0049557A">
        <w:trPr>
          <w:jc w:val="center"/>
        </w:trPr>
        <w:tc>
          <w:tcPr>
            <w:tcW w:w="2245" w:type="dxa"/>
            <w:shd w:val="clear" w:color="auto" w:fill="F2F2F2" w:themeFill="background1" w:themeFillShade="F2"/>
            <w:vAlign w:val="center"/>
          </w:tcPr>
          <w:p w14:paraId="3BF739CD" w14:textId="064E35F5" w:rsidR="00A107E0" w:rsidRDefault="00A107E0" w:rsidP="00A107E0">
            <w:pPr>
              <w:pStyle w:val="Tabletext"/>
              <w:jc w:val="left"/>
              <w:rPr>
                <w:rFonts w:cs="Calibri"/>
              </w:rPr>
            </w:pPr>
            <w:r>
              <w:rPr>
                <w:rFonts w:cs="Calibri"/>
              </w:rPr>
              <w:t>State/Local Government</w:t>
            </w:r>
          </w:p>
        </w:tc>
        <w:tc>
          <w:tcPr>
            <w:tcW w:w="1713" w:type="dxa"/>
            <w:tcBorders>
              <w:bottom w:val="single" w:sz="4" w:space="0" w:color="auto"/>
            </w:tcBorders>
            <w:shd w:val="clear" w:color="auto" w:fill="F2F2F2" w:themeFill="background1" w:themeFillShade="F2"/>
            <w:vAlign w:val="center"/>
          </w:tcPr>
          <w:p w14:paraId="16713422" w14:textId="0E967101" w:rsidR="00A107E0" w:rsidRDefault="00A107E0" w:rsidP="00A107E0">
            <w:pPr>
              <w:pStyle w:val="Tabletext"/>
              <w:jc w:val="left"/>
              <w:rPr>
                <w:rFonts w:cs="Calibri"/>
              </w:rPr>
            </w:pPr>
            <w:r>
              <w:rPr>
                <w:rFonts w:cs="Calibri"/>
              </w:rPr>
              <w:t>FCEV</w:t>
            </w:r>
          </w:p>
        </w:tc>
        <w:tc>
          <w:tcPr>
            <w:tcW w:w="1381" w:type="dxa"/>
            <w:tcBorders>
              <w:bottom w:val="single" w:sz="4" w:space="0" w:color="auto"/>
            </w:tcBorders>
            <w:shd w:val="clear" w:color="auto" w:fill="F2F2F2" w:themeFill="background1" w:themeFillShade="F2"/>
            <w:vAlign w:val="center"/>
          </w:tcPr>
          <w:p w14:paraId="0FE9BAD8" w14:textId="2BF87F03" w:rsidR="00A107E0" w:rsidRPr="00B20F56" w:rsidRDefault="00A107E0" w:rsidP="00A107E0">
            <w:pPr>
              <w:pStyle w:val="Tabletext"/>
              <w:jc w:val="left"/>
              <w:rPr>
                <w:rFonts w:cs="Calibri"/>
              </w:rPr>
            </w:pPr>
            <w:r w:rsidRPr="00B20F56">
              <w:rPr>
                <w:rFonts w:cs="Calibri"/>
              </w:rPr>
              <w:t xml:space="preserve">4,948 </w:t>
            </w:r>
          </w:p>
        </w:tc>
        <w:tc>
          <w:tcPr>
            <w:tcW w:w="4011" w:type="dxa"/>
            <w:tcBorders>
              <w:bottom w:val="single" w:sz="4" w:space="0" w:color="auto"/>
            </w:tcBorders>
            <w:shd w:val="clear" w:color="auto" w:fill="F2F2F2" w:themeFill="background1" w:themeFillShade="F2"/>
            <w:vAlign w:val="center"/>
          </w:tcPr>
          <w:p w14:paraId="14B1B6AE" w14:textId="046AB692" w:rsidR="00A107E0" w:rsidRDefault="00A107E0" w:rsidP="00A107E0">
            <w:pPr>
              <w:pStyle w:val="Tabletext"/>
              <w:rPr>
                <w:rFonts w:cs="Calibri"/>
              </w:rPr>
            </w:pPr>
            <w:r w:rsidRPr="00A35900">
              <w:rPr>
                <w:rFonts w:cs="Calibri"/>
              </w:rPr>
              <w:t>(California Department of General Services, 2025)</w:t>
            </w:r>
          </w:p>
        </w:tc>
      </w:tr>
      <w:tr w:rsidR="00A107E0" w14:paraId="2474BEC5" w14:textId="77777777" w:rsidTr="0049557A">
        <w:trPr>
          <w:jc w:val="center"/>
        </w:trPr>
        <w:tc>
          <w:tcPr>
            <w:tcW w:w="2245" w:type="dxa"/>
            <w:vAlign w:val="center"/>
          </w:tcPr>
          <w:p w14:paraId="17285832" w14:textId="7652861D" w:rsidR="00A107E0" w:rsidRDefault="00A107E0" w:rsidP="00A107E0">
            <w:pPr>
              <w:pStyle w:val="Tabletext"/>
              <w:jc w:val="left"/>
              <w:rPr>
                <w:rFonts w:cs="Calibri"/>
              </w:rPr>
            </w:pPr>
            <w:r>
              <w:rPr>
                <w:rFonts w:cs="Calibri"/>
              </w:rPr>
              <w:t>Federal Government</w:t>
            </w:r>
          </w:p>
        </w:tc>
        <w:tc>
          <w:tcPr>
            <w:tcW w:w="1713" w:type="dxa"/>
            <w:vAlign w:val="center"/>
          </w:tcPr>
          <w:p w14:paraId="01CC2E11" w14:textId="56F00BD5" w:rsidR="00A107E0" w:rsidRDefault="00A107E0" w:rsidP="00A107E0">
            <w:pPr>
              <w:pStyle w:val="Tabletext"/>
              <w:jc w:val="left"/>
              <w:rPr>
                <w:rFonts w:cs="Calibri"/>
              </w:rPr>
            </w:pPr>
            <w:r>
              <w:rPr>
                <w:rFonts w:cs="Calibri"/>
              </w:rPr>
              <w:t>PHEV</w:t>
            </w:r>
          </w:p>
        </w:tc>
        <w:tc>
          <w:tcPr>
            <w:tcW w:w="1381" w:type="dxa"/>
            <w:vAlign w:val="center"/>
          </w:tcPr>
          <w:p w14:paraId="110FE29F" w14:textId="5202C99D" w:rsidR="00A107E0" w:rsidRPr="00B20F56" w:rsidRDefault="00A107E0" w:rsidP="00A107E0">
            <w:pPr>
              <w:pStyle w:val="Tabletext"/>
              <w:jc w:val="left"/>
              <w:rPr>
                <w:rFonts w:cs="Calibri"/>
              </w:rPr>
            </w:pPr>
            <w:r w:rsidRPr="00B20F56">
              <w:rPr>
                <w:rFonts w:cs="Calibri"/>
              </w:rPr>
              <w:t xml:space="preserve"> 8,666 </w:t>
            </w:r>
          </w:p>
        </w:tc>
        <w:tc>
          <w:tcPr>
            <w:tcW w:w="4011" w:type="dxa"/>
            <w:vAlign w:val="center"/>
          </w:tcPr>
          <w:p w14:paraId="2975BA31" w14:textId="0C53923E" w:rsidR="00A107E0" w:rsidRDefault="00A107E0" w:rsidP="00A107E0">
            <w:pPr>
              <w:pStyle w:val="Tabletext"/>
              <w:rPr>
                <w:rFonts w:cs="Calibri"/>
              </w:rPr>
            </w:pPr>
            <w:r w:rsidRPr="006B7C13">
              <w:rPr>
                <w:rFonts w:cs="Calibri"/>
              </w:rPr>
              <w:t>(US General Services Administration, 2025)</w:t>
            </w:r>
            <w:r w:rsidR="00FB58F9">
              <w:rPr>
                <w:rFonts w:cs="Calibri"/>
              </w:rPr>
              <w:t xml:space="preserve"> </w:t>
            </w:r>
            <w:r w:rsidR="00B36C3D">
              <w:rPr>
                <w:rFonts w:cs="Calibri"/>
              </w:rPr>
              <w:t xml:space="preserve">average of </w:t>
            </w:r>
            <w:r w:rsidR="002156DC">
              <w:rPr>
                <w:rFonts w:cs="Calibri"/>
              </w:rPr>
              <w:t xml:space="preserve">all passenger vehicles </w:t>
            </w:r>
            <w:r w:rsidR="00B36C3D">
              <w:rPr>
                <w:rFonts w:cs="Calibri"/>
              </w:rPr>
              <w:t>years 2010–2023</w:t>
            </w:r>
          </w:p>
        </w:tc>
      </w:tr>
      <w:tr w:rsidR="00A107E0" w14:paraId="18A286EB" w14:textId="77777777" w:rsidTr="0049557A">
        <w:trPr>
          <w:jc w:val="center"/>
        </w:trPr>
        <w:tc>
          <w:tcPr>
            <w:tcW w:w="2245" w:type="dxa"/>
            <w:vAlign w:val="center"/>
          </w:tcPr>
          <w:p w14:paraId="2DC764A8" w14:textId="4673BCF8" w:rsidR="00A107E0" w:rsidRDefault="00A107E0" w:rsidP="00A107E0">
            <w:pPr>
              <w:pStyle w:val="Tabletext"/>
              <w:jc w:val="left"/>
              <w:rPr>
                <w:rFonts w:cs="Calibri"/>
              </w:rPr>
            </w:pPr>
            <w:r>
              <w:rPr>
                <w:rFonts w:cs="Calibri"/>
              </w:rPr>
              <w:lastRenderedPageBreak/>
              <w:t>Federal Government</w:t>
            </w:r>
          </w:p>
        </w:tc>
        <w:tc>
          <w:tcPr>
            <w:tcW w:w="1713" w:type="dxa"/>
            <w:vAlign w:val="center"/>
          </w:tcPr>
          <w:p w14:paraId="556D59BF" w14:textId="61255F4B" w:rsidR="00A107E0" w:rsidRDefault="00A107E0" w:rsidP="00A107E0">
            <w:pPr>
              <w:pStyle w:val="Tabletext"/>
              <w:jc w:val="left"/>
              <w:rPr>
                <w:rFonts w:cs="Calibri"/>
              </w:rPr>
            </w:pPr>
            <w:r>
              <w:rPr>
                <w:rFonts w:cs="Calibri"/>
              </w:rPr>
              <w:t xml:space="preserve">Short Range </w:t>
            </w:r>
            <w:r w:rsidRPr="7ACA0E52">
              <w:rPr>
                <w:rFonts w:cs="Calibri"/>
              </w:rPr>
              <w:t>BEV</w:t>
            </w:r>
          </w:p>
        </w:tc>
        <w:tc>
          <w:tcPr>
            <w:tcW w:w="1381" w:type="dxa"/>
            <w:vAlign w:val="center"/>
          </w:tcPr>
          <w:p w14:paraId="5F18D09F" w14:textId="71C59AFB" w:rsidR="00A107E0" w:rsidRPr="00B20F56" w:rsidRDefault="00A107E0" w:rsidP="00A107E0">
            <w:pPr>
              <w:pStyle w:val="Tabletext"/>
              <w:jc w:val="left"/>
              <w:rPr>
                <w:rFonts w:cs="Calibri"/>
              </w:rPr>
            </w:pPr>
            <w:r w:rsidRPr="00B20F56">
              <w:rPr>
                <w:rFonts w:cs="Calibri"/>
              </w:rPr>
              <w:t xml:space="preserve"> 3,626 </w:t>
            </w:r>
          </w:p>
        </w:tc>
        <w:tc>
          <w:tcPr>
            <w:tcW w:w="4011" w:type="dxa"/>
            <w:vAlign w:val="center"/>
          </w:tcPr>
          <w:p w14:paraId="5608549A" w14:textId="3F092EA1" w:rsidR="00A107E0" w:rsidRDefault="004C276D" w:rsidP="00A107E0">
            <w:pPr>
              <w:pStyle w:val="Tabletext"/>
              <w:rPr>
                <w:rFonts w:cs="Calibri"/>
              </w:rPr>
            </w:pPr>
            <w:r>
              <w:rPr>
                <w:rFonts w:cs="Calibri"/>
              </w:rPr>
              <w:t xml:space="preserve">Average of all passenger vehicles years 2010–2023 from </w:t>
            </w:r>
            <w:r w:rsidR="00A107E0" w:rsidRPr="006B7C13">
              <w:rPr>
                <w:rFonts w:cs="Calibri"/>
              </w:rPr>
              <w:t>(California Department of General Services, 2025)</w:t>
            </w:r>
            <w:r w:rsidR="00596469">
              <w:rPr>
                <w:rFonts w:cs="Calibri"/>
              </w:rPr>
              <w:t xml:space="preserve"> </w:t>
            </w:r>
            <w:r>
              <w:rPr>
                <w:rFonts w:cs="Calibri"/>
              </w:rPr>
              <w:t xml:space="preserve">scaled down based on the magnitude observed for state </w:t>
            </w:r>
            <w:r w:rsidR="00B31074">
              <w:rPr>
                <w:rFonts w:cs="Calibri"/>
              </w:rPr>
              <w:t>government</w:t>
            </w:r>
          </w:p>
        </w:tc>
      </w:tr>
      <w:tr w:rsidR="00A107E0" w14:paraId="17929BB5" w14:textId="77777777" w:rsidTr="0049557A">
        <w:trPr>
          <w:jc w:val="center"/>
        </w:trPr>
        <w:tc>
          <w:tcPr>
            <w:tcW w:w="2245" w:type="dxa"/>
            <w:vAlign w:val="center"/>
          </w:tcPr>
          <w:p w14:paraId="2E1E9939" w14:textId="1C73BCFD" w:rsidR="00A107E0" w:rsidRDefault="00A107E0" w:rsidP="00A107E0">
            <w:pPr>
              <w:pStyle w:val="Tabletext"/>
              <w:jc w:val="left"/>
              <w:rPr>
                <w:rFonts w:cs="Calibri"/>
              </w:rPr>
            </w:pPr>
            <w:r>
              <w:rPr>
                <w:rFonts w:cs="Calibri"/>
              </w:rPr>
              <w:t>Federal Government</w:t>
            </w:r>
          </w:p>
        </w:tc>
        <w:tc>
          <w:tcPr>
            <w:tcW w:w="1713" w:type="dxa"/>
            <w:vAlign w:val="center"/>
          </w:tcPr>
          <w:p w14:paraId="66E8EDDB" w14:textId="1F25F035" w:rsidR="00A107E0" w:rsidRDefault="00A107E0" w:rsidP="00A107E0">
            <w:pPr>
              <w:pStyle w:val="Tabletext"/>
              <w:jc w:val="left"/>
              <w:rPr>
                <w:rFonts w:cs="Calibri"/>
              </w:rPr>
            </w:pPr>
            <w:r>
              <w:rPr>
                <w:rFonts w:cs="Calibri"/>
              </w:rPr>
              <w:t xml:space="preserve">Long Range </w:t>
            </w:r>
            <w:r w:rsidRPr="7ACA0E52">
              <w:rPr>
                <w:rFonts w:cs="Calibri"/>
              </w:rPr>
              <w:t>BEV</w:t>
            </w:r>
          </w:p>
        </w:tc>
        <w:tc>
          <w:tcPr>
            <w:tcW w:w="1381" w:type="dxa"/>
            <w:vAlign w:val="center"/>
          </w:tcPr>
          <w:p w14:paraId="10F9D5B6" w14:textId="0D7CE0DF" w:rsidR="00A107E0" w:rsidRPr="00B20F56" w:rsidRDefault="00A107E0" w:rsidP="00A107E0">
            <w:pPr>
              <w:pStyle w:val="Tabletext"/>
              <w:jc w:val="left"/>
              <w:rPr>
                <w:rFonts w:cs="Calibri"/>
              </w:rPr>
            </w:pPr>
            <w:r w:rsidRPr="00B20F56">
              <w:rPr>
                <w:rFonts w:cs="Calibri"/>
              </w:rPr>
              <w:t xml:space="preserve"> 6,584 </w:t>
            </w:r>
          </w:p>
        </w:tc>
        <w:tc>
          <w:tcPr>
            <w:tcW w:w="4011" w:type="dxa"/>
            <w:vAlign w:val="center"/>
          </w:tcPr>
          <w:p w14:paraId="5B8850DA" w14:textId="415EE498" w:rsidR="00A107E0" w:rsidRDefault="00B31074" w:rsidP="00A107E0">
            <w:pPr>
              <w:pStyle w:val="Tabletext"/>
              <w:rPr>
                <w:rFonts w:cs="Calibri"/>
              </w:rPr>
            </w:pPr>
            <w:r>
              <w:rPr>
                <w:rFonts w:cs="Calibri"/>
              </w:rPr>
              <w:t xml:space="preserve">Average of all passenger vehicles years 2010–2023 from </w:t>
            </w:r>
            <w:r w:rsidRPr="006B7C13">
              <w:rPr>
                <w:rFonts w:cs="Calibri"/>
              </w:rPr>
              <w:t>(California Department of General Services, 2025)</w:t>
            </w:r>
            <w:r>
              <w:rPr>
                <w:rFonts w:cs="Calibri"/>
              </w:rPr>
              <w:t xml:space="preserve"> scaled down based on the magnitude observed for state government</w:t>
            </w:r>
          </w:p>
        </w:tc>
      </w:tr>
      <w:tr w:rsidR="00A107E0" w14:paraId="72BAA0CA" w14:textId="77777777" w:rsidTr="0049557A">
        <w:trPr>
          <w:jc w:val="center"/>
        </w:trPr>
        <w:tc>
          <w:tcPr>
            <w:tcW w:w="2245" w:type="dxa"/>
            <w:vAlign w:val="center"/>
          </w:tcPr>
          <w:p w14:paraId="6E6C206E" w14:textId="3CF9A4FC" w:rsidR="00A107E0" w:rsidRDefault="00A107E0" w:rsidP="00A107E0">
            <w:pPr>
              <w:pStyle w:val="Tabletext"/>
              <w:jc w:val="left"/>
              <w:rPr>
                <w:rFonts w:cs="Calibri"/>
              </w:rPr>
            </w:pPr>
            <w:r>
              <w:rPr>
                <w:rFonts w:cs="Calibri"/>
              </w:rPr>
              <w:t>Federal Government</w:t>
            </w:r>
          </w:p>
        </w:tc>
        <w:tc>
          <w:tcPr>
            <w:tcW w:w="1713" w:type="dxa"/>
            <w:vAlign w:val="center"/>
          </w:tcPr>
          <w:p w14:paraId="45250636" w14:textId="503B3C1A" w:rsidR="00A107E0" w:rsidRDefault="00A107E0" w:rsidP="00A107E0">
            <w:pPr>
              <w:pStyle w:val="Tabletext"/>
              <w:jc w:val="left"/>
              <w:rPr>
                <w:rFonts w:cs="Calibri"/>
              </w:rPr>
            </w:pPr>
            <w:r>
              <w:rPr>
                <w:rFonts w:cs="Calibri"/>
              </w:rPr>
              <w:t>FCEV</w:t>
            </w:r>
          </w:p>
        </w:tc>
        <w:tc>
          <w:tcPr>
            <w:tcW w:w="1381" w:type="dxa"/>
            <w:vAlign w:val="center"/>
          </w:tcPr>
          <w:p w14:paraId="386C0EF9" w14:textId="0B7D8226" w:rsidR="00A107E0" w:rsidRPr="00B20F56" w:rsidRDefault="00A107E0" w:rsidP="00A107E0">
            <w:pPr>
              <w:pStyle w:val="Tabletext"/>
              <w:jc w:val="left"/>
              <w:rPr>
                <w:rFonts w:cs="Calibri"/>
              </w:rPr>
            </w:pPr>
            <w:r w:rsidRPr="00B20F56">
              <w:rPr>
                <w:rFonts w:cs="Calibri"/>
              </w:rPr>
              <w:t xml:space="preserve"> </w:t>
            </w:r>
            <w:r>
              <w:rPr>
                <w:rFonts w:cs="Calibri"/>
              </w:rPr>
              <w:t>N/A</w:t>
            </w:r>
            <w:r w:rsidRPr="00B20F56">
              <w:rPr>
                <w:rFonts w:cs="Calibri"/>
              </w:rPr>
              <w:t xml:space="preserve"> </w:t>
            </w:r>
          </w:p>
        </w:tc>
        <w:tc>
          <w:tcPr>
            <w:tcW w:w="4011" w:type="dxa"/>
            <w:vAlign w:val="center"/>
          </w:tcPr>
          <w:p w14:paraId="248739A1" w14:textId="68F690F8" w:rsidR="00A107E0" w:rsidRDefault="00A107E0" w:rsidP="00A107E0">
            <w:pPr>
              <w:pStyle w:val="Tabletext"/>
              <w:rPr>
                <w:rFonts w:cs="Calibri"/>
              </w:rPr>
            </w:pPr>
            <w:r>
              <w:rPr>
                <w:rFonts w:cs="Calibri"/>
              </w:rPr>
              <w:t>N/A</w:t>
            </w:r>
          </w:p>
        </w:tc>
      </w:tr>
      <w:tr w:rsidR="00C83DC5" w14:paraId="36EC4FA9" w14:textId="77777777" w:rsidTr="0049557A">
        <w:trPr>
          <w:jc w:val="center"/>
        </w:trPr>
        <w:tc>
          <w:tcPr>
            <w:tcW w:w="2245" w:type="dxa"/>
            <w:shd w:val="clear" w:color="auto" w:fill="F2F2F2" w:themeFill="background1" w:themeFillShade="F2"/>
            <w:vAlign w:val="center"/>
          </w:tcPr>
          <w:p w14:paraId="189D1BBB" w14:textId="7BEC08AE" w:rsidR="00C83DC5" w:rsidRDefault="00C83DC5" w:rsidP="0049557A">
            <w:pPr>
              <w:pStyle w:val="Tabletext"/>
              <w:jc w:val="left"/>
              <w:rPr>
                <w:rFonts w:cs="Calibri"/>
              </w:rPr>
            </w:pPr>
            <w:r>
              <w:rPr>
                <w:rFonts w:cs="Calibri"/>
              </w:rPr>
              <w:t>All</w:t>
            </w:r>
          </w:p>
        </w:tc>
        <w:tc>
          <w:tcPr>
            <w:tcW w:w="1713" w:type="dxa"/>
            <w:tcBorders>
              <w:bottom w:val="single" w:sz="4" w:space="0" w:color="auto"/>
            </w:tcBorders>
            <w:shd w:val="clear" w:color="auto" w:fill="F2F2F2" w:themeFill="background1" w:themeFillShade="F2"/>
            <w:vAlign w:val="center"/>
          </w:tcPr>
          <w:p w14:paraId="5E3D833D" w14:textId="50CBFCB0" w:rsidR="00C83DC5" w:rsidRPr="7ACA0E52" w:rsidRDefault="00C83DC5" w:rsidP="00A42E30">
            <w:pPr>
              <w:pStyle w:val="Tabletext"/>
              <w:jc w:val="left"/>
              <w:rPr>
                <w:rFonts w:cs="Calibri"/>
              </w:rPr>
            </w:pPr>
            <w:r w:rsidRPr="7ACA0E52">
              <w:rPr>
                <w:rFonts w:cs="Calibri"/>
              </w:rPr>
              <w:t>Baseline vehicle</w:t>
            </w:r>
          </w:p>
        </w:tc>
        <w:tc>
          <w:tcPr>
            <w:tcW w:w="1381" w:type="dxa"/>
            <w:tcBorders>
              <w:bottom w:val="single" w:sz="4" w:space="0" w:color="auto"/>
            </w:tcBorders>
            <w:shd w:val="clear" w:color="auto" w:fill="F2F2F2" w:themeFill="background1" w:themeFillShade="F2"/>
            <w:vAlign w:val="center"/>
          </w:tcPr>
          <w:p w14:paraId="78E09EBD" w14:textId="5537219E" w:rsidR="00C83DC5" w:rsidRPr="7ACA0E52" w:rsidRDefault="00973AB0" w:rsidP="00C83DC5">
            <w:pPr>
              <w:pStyle w:val="Tabletext"/>
              <w:jc w:val="left"/>
              <w:rPr>
                <w:rFonts w:cs="Calibri"/>
              </w:rPr>
            </w:pPr>
            <w:r w:rsidRPr="00B20F56">
              <w:rPr>
                <w:rFonts w:cs="Calibri"/>
              </w:rPr>
              <w:t xml:space="preserve">3,626 </w:t>
            </w:r>
            <w:r>
              <w:rPr>
                <w:rFonts w:cs="Calibri"/>
              </w:rPr>
              <w:t>–</w:t>
            </w:r>
            <w:r w:rsidRPr="00B20F56">
              <w:rPr>
                <w:rFonts w:cs="Calibri"/>
              </w:rPr>
              <w:t>14,545</w:t>
            </w:r>
          </w:p>
        </w:tc>
        <w:tc>
          <w:tcPr>
            <w:tcW w:w="4011" w:type="dxa"/>
            <w:tcBorders>
              <w:bottom w:val="single" w:sz="4" w:space="0" w:color="auto"/>
            </w:tcBorders>
            <w:shd w:val="clear" w:color="auto" w:fill="F2F2F2" w:themeFill="background1" w:themeFillShade="F2"/>
            <w:vAlign w:val="center"/>
          </w:tcPr>
          <w:p w14:paraId="5C36A1DC" w14:textId="24B7A807" w:rsidR="00C83DC5" w:rsidRPr="7ACA0E52" w:rsidRDefault="00C83DC5" w:rsidP="00C83DC5">
            <w:pPr>
              <w:pStyle w:val="Tabletext"/>
              <w:rPr>
                <w:rFonts w:cs="Calibri"/>
              </w:rPr>
            </w:pPr>
            <w:r w:rsidRPr="7ACA0E52">
              <w:rPr>
                <w:rFonts w:cs="Calibri"/>
              </w:rPr>
              <w:t xml:space="preserve">Same as paired rebated vehicle, consistent with </w:t>
            </w:r>
            <w:r w:rsidR="00FD2EAE" w:rsidRPr="00FD2EAE">
              <w:rPr>
                <w:rFonts w:cs="Calibri"/>
              </w:rPr>
              <w:t>(CARB, 2017b)</w:t>
            </w:r>
          </w:p>
        </w:tc>
      </w:tr>
    </w:tbl>
    <w:p w14:paraId="396F7488" w14:textId="1953F8E7" w:rsidR="00F420E2" w:rsidRPr="00C71CC9" w:rsidRDefault="00F420E2" w:rsidP="00F420E2">
      <w:pPr>
        <w:pStyle w:val="SummaryofResults"/>
        <w:rPr>
          <w:sz w:val="18"/>
          <w:szCs w:val="18"/>
        </w:rPr>
      </w:pPr>
      <w:r w:rsidRPr="00C71CC9">
        <w:rPr>
          <w:sz w:val="18"/>
          <w:szCs w:val="18"/>
        </w:rPr>
        <w:t xml:space="preserve">* </w:t>
      </w:r>
      <w:r w:rsidR="00BE3647">
        <w:rPr>
          <w:sz w:val="18"/>
          <w:szCs w:val="18"/>
        </w:rPr>
        <w:t>Range subcategory distinguished b</w:t>
      </w:r>
      <w:r w:rsidR="006E7802" w:rsidRPr="00C71CC9">
        <w:rPr>
          <w:sz w:val="18"/>
          <w:szCs w:val="18"/>
        </w:rPr>
        <w:t xml:space="preserve">ased on known long-range makes (Tesla). </w:t>
      </w:r>
    </w:p>
    <w:p w14:paraId="55DC806F" w14:textId="77777777" w:rsidR="00447778" w:rsidRDefault="00447778">
      <w:pPr>
        <w:spacing w:after="0" w:line="240" w:lineRule="auto"/>
      </w:pPr>
    </w:p>
    <w:p w14:paraId="265E4C79" w14:textId="23C12116" w:rsidR="00BA739D" w:rsidRPr="00646C8B" w:rsidRDefault="0021231F">
      <w:pPr>
        <w:spacing w:after="0" w:line="240" w:lineRule="auto"/>
      </w:pPr>
      <w:r>
        <w:t xml:space="preserve">The CVRP Consumer Survey was not administered to fleet consumers, so only </w:t>
      </w:r>
      <w:r w:rsidR="006F54E7">
        <w:t>“</w:t>
      </w:r>
      <w:r w:rsidR="00EC5C39">
        <w:t>r</w:t>
      </w:r>
      <w:r>
        <w:t xml:space="preserve">ebated </w:t>
      </w:r>
      <w:r w:rsidR="00EC5C39">
        <w:t>r</w:t>
      </w:r>
      <w:r>
        <w:t>eductions</w:t>
      </w:r>
      <w:r w:rsidR="006F54E7">
        <w:t>”</w:t>
      </w:r>
      <w:r>
        <w:t xml:space="preserve"> </w:t>
      </w:r>
      <w:r w:rsidR="00EC4025">
        <w:t xml:space="preserve">(reductions for all vehicles, relative to new gasoline vehicles) </w:t>
      </w:r>
      <w:r>
        <w:t xml:space="preserve">are quantified </w:t>
      </w:r>
      <w:r w:rsidR="002E1558">
        <w:t xml:space="preserve">for </w:t>
      </w:r>
      <w:r>
        <w:t xml:space="preserve">fleets. </w:t>
      </w:r>
      <w:r w:rsidR="00120FF6">
        <w:t>Reporting focuses on first-year GHG reductions s</w:t>
      </w:r>
      <w:r>
        <w:t xml:space="preserve">ince fleets may </w:t>
      </w:r>
      <w:r w:rsidR="00C83E0D">
        <w:t xml:space="preserve">be less likely to </w:t>
      </w:r>
      <w:r>
        <w:t xml:space="preserve">retain vehicles for 100k miles. </w:t>
      </w:r>
      <w:r w:rsidR="00C1573E" w:rsidRPr="00C1573E">
        <w:t xml:space="preserve">In total, estimated first-year reductions average </w:t>
      </w:r>
      <w:r w:rsidR="001E53F5">
        <w:t>3.1</w:t>
      </w:r>
      <w:r w:rsidR="00C1573E" w:rsidRPr="00C1573E">
        <w:t xml:space="preserve"> tons per vehicle (Table D4). </w:t>
      </w:r>
      <w:r w:rsidR="004834AB">
        <w:t xml:space="preserve">Reductions vary </w:t>
      </w:r>
      <w:r w:rsidR="00C1573E" w:rsidRPr="00C1573E">
        <w:t xml:space="preserve">significantly by fleet type, driven largely by the differences in VMT </w:t>
      </w:r>
      <w:r w:rsidR="004834AB">
        <w:t>(</w:t>
      </w:r>
      <w:r w:rsidR="00C1573E" w:rsidRPr="00C1573E">
        <w:t>Table D3</w:t>
      </w:r>
      <w:r w:rsidR="004834AB">
        <w:t>)</w:t>
      </w:r>
      <w:r w:rsidR="00C1573E" w:rsidRPr="00C1573E">
        <w:t>. Business</w:t>
      </w:r>
      <w:r w:rsidR="00066E60">
        <w:t xml:space="preserve"> and non-profit</w:t>
      </w:r>
      <w:r w:rsidR="00C1573E" w:rsidRPr="00C1573E">
        <w:t xml:space="preserve"> fleets, which </w:t>
      </w:r>
      <w:r w:rsidR="004F293A">
        <w:t xml:space="preserve">are attributed </w:t>
      </w:r>
      <w:proofErr w:type="gramStart"/>
      <w:r w:rsidR="00444904">
        <w:t>a</w:t>
      </w:r>
      <w:r w:rsidR="0019032E">
        <w:t xml:space="preserve"> </w:t>
      </w:r>
      <w:r w:rsidR="00C1573E" w:rsidRPr="00C1573E">
        <w:t>higher</w:t>
      </w:r>
      <w:proofErr w:type="gramEnd"/>
      <w:r w:rsidR="00C1573E" w:rsidRPr="00C1573E">
        <w:t xml:space="preserve"> annual mileage</w:t>
      </w:r>
      <w:r w:rsidR="00957084">
        <w:t xml:space="preserve"> than government fleets</w:t>
      </w:r>
      <w:r w:rsidR="00C1573E" w:rsidRPr="00C1573E">
        <w:t xml:space="preserve">, </w:t>
      </w:r>
      <w:r w:rsidR="00AC5183">
        <w:t>display</w:t>
      </w:r>
      <w:r w:rsidR="008C2924">
        <w:t xml:space="preserve"> </w:t>
      </w:r>
      <w:r w:rsidR="006605B3">
        <w:t>more</w:t>
      </w:r>
      <w:r w:rsidR="00C1573E" w:rsidRPr="00C1573E">
        <w:t xml:space="preserve"> </w:t>
      </w:r>
      <w:r w:rsidR="00E7207D">
        <w:t>reductions on average</w:t>
      </w:r>
      <w:r w:rsidR="00C1573E" w:rsidRPr="00C1573E">
        <w:t>.</w:t>
      </w:r>
    </w:p>
    <w:p w14:paraId="76F80479" w14:textId="0D483678" w:rsidR="0085751F" w:rsidRPr="005D5305" w:rsidRDefault="0085751F" w:rsidP="00410511">
      <w:pPr>
        <w:pStyle w:val="TableFigureNumber0"/>
        <w:keepNext/>
        <w:rPr>
          <w:b/>
          <w:bCs/>
          <w:color w:val="0579BD"/>
        </w:rPr>
      </w:pPr>
      <w:r w:rsidRPr="005D5305">
        <w:rPr>
          <w:color w:val="0579BD"/>
        </w:rPr>
        <w:t>TABLE D4</w:t>
      </w:r>
    </w:p>
    <w:p w14:paraId="23D088F9" w14:textId="27DB10EA" w:rsidR="0085751F" w:rsidRPr="003A15C4" w:rsidRDefault="0085751F" w:rsidP="0085751F">
      <w:pPr>
        <w:pStyle w:val="TableFigureheader"/>
        <w:keepNext/>
      </w:pPr>
      <w:r>
        <w:t xml:space="preserve">GHG Reduction and Cost-Effectiveness Estimates by </w:t>
      </w:r>
      <w:r w:rsidR="00802235">
        <w:t xml:space="preserve">Fleet and </w:t>
      </w:r>
      <w:r>
        <w:t xml:space="preserve">Technology </w:t>
      </w:r>
    </w:p>
    <w:p w14:paraId="12238B68" w14:textId="77777777" w:rsidR="0085751F" w:rsidRDefault="0085751F" w:rsidP="0085751F">
      <w:pPr>
        <w:pStyle w:val="TableFigureSubtitle"/>
        <w:keepNext/>
      </w:pPr>
      <w:r>
        <w:t>All Rebated Emissions, New Gasoline Baseline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713"/>
        <w:gridCol w:w="1617"/>
        <w:gridCol w:w="2880"/>
      </w:tblGrid>
      <w:tr w:rsidR="000964E2" w:rsidRPr="009F6BA8" w14:paraId="1CDEAE46" w14:textId="77777777" w:rsidTr="00A85974">
        <w:tc>
          <w:tcPr>
            <w:tcW w:w="2245" w:type="dxa"/>
            <w:shd w:val="clear" w:color="auto" w:fill="3C3A4C"/>
            <w:vAlign w:val="center"/>
          </w:tcPr>
          <w:p w14:paraId="2D9848DF" w14:textId="77777777" w:rsidR="000964E2" w:rsidRPr="00A42E30" w:rsidRDefault="000964E2">
            <w:pPr>
              <w:pStyle w:val="Tabletext"/>
              <w:jc w:val="left"/>
              <w:rPr>
                <w:rFonts w:cs="Calibri"/>
                <w:b/>
                <w:bCs/>
                <w:color w:val="FFFFFF" w:themeColor="background1"/>
              </w:rPr>
            </w:pPr>
            <w:r w:rsidRPr="00A42E30">
              <w:rPr>
                <w:rFonts w:cs="Calibri"/>
                <w:b/>
                <w:bCs/>
                <w:color w:val="FFFFFF" w:themeColor="background1"/>
              </w:rPr>
              <w:t>Fleet Type</w:t>
            </w:r>
          </w:p>
        </w:tc>
        <w:tc>
          <w:tcPr>
            <w:tcW w:w="1713" w:type="dxa"/>
            <w:shd w:val="clear" w:color="auto" w:fill="3C3A4C"/>
            <w:vAlign w:val="center"/>
          </w:tcPr>
          <w:p w14:paraId="463067D5" w14:textId="3297FFB2" w:rsidR="000964E2" w:rsidRPr="00A42E30" w:rsidRDefault="000964E2">
            <w:pPr>
              <w:pStyle w:val="Tabletext"/>
              <w:jc w:val="left"/>
              <w:rPr>
                <w:rFonts w:cs="Calibri"/>
                <w:b/>
                <w:color w:val="FFFFFF" w:themeColor="background1"/>
              </w:rPr>
            </w:pPr>
            <w:r w:rsidRPr="00A42E30">
              <w:rPr>
                <w:rFonts w:cs="Calibri"/>
                <w:b/>
                <w:bCs/>
                <w:color w:val="FFFFFF" w:themeColor="background1"/>
              </w:rPr>
              <w:t xml:space="preserve">Technology </w:t>
            </w:r>
            <w:r w:rsidR="00DD77BE">
              <w:rPr>
                <w:rFonts w:cs="Calibri"/>
                <w:b/>
                <w:bCs/>
                <w:color w:val="FFFFFF" w:themeColor="background1"/>
              </w:rPr>
              <w:t>T</w:t>
            </w:r>
            <w:r w:rsidRPr="00A42E30">
              <w:rPr>
                <w:rFonts w:cs="Calibri"/>
                <w:b/>
                <w:bCs/>
                <w:color w:val="FFFFFF" w:themeColor="background1"/>
              </w:rPr>
              <w:t>ype</w:t>
            </w:r>
          </w:p>
        </w:tc>
        <w:tc>
          <w:tcPr>
            <w:tcW w:w="1617" w:type="dxa"/>
            <w:shd w:val="clear" w:color="auto" w:fill="3C3A4C"/>
            <w:vAlign w:val="center"/>
          </w:tcPr>
          <w:p w14:paraId="4A0C2188" w14:textId="300896EB" w:rsidR="000964E2" w:rsidRPr="009F6BA8" w:rsidRDefault="00DD77BE" w:rsidP="00D03C3B">
            <w:pPr>
              <w:pStyle w:val="Tabletext"/>
              <w:jc w:val="center"/>
              <w:rPr>
                <w:rFonts w:cs="Calibri"/>
                <w:b/>
                <w:bCs/>
                <w:color w:val="FFFFFF" w:themeColor="background1"/>
              </w:rPr>
            </w:pPr>
            <w:r>
              <w:rPr>
                <w:rFonts w:cs="Calibri"/>
                <w:b/>
                <w:bCs/>
                <w:color w:val="FFFFFF" w:themeColor="background1"/>
              </w:rPr>
              <w:t>Total Vehicles</w:t>
            </w:r>
          </w:p>
        </w:tc>
        <w:tc>
          <w:tcPr>
            <w:tcW w:w="2880" w:type="dxa"/>
            <w:shd w:val="clear" w:color="auto" w:fill="3C3A4C"/>
            <w:vAlign w:val="center"/>
          </w:tcPr>
          <w:p w14:paraId="13693FAF" w14:textId="184F66EA" w:rsidR="00DD77BE" w:rsidRDefault="00DD77BE" w:rsidP="00DD77BE">
            <w:pPr>
              <w:pStyle w:val="Tabletext"/>
              <w:jc w:val="center"/>
              <w:rPr>
                <w:rStyle w:val="normaltextrun"/>
                <w:rFonts w:cs="Calibri"/>
                <w:b/>
                <w:bCs/>
                <w:color w:val="FFFFFF"/>
              </w:rPr>
            </w:pPr>
            <w:r>
              <w:rPr>
                <w:rStyle w:val="normaltextrun"/>
                <w:rFonts w:cs="Calibri"/>
                <w:b/>
                <w:bCs/>
                <w:color w:val="FFFFFF"/>
              </w:rPr>
              <w:t>Average First-Year Reductions</w:t>
            </w:r>
          </w:p>
          <w:p w14:paraId="4E6F3F5D" w14:textId="68FACFCD" w:rsidR="000964E2" w:rsidRPr="009F6BA8" w:rsidRDefault="00DD77BE" w:rsidP="00DD77BE">
            <w:pPr>
              <w:pStyle w:val="Tabletext"/>
              <w:jc w:val="center"/>
              <w:rPr>
                <w:rFonts w:cs="Calibri"/>
                <w:b/>
                <w:bCs/>
                <w:color w:val="FFFFFF" w:themeColor="background1"/>
              </w:rPr>
            </w:pPr>
            <w:r>
              <w:rPr>
                <w:rStyle w:val="normaltextrun"/>
                <w:rFonts w:cs="Calibri"/>
                <w:b/>
                <w:bCs/>
                <w:color w:val="FFFFFF"/>
              </w:rPr>
              <w:t>Per Vehicle (tons)</w:t>
            </w:r>
          </w:p>
        </w:tc>
      </w:tr>
      <w:tr w:rsidR="00980281" w:rsidRPr="006F44F5" w14:paraId="2F2F4012" w14:textId="77777777" w:rsidTr="00A85974">
        <w:tc>
          <w:tcPr>
            <w:tcW w:w="2245" w:type="dxa"/>
          </w:tcPr>
          <w:p w14:paraId="0537B03B" w14:textId="251B3717" w:rsidR="00980281" w:rsidRDefault="00980281" w:rsidP="00980281">
            <w:pPr>
              <w:pStyle w:val="Tabletext"/>
              <w:rPr>
                <w:rFonts w:cs="Calibri"/>
              </w:rPr>
            </w:pPr>
            <w:r>
              <w:rPr>
                <w:rFonts w:cs="Calibri"/>
              </w:rPr>
              <w:t>Business</w:t>
            </w:r>
          </w:p>
        </w:tc>
        <w:tc>
          <w:tcPr>
            <w:tcW w:w="1713" w:type="dxa"/>
            <w:vAlign w:val="center"/>
          </w:tcPr>
          <w:p w14:paraId="447088EC" w14:textId="4C3888EF" w:rsidR="00980281" w:rsidRPr="7ACA0E52" w:rsidRDefault="00980281" w:rsidP="00980281">
            <w:pPr>
              <w:pStyle w:val="Tabletext"/>
              <w:jc w:val="left"/>
              <w:rPr>
                <w:rFonts w:cs="Calibri"/>
              </w:rPr>
            </w:pPr>
            <w:r w:rsidRPr="7ACA0E52">
              <w:rPr>
                <w:rFonts w:cs="Calibri"/>
              </w:rPr>
              <w:t xml:space="preserve">PHEV </w:t>
            </w:r>
          </w:p>
        </w:tc>
        <w:tc>
          <w:tcPr>
            <w:tcW w:w="1617" w:type="dxa"/>
            <w:vAlign w:val="center"/>
          </w:tcPr>
          <w:p w14:paraId="2C419622" w14:textId="766B1710" w:rsidR="00980281" w:rsidRPr="00B20F56" w:rsidRDefault="00980281" w:rsidP="00980281">
            <w:pPr>
              <w:pStyle w:val="Tabletext"/>
              <w:jc w:val="left"/>
              <w:rPr>
                <w:rFonts w:cs="Calibri"/>
              </w:rPr>
            </w:pPr>
            <w:r w:rsidRPr="001540DD">
              <w:rPr>
                <w:i/>
                <w:iCs/>
              </w:rPr>
              <w:t xml:space="preserve">N </w:t>
            </w:r>
            <w:r w:rsidRPr="001540DD">
              <w:t>= 2,246</w:t>
            </w:r>
          </w:p>
        </w:tc>
        <w:tc>
          <w:tcPr>
            <w:tcW w:w="2880" w:type="dxa"/>
            <w:vAlign w:val="center"/>
          </w:tcPr>
          <w:p w14:paraId="6B296C5E" w14:textId="685BD771" w:rsidR="00980281" w:rsidRDefault="00980281" w:rsidP="00980281">
            <w:pPr>
              <w:pStyle w:val="Tabletext"/>
              <w:rPr>
                <w:rFonts w:cs="Calibri"/>
              </w:rPr>
            </w:pPr>
            <w:r w:rsidRPr="001540DD">
              <w:t>2.</w:t>
            </w:r>
            <w:r w:rsidR="00287310">
              <w:t>7</w:t>
            </w:r>
          </w:p>
        </w:tc>
      </w:tr>
      <w:tr w:rsidR="00041142" w:rsidRPr="006F44F5" w14:paraId="249276BB" w14:textId="77777777" w:rsidTr="00A85974">
        <w:tc>
          <w:tcPr>
            <w:tcW w:w="2245" w:type="dxa"/>
          </w:tcPr>
          <w:p w14:paraId="33BC5041" w14:textId="28AD5036" w:rsidR="00041142" w:rsidRDefault="00041142" w:rsidP="00041142">
            <w:pPr>
              <w:pStyle w:val="Tabletext"/>
              <w:rPr>
                <w:rFonts w:cs="Calibri"/>
              </w:rPr>
            </w:pPr>
            <w:r w:rsidRPr="00FA0A6E">
              <w:rPr>
                <w:rFonts w:cs="Calibri"/>
              </w:rPr>
              <w:t>Business</w:t>
            </w:r>
          </w:p>
        </w:tc>
        <w:tc>
          <w:tcPr>
            <w:tcW w:w="1713" w:type="dxa"/>
          </w:tcPr>
          <w:p w14:paraId="5A5FA3B4" w14:textId="065E07C2" w:rsidR="00041142" w:rsidRPr="7ACA0E52" w:rsidRDefault="00041142" w:rsidP="00041142">
            <w:pPr>
              <w:pStyle w:val="Tabletext"/>
              <w:jc w:val="left"/>
              <w:rPr>
                <w:rFonts w:cs="Calibri"/>
              </w:rPr>
            </w:pPr>
            <w:r w:rsidRPr="7ACA0E52">
              <w:rPr>
                <w:rFonts w:cs="Calibri"/>
              </w:rPr>
              <w:t>BEV</w:t>
            </w:r>
          </w:p>
        </w:tc>
        <w:tc>
          <w:tcPr>
            <w:tcW w:w="1617" w:type="dxa"/>
            <w:vAlign w:val="center"/>
          </w:tcPr>
          <w:p w14:paraId="22182548" w14:textId="1824DBD7" w:rsidR="00041142" w:rsidRPr="00B20F56" w:rsidRDefault="00041142" w:rsidP="00041142">
            <w:pPr>
              <w:pStyle w:val="Tabletext"/>
              <w:jc w:val="left"/>
              <w:rPr>
                <w:rFonts w:cs="Calibri"/>
              </w:rPr>
            </w:pPr>
            <w:r>
              <w:rPr>
                <w:i/>
                <w:iCs/>
              </w:rPr>
              <w:t xml:space="preserve">N </w:t>
            </w:r>
            <w:r w:rsidRPr="004238E9">
              <w:t>= 8,825</w:t>
            </w:r>
          </w:p>
        </w:tc>
        <w:tc>
          <w:tcPr>
            <w:tcW w:w="2880" w:type="dxa"/>
            <w:vAlign w:val="center"/>
          </w:tcPr>
          <w:p w14:paraId="135AFC6C" w14:textId="500E7795" w:rsidR="00041142" w:rsidRDefault="00041142" w:rsidP="00041142">
            <w:pPr>
              <w:pStyle w:val="Tabletext"/>
              <w:rPr>
                <w:rFonts w:cs="Calibri"/>
              </w:rPr>
            </w:pPr>
            <w:r>
              <w:t>3.</w:t>
            </w:r>
            <w:r w:rsidR="00287310">
              <w:t>7</w:t>
            </w:r>
          </w:p>
        </w:tc>
      </w:tr>
      <w:tr w:rsidR="00980281" w:rsidRPr="006F44F5" w14:paraId="7AAC127C" w14:textId="77777777" w:rsidTr="00A85974">
        <w:tc>
          <w:tcPr>
            <w:tcW w:w="2245" w:type="dxa"/>
          </w:tcPr>
          <w:p w14:paraId="21E19FF4" w14:textId="200B898B" w:rsidR="00980281" w:rsidRDefault="00980281" w:rsidP="00980281">
            <w:pPr>
              <w:pStyle w:val="Tabletext"/>
              <w:rPr>
                <w:rFonts w:cs="Calibri"/>
              </w:rPr>
            </w:pPr>
            <w:r w:rsidRPr="00FA0A6E">
              <w:rPr>
                <w:rFonts w:cs="Calibri"/>
              </w:rPr>
              <w:t>Business</w:t>
            </w:r>
          </w:p>
        </w:tc>
        <w:tc>
          <w:tcPr>
            <w:tcW w:w="1713" w:type="dxa"/>
            <w:vAlign w:val="center"/>
          </w:tcPr>
          <w:p w14:paraId="67C21A12" w14:textId="0425D8F8" w:rsidR="00980281" w:rsidRPr="7ACA0E52" w:rsidRDefault="00980281" w:rsidP="00980281">
            <w:pPr>
              <w:pStyle w:val="Tabletext"/>
              <w:jc w:val="left"/>
              <w:rPr>
                <w:rFonts w:cs="Calibri"/>
              </w:rPr>
            </w:pPr>
            <w:r>
              <w:rPr>
                <w:rFonts w:cs="Calibri"/>
              </w:rPr>
              <w:t>FCEV</w:t>
            </w:r>
          </w:p>
        </w:tc>
        <w:tc>
          <w:tcPr>
            <w:tcW w:w="1617" w:type="dxa"/>
            <w:vAlign w:val="center"/>
          </w:tcPr>
          <w:p w14:paraId="1C6F1ADA" w14:textId="629E7A24" w:rsidR="00980281" w:rsidRPr="00B20F56" w:rsidRDefault="00980281" w:rsidP="00980281">
            <w:pPr>
              <w:pStyle w:val="Tabletext"/>
              <w:jc w:val="left"/>
              <w:rPr>
                <w:rFonts w:cs="Calibri"/>
              </w:rPr>
            </w:pPr>
            <w:r w:rsidRPr="001540DD">
              <w:rPr>
                <w:i/>
                <w:iCs/>
              </w:rPr>
              <w:t xml:space="preserve">N </w:t>
            </w:r>
            <w:r w:rsidRPr="001540DD">
              <w:t>= 237</w:t>
            </w:r>
          </w:p>
        </w:tc>
        <w:tc>
          <w:tcPr>
            <w:tcW w:w="2880" w:type="dxa"/>
            <w:vAlign w:val="center"/>
          </w:tcPr>
          <w:p w14:paraId="6D65EFC4" w14:textId="57E253FE" w:rsidR="00980281" w:rsidRDefault="00980281" w:rsidP="00980281">
            <w:pPr>
              <w:pStyle w:val="Tabletext"/>
              <w:rPr>
                <w:rFonts w:cs="Calibri"/>
              </w:rPr>
            </w:pPr>
            <w:r w:rsidRPr="001540DD">
              <w:t>2.</w:t>
            </w:r>
            <w:r w:rsidR="00287310">
              <w:t>3</w:t>
            </w:r>
          </w:p>
        </w:tc>
      </w:tr>
      <w:tr w:rsidR="00980281" w:rsidRPr="006F44F5" w14:paraId="4BD10525" w14:textId="77777777" w:rsidTr="00A85974">
        <w:tc>
          <w:tcPr>
            <w:tcW w:w="2245" w:type="dxa"/>
            <w:shd w:val="clear" w:color="auto" w:fill="F2F2F2" w:themeFill="background1" w:themeFillShade="F2"/>
          </w:tcPr>
          <w:p w14:paraId="25D084F4" w14:textId="236FA36E" w:rsidR="00980281" w:rsidRPr="7ACA0E52" w:rsidRDefault="00980281" w:rsidP="00980281">
            <w:pPr>
              <w:pStyle w:val="Tabletext"/>
              <w:rPr>
                <w:rFonts w:cs="Calibri"/>
              </w:rPr>
            </w:pPr>
            <w:r>
              <w:rPr>
                <w:rFonts w:cs="Calibri"/>
              </w:rPr>
              <w:t>Non-profit</w:t>
            </w:r>
          </w:p>
        </w:tc>
        <w:tc>
          <w:tcPr>
            <w:tcW w:w="1713" w:type="dxa"/>
            <w:shd w:val="clear" w:color="auto" w:fill="F2F2F2" w:themeFill="background1" w:themeFillShade="F2"/>
            <w:vAlign w:val="center"/>
          </w:tcPr>
          <w:p w14:paraId="4B895018" w14:textId="77777777" w:rsidR="00980281" w:rsidRPr="003A15C4" w:rsidRDefault="00980281" w:rsidP="00980281">
            <w:pPr>
              <w:pStyle w:val="Tabletext"/>
              <w:jc w:val="left"/>
              <w:rPr>
                <w:rFonts w:cs="Calibri"/>
              </w:rPr>
            </w:pPr>
            <w:r w:rsidRPr="7ACA0E52">
              <w:rPr>
                <w:rFonts w:cs="Calibri"/>
              </w:rPr>
              <w:t xml:space="preserve">PHEV </w:t>
            </w:r>
          </w:p>
        </w:tc>
        <w:tc>
          <w:tcPr>
            <w:tcW w:w="1617" w:type="dxa"/>
            <w:shd w:val="clear" w:color="auto" w:fill="F2F2F2" w:themeFill="background1" w:themeFillShade="F2"/>
            <w:vAlign w:val="center"/>
          </w:tcPr>
          <w:p w14:paraId="6DD27F2F" w14:textId="16FC7737" w:rsidR="00980281" w:rsidRPr="006F44F5" w:rsidRDefault="00980281" w:rsidP="00980281">
            <w:pPr>
              <w:pStyle w:val="Tabletext"/>
              <w:jc w:val="left"/>
              <w:rPr>
                <w:rFonts w:cs="Calibri"/>
              </w:rPr>
            </w:pPr>
            <w:r w:rsidRPr="001540DD">
              <w:rPr>
                <w:i/>
                <w:iCs/>
              </w:rPr>
              <w:t xml:space="preserve">N </w:t>
            </w:r>
            <w:r w:rsidRPr="001540DD">
              <w:t>= 62</w:t>
            </w:r>
          </w:p>
        </w:tc>
        <w:tc>
          <w:tcPr>
            <w:tcW w:w="2880" w:type="dxa"/>
            <w:shd w:val="clear" w:color="auto" w:fill="F2F2F2" w:themeFill="background1" w:themeFillShade="F2"/>
            <w:vAlign w:val="center"/>
          </w:tcPr>
          <w:p w14:paraId="3F661F71" w14:textId="2CDFF090" w:rsidR="00980281" w:rsidRPr="006F44F5" w:rsidRDefault="00980281" w:rsidP="00980281">
            <w:pPr>
              <w:pStyle w:val="Tabletext"/>
              <w:rPr>
                <w:rFonts w:cs="Calibri"/>
              </w:rPr>
            </w:pPr>
            <w:r w:rsidRPr="001540DD">
              <w:t>2.</w:t>
            </w:r>
            <w:r w:rsidR="00287310">
              <w:t>6</w:t>
            </w:r>
          </w:p>
        </w:tc>
      </w:tr>
      <w:tr w:rsidR="000D4AD8" w:rsidRPr="006F44F5" w14:paraId="17A3E195" w14:textId="77777777" w:rsidTr="00A85974">
        <w:tc>
          <w:tcPr>
            <w:tcW w:w="2245" w:type="dxa"/>
            <w:shd w:val="clear" w:color="auto" w:fill="F2F2F2" w:themeFill="background1" w:themeFillShade="F2"/>
          </w:tcPr>
          <w:p w14:paraId="2CBF4724" w14:textId="28BC0A3B" w:rsidR="000D4AD8" w:rsidRDefault="000D4AD8" w:rsidP="000D4AD8">
            <w:pPr>
              <w:pStyle w:val="Tabletext"/>
              <w:rPr>
                <w:rFonts w:cs="Calibri"/>
              </w:rPr>
            </w:pPr>
            <w:r>
              <w:rPr>
                <w:rFonts w:cs="Calibri"/>
              </w:rPr>
              <w:t>Non-profit</w:t>
            </w:r>
          </w:p>
        </w:tc>
        <w:tc>
          <w:tcPr>
            <w:tcW w:w="1713" w:type="dxa"/>
            <w:shd w:val="clear" w:color="auto" w:fill="F2F2F2" w:themeFill="background1" w:themeFillShade="F2"/>
            <w:vAlign w:val="center"/>
          </w:tcPr>
          <w:p w14:paraId="4118FCBB" w14:textId="7C960E6C" w:rsidR="000D4AD8" w:rsidRPr="003A15C4" w:rsidRDefault="000D4AD8" w:rsidP="000D4AD8">
            <w:pPr>
              <w:pStyle w:val="Tabletext"/>
              <w:jc w:val="left"/>
              <w:rPr>
                <w:rFonts w:cs="Calibri"/>
              </w:rPr>
            </w:pPr>
            <w:r w:rsidRPr="7ACA0E52">
              <w:rPr>
                <w:rFonts w:cs="Calibri"/>
              </w:rPr>
              <w:t>BEV</w:t>
            </w:r>
          </w:p>
        </w:tc>
        <w:tc>
          <w:tcPr>
            <w:tcW w:w="1617" w:type="dxa"/>
            <w:shd w:val="clear" w:color="auto" w:fill="F2F2F2" w:themeFill="background1" w:themeFillShade="F2"/>
            <w:vAlign w:val="center"/>
          </w:tcPr>
          <w:p w14:paraId="76A464CD" w14:textId="4E929891" w:rsidR="000D4AD8" w:rsidRPr="006F44F5" w:rsidRDefault="000D4AD8" w:rsidP="000D4AD8">
            <w:pPr>
              <w:pStyle w:val="Tabletext"/>
              <w:jc w:val="left"/>
              <w:rPr>
                <w:rFonts w:cs="Calibri"/>
              </w:rPr>
            </w:pPr>
            <w:r w:rsidRPr="001540DD">
              <w:rPr>
                <w:i/>
                <w:iCs/>
              </w:rPr>
              <w:t>N</w:t>
            </w:r>
            <w:r w:rsidRPr="001540DD">
              <w:t xml:space="preserve"> = 79</w:t>
            </w:r>
          </w:p>
        </w:tc>
        <w:tc>
          <w:tcPr>
            <w:tcW w:w="2880" w:type="dxa"/>
            <w:shd w:val="clear" w:color="auto" w:fill="F2F2F2" w:themeFill="background1" w:themeFillShade="F2"/>
            <w:vAlign w:val="center"/>
          </w:tcPr>
          <w:p w14:paraId="1BBC08A2" w14:textId="453E65E5" w:rsidR="000D4AD8" w:rsidRPr="006F44F5" w:rsidRDefault="000D4AD8" w:rsidP="000D4AD8">
            <w:pPr>
              <w:pStyle w:val="Tabletext"/>
              <w:rPr>
                <w:rFonts w:cs="Calibri"/>
              </w:rPr>
            </w:pPr>
            <w:r w:rsidRPr="001540DD">
              <w:t>3.</w:t>
            </w:r>
            <w:r w:rsidR="00287310">
              <w:t>4</w:t>
            </w:r>
          </w:p>
        </w:tc>
      </w:tr>
      <w:tr w:rsidR="00980281" w14:paraId="07DBB182" w14:textId="77777777" w:rsidTr="00A85974">
        <w:tc>
          <w:tcPr>
            <w:tcW w:w="2245" w:type="dxa"/>
            <w:shd w:val="clear" w:color="auto" w:fill="F2F2F2" w:themeFill="background1" w:themeFillShade="F2"/>
          </w:tcPr>
          <w:p w14:paraId="598CE0E7" w14:textId="721E6D42" w:rsidR="00980281" w:rsidRDefault="00980281" w:rsidP="00980281">
            <w:pPr>
              <w:pStyle w:val="Tabletext"/>
              <w:rPr>
                <w:rFonts w:cs="Calibri"/>
              </w:rPr>
            </w:pPr>
            <w:r>
              <w:rPr>
                <w:rFonts w:cs="Calibri"/>
              </w:rPr>
              <w:t>Non-profit</w:t>
            </w:r>
          </w:p>
        </w:tc>
        <w:tc>
          <w:tcPr>
            <w:tcW w:w="1713" w:type="dxa"/>
            <w:shd w:val="clear" w:color="auto" w:fill="F2F2F2" w:themeFill="background1" w:themeFillShade="F2"/>
            <w:vAlign w:val="center"/>
          </w:tcPr>
          <w:p w14:paraId="0C9CE925" w14:textId="77777777" w:rsidR="00980281" w:rsidRDefault="00980281" w:rsidP="00980281">
            <w:pPr>
              <w:pStyle w:val="Tabletext"/>
              <w:jc w:val="left"/>
              <w:rPr>
                <w:rFonts w:cs="Calibri"/>
              </w:rPr>
            </w:pPr>
            <w:r>
              <w:rPr>
                <w:rFonts w:cs="Calibri"/>
              </w:rPr>
              <w:t>FCEV</w:t>
            </w:r>
          </w:p>
        </w:tc>
        <w:tc>
          <w:tcPr>
            <w:tcW w:w="1617" w:type="dxa"/>
            <w:shd w:val="clear" w:color="auto" w:fill="F2F2F2" w:themeFill="background1" w:themeFillShade="F2"/>
            <w:vAlign w:val="center"/>
          </w:tcPr>
          <w:p w14:paraId="7AA8E124" w14:textId="1AE12FF3" w:rsidR="00980281" w:rsidRPr="006F44F5" w:rsidRDefault="00980281" w:rsidP="00980281">
            <w:pPr>
              <w:pStyle w:val="Tabletext"/>
              <w:jc w:val="left"/>
              <w:rPr>
                <w:rFonts w:cs="Calibri"/>
              </w:rPr>
            </w:pPr>
            <w:r w:rsidRPr="001540DD">
              <w:rPr>
                <w:i/>
                <w:iCs/>
              </w:rPr>
              <w:t>N</w:t>
            </w:r>
            <w:r w:rsidRPr="001540DD">
              <w:t xml:space="preserve"> = 3</w:t>
            </w:r>
          </w:p>
        </w:tc>
        <w:tc>
          <w:tcPr>
            <w:tcW w:w="2880" w:type="dxa"/>
            <w:shd w:val="clear" w:color="auto" w:fill="F2F2F2" w:themeFill="background1" w:themeFillShade="F2"/>
            <w:vAlign w:val="center"/>
          </w:tcPr>
          <w:p w14:paraId="3BD224D4" w14:textId="01A18C45" w:rsidR="00980281" w:rsidRDefault="00980281" w:rsidP="00980281">
            <w:pPr>
              <w:pStyle w:val="Tabletext"/>
              <w:rPr>
                <w:rFonts w:cs="Calibri"/>
              </w:rPr>
            </w:pPr>
            <w:r w:rsidRPr="001540DD">
              <w:t>1.</w:t>
            </w:r>
            <w:r w:rsidR="00287310">
              <w:t>4</w:t>
            </w:r>
          </w:p>
        </w:tc>
      </w:tr>
      <w:tr w:rsidR="00980281" w:rsidRPr="006F44F5" w14:paraId="0FC2A970" w14:textId="77777777" w:rsidTr="00A85974">
        <w:tc>
          <w:tcPr>
            <w:tcW w:w="2245" w:type="dxa"/>
            <w:shd w:val="clear" w:color="auto" w:fill="FFFFFF" w:themeFill="background1"/>
          </w:tcPr>
          <w:p w14:paraId="12358F90" w14:textId="019AD0A8" w:rsidR="00980281" w:rsidRPr="7ACA0E52" w:rsidRDefault="00980281" w:rsidP="00980281">
            <w:pPr>
              <w:pStyle w:val="Tabletext"/>
              <w:rPr>
                <w:rFonts w:cs="Calibri"/>
              </w:rPr>
            </w:pPr>
            <w:r>
              <w:rPr>
                <w:rFonts w:cs="Calibri"/>
              </w:rPr>
              <w:t>Federal Government</w:t>
            </w:r>
          </w:p>
        </w:tc>
        <w:tc>
          <w:tcPr>
            <w:tcW w:w="1713" w:type="dxa"/>
            <w:shd w:val="clear" w:color="auto" w:fill="FFFFFF" w:themeFill="background1"/>
            <w:vAlign w:val="center"/>
          </w:tcPr>
          <w:p w14:paraId="2BD137CB" w14:textId="77777777" w:rsidR="00980281" w:rsidRPr="003A15C4" w:rsidRDefault="00980281" w:rsidP="00980281">
            <w:pPr>
              <w:pStyle w:val="Tabletext"/>
              <w:jc w:val="left"/>
              <w:rPr>
                <w:rFonts w:cs="Calibri"/>
              </w:rPr>
            </w:pPr>
            <w:r>
              <w:rPr>
                <w:rFonts w:cs="Calibri"/>
              </w:rPr>
              <w:t>PHEV</w:t>
            </w:r>
          </w:p>
        </w:tc>
        <w:tc>
          <w:tcPr>
            <w:tcW w:w="1617" w:type="dxa"/>
            <w:shd w:val="clear" w:color="auto" w:fill="FFFFFF" w:themeFill="background1"/>
            <w:vAlign w:val="center"/>
          </w:tcPr>
          <w:p w14:paraId="14562E3B" w14:textId="0F6D28AC" w:rsidR="00980281" w:rsidRPr="006F44F5" w:rsidRDefault="00980281" w:rsidP="00980281">
            <w:pPr>
              <w:pStyle w:val="Tabletext"/>
              <w:jc w:val="left"/>
              <w:rPr>
                <w:rFonts w:cs="Calibri"/>
              </w:rPr>
            </w:pPr>
            <w:r w:rsidRPr="001540DD">
              <w:rPr>
                <w:i/>
                <w:iCs/>
              </w:rPr>
              <w:t xml:space="preserve">N </w:t>
            </w:r>
            <w:r w:rsidRPr="001540DD">
              <w:t>= 5</w:t>
            </w:r>
          </w:p>
        </w:tc>
        <w:tc>
          <w:tcPr>
            <w:tcW w:w="2880" w:type="dxa"/>
            <w:shd w:val="clear" w:color="auto" w:fill="FFFFFF" w:themeFill="background1"/>
            <w:vAlign w:val="center"/>
          </w:tcPr>
          <w:p w14:paraId="49384BD9" w14:textId="7645AA10" w:rsidR="00980281" w:rsidRPr="006F44F5" w:rsidRDefault="00980281" w:rsidP="00980281">
            <w:pPr>
              <w:pStyle w:val="Tabletext"/>
              <w:rPr>
                <w:rFonts w:cs="Calibri"/>
              </w:rPr>
            </w:pPr>
            <w:r w:rsidRPr="001540DD">
              <w:t>1.</w:t>
            </w:r>
            <w:r w:rsidR="00287310">
              <w:t>4</w:t>
            </w:r>
          </w:p>
        </w:tc>
      </w:tr>
      <w:tr w:rsidR="00041142" w:rsidRPr="006F44F5" w14:paraId="1DF1458D" w14:textId="77777777" w:rsidTr="00A85974">
        <w:tc>
          <w:tcPr>
            <w:tcW w:w="2245" w:type="dxa"/>
            <w:shd w:val="clear" w:color="auto" w:fill="FFFFFF" w:themeFill="background1"/>
          </w:tcPr>
          <w:p w14:paraId="39EAECDA" w14:textId="523D9F8F" w:rsidR="00041142" w:rsidRPr="7ACA0E52" w:rsidRDefault="00041142" w:rsidP="00041142">
            <w:pPr>
              <w:pStyle w:val="Tabletext"/>
              <w:rPr>
                <w:rFonts w:cs="Calibri"/>
              </w:rPr>
            </w:pPr>
            <w:r>
              <w:rPr>
                <w:rFonts w:cs="Calibri"/>
              </w:rPr>
              <w:t>Federal Government</w:t>
            </w:r>
          </w:p>
        </w:tc>
        <w:tc>
          <w:tcPr>
            <w:tcW w:w="1713" w:type="dxa"/>
            <w:tcBorders>
              <w:bottom w:val="single" w:sz="4" w:space="0" w:color="auto"/>
            </w:tcBorders>
            <w:shd w:val="clear" w:color="auto" w:fill="FFFFFF" w:themeFill="background1"/>
            <w:vAlign w:val="center"/>
          </w:tcPr>
          <w:p w14:paraId="048D45C2" w14:textId="387E557A" w:rsidR="00041142" w:rsidRPr="003A15C4" w:rsidRDefault="00041142" w:rsidP="00041142">
            <w:pPr>
              <w:pStyle w:val="Tabletext"/>
              <w:jc w:val="left"/>
              <w:rPr>
                <w:rFonts w:cs="Calibri"/>
              </w:rPr>
            </w:pPr>
            <w:r w:rsidRPr="7ACA0E52">
              <w:rPr>
                <w:rFonts w:cs="Calibri"/>
              </w:rPr>
              <w:t>BEV</w:t>
            </w:r>
          </w:p>
        </w:tc>
        <w:tc>
          <w:tcPr>
            <w:tcW w:w="1617" w:type="dxa"/>
            <w:tcBorders>
              <w:bottom w:val="single" w:sz="4" w:space="0" w:color="auto"/>
            </w:tcBorders>
            <w:shd w:val="clear" w:color="auto" w:fill="FFFFFF" w:themeFill="background1"/>
            <w:vAlign w:val="center"/>
          </w:tcPr>
          <w:p w14:paraId="3AB9DFCB" w14:textId="47E3E77C" w:rsidR="00041142" w:rsidRPr="006F44F5" w:rsidRDefault="00041142" w:rsidP="00041142">
            <w:pPr>
              <w:pStyle w:val="Tabletext"/>
              <w:jc w:val="left"/>
              <w:rPr>
                <w:rFonts w:cs="Calibri"/>
              </w:rPr>
            </w:pPr>
            <w:r w:rsidRPr="001540DD">
              <w:rPr>
                <w:i/>
                <w:iCs/>
              </w:rPr>
              <w:t xml:space="preserve">N </w:t>
            </w:r>
            <w:r w:rsidRPr="001540DD">
              <w:t>= 196</w:t>
            </w:r>
          </w:p>
        </w:tc>
        <w:tc>
          <w:tcPr>
            <w:tcW w:w="2880" w:type="dxa"/>
            <w:tcBorders>
              <w:bottom w:val="single" w:sz="4" w:space="0" w:color="auto"/>
            </w:tcBorders>
            <w:shd w:val="clear" w:color="auto" w:fill="FFFFFF" w:themeFill="background1"/>
            <w:vAlign w:val="center"/>
          </w:tcPr>
          <w:p w14:paraId="07CB510E" w14:textId="44478A73" w:rsidR="00041142" w:rsidRPr="006F44F5" w:rsidRDefault="00041142" w:rsidP="00041142">
            <w:pPr>
              <w:pStyle w:val="Tabletext"/>
              <w:rPr>
                <w:rFonts w:cs="Calibri"/>
              </w:rPr>
            </w:pPr>
            <w:r w:rsidRPr="001540DD">
              <w:t>1.</w:t>
            </w:r>
            <w:r w:rsidR="00287310">
              <w:t>1</w:t>
            </w:r>
          </w:p>
        </w:tc>
      </w:tr>
      <w:tr w:rsidR="000964E2" w14:paraId="3BCF436C" w14:textId="77777777" w:rsidTr="00A85974">
        <w:tc>
          <w:tcPr>
            <w:tcW w:w="2245" w:type="dxa"/>
            <w:shd w:val="clear" w:color="auto" w:fill="FFFFFF" w:themeFill="background1"/>
          </w:tcPr>
          <w:p w14:paraId="2BEEC006" w14:textId="3F5F43FC" w:rsidR="000964E2" w:rsidRDefault="000964E2">
            <w:pPr>
              <w:pStyle w:val="Tabletext"/>
              <w:rPr>
                <w:rFonts w:cs="Calibri"/>
              </w:rPr>
            </w:pPr>
            <w:r>
              <w:rPr>
                <w:rFonts w:cs="Calibri"/>
              </w:rPr>
              <w:t xml:space="preserve">Federal </w:t>
            </w:r>
            <w:r w:rsidR="00041142">
              <w:rPr>
                <w:rFonts w:cs="Calibri"/>
              </w:rPr>
              <w:t>G</w:t>
            </w:r>
            <w:r>
              <w:rPr>
                <w:rFonts w:cs="Calibri"/>
              </w:rPr>
              <w:t>overnment</w:t>
            </w:r>
          </w:p>
        </w:tc>
        <w:tc>
          <w:tcPr>
            <w:tcW w:w="1713" w:type="dxa"/>
            <w:tcBorders>
              <w:bottom w:val="single" w:sz="4" w:space="0" w:color="auto"/>
            </w:tcBorders>
            <w:shd w:val="clear" w:color="auto" w:fill="FFFFFF" w:themeFill="background1"/>
            <w:vAlign w:val="center"/>
          </w:tcPr>
          <w:p w14:paraId="014969EB" w14:textId="77777777" w:rsidR="000964E2" w:rsidRDefault="000964E2">
            <w:pPr>
              <w:pStyle w:val="Tabletext"/>
              <w:jc w:val="left"/>
              <w:rPr>
                <w:rFonts w:cs="Calibri"/>
              </w:rPr>
            </w:pPr>
            <w:r>
              <w:rPr>
                <w:rFonts w:cs="Calibri"/>
              </w:rPr>
              <w:t>FCEV</w:t>
            </w:r>
          </w:p>
        </w:tc>
        <w:tc>
          <w:tcPr>
            <w:tcW w:w="1617" w:type="dxa"/>
            <w:tcBorders>
              <w:bottom w:val="single" w:sz="4" w:space="0" w:color="auto"/>
            </w:tcBorders>
            <w:shd w:val="clear" w:color="auto" w:fill="FFFFFF" w:themeFill="background1"/>
            <w:vAlign w:val="center"/>
          </w:tcPr>
          <w:p w14:paraId="787117A3" w14:textId="310C4622" w:rsidR="000964E2" w:rsidRPr="008334FB" w:rsidRDefault="000964E2">
            <w:pPr>
              <w:pStyle w:val="Tabletext"/>
              <w:jc w:val="left"/>
              <w:rPr>
                <w:rFonts w:cs="Calibri"/>
                <w:i/>
                <w:iCs/>
              </w:rPr>
            </w:pPr>
            <w:r w:rsidRPr="008334FB">
              <w:rPr>
                <w:rFonts w:cs="Calibri"/>
                <w:i/>
                <w:iCs/>
              </w:rPr>
              <w:t>N</w:t>
            </w:r>
            <w:r w:rsidR="008334FB">
              <w:rPr>
                <w:rFonts w:cs="Calibri"/>
                <w:i/>
                <w:iCs/>
              </w:rPr>
              <w:t xml:space="preserve"> </w:t>
            </w:r>
            <w:r w:rsidR="008334FB">
              <w:rPr>
                <w:rFonts w:cs="Calibri"/>
              </w:rPr>
              <w:t>= 0</w:t>
            </w:r>
            <w:r w:rsidRPr="008334FB">
              <w:rPr>
                <w:rFonts w:cs="Calibri"/>
                <w:i/>
                <w:iCs/>
              </w:rPr>
              <w:t xml:space="preserve"> </w:t>
            </w:r>
          </w:p>
        </w:tc>
        <w:tc>
          <w:tcPr>
            <w:tcW w:w="2880" w:type="dxa"/>
            <w:tcBorders>
              <w:bottom w:val="single" w:sz="4" w:space="0" w:color="auto"/>
            </w:tcBorders>
            <w:shd w:val="clear" w:color="auto" w:fill="FFFFFF" w:themeFill="background1"/>
            <w:vAlign w:val="center"/>
          </w:tcPr>
          <w:p w14:paraId="25A4BC0F" w14:textId="77777777" w:rsidR="000964E2" w:rsidRDefault="000964E2">
            <w:pPr>
              <w:pStyle w:val="Tabletext"/>
              <w:rPr>
                <w:rFonts w:cs="Calibri"/>
              </w:rPr>
            </w:pPr>
            <w:r>
              <w:rPr>
                <w:rFonts w:cs="Calibri"/>
              </w:rPr>
              <w:t>N/A</w:t>
            </w:r>
          </w:p>
        </w:tc>
      </w:tr>
      <w:tr w:rsidR="00980281" w:rsidRPr="006F44F5" w14:paraId="587CF0CD" w14:textId="77777777" w:rsidTr="00A85974">
        <w:tc>
          <w:tcPr>
            <w:tcW w:w="2245" w:type="dxa"/>
            <w:shd w:val="clear" w:color="auto" w:fill="F2F2F2" w:themeFill="background1" w:themeFillShade="F2"/>
          </w:tcPr>
          <w:p w14:paraId="195A5403" w14:textId="121DD681" w:rsidR="00980281" w:rsidRPr="7ACA0E52" w:rsidRDefault="00980281" w:rsidP="00980281">
            <w:pPr>
              <w:pStyle w:val="Tabletext"/>
              <w:rPr>
                <w:rFonts w:cs="Calibri"/>
              </w:rPr>
            </w:pPr>
            <w:r>
              <w:rPr>
                <w:rFonts w:cs="Calibri"/>
              </w:rPr>
              <w:t>State Government</w:t>
            </w:r>
          </w:p>
        </w:tc>
        <w:tc>
          <w:tcPr>
            <w:tcW w:w="1713" w:type="dxa"/>
            <w:shd w:val="clear" w:color="auto" w:fill="F2F2F2" w:themeFill="background1" w:themeFillShade="F2"/>
            <w:vAlign w:val="center"/>
          </w:tcPr>
          <w:p w14:paraId="3955BF65" w14:textId="77777777" w:rsidR="00980281" w:rsidRPr="003A15C4" w:rsidRDefault="00980281" w:rsidP="00980281">
            <w:pPr>
              <w:pStyle w:val="Tabletext"/>
              <w:jc w:val="left"/>
              <w:rPr>
                <w:rFonts w:cs="Calibri"/>
              </w:rPr>
            </w:pPr>
            <w:r>
              <w:rPr>
                <w:rFonts w:cs="Calibri"/>
              </w:rPr>
              <w:t>PHEV</w:t>
            </w:r>
          </w:p>
        </w:tc>
        <w:tc>
          <w:tcPr>
            <w:tcW w:w="1617" w:type="dxa"/>
            <w:shd w:val="clear" w:color="auto" w:fill="F2F2F2" w:themeFill="background1" w:themeFillShade="F2"/>
            <w:vAlign w:val="center"/>
          </w:tcPr>
          <w:p w14:paraId="299C6A66" w14:textId="1ED275C6" w:rsidR="00980281" w:rsidRPr="006F44F5" w:rsidRDefault="00980281" w:rsidP="00980281">
            <w:pPr>
              <w:pStyle w:val="Tabletext"/>
              <w:jc w:val="left"/>
              <w:rPr>
                <w:rFonts w:cs="Calibri"/>
              </w:rPr>
            </w:pPr>
            <w:r w:rsidRPr="001540DD">
              <w:rPr>
                <w:i/>
                <w:iCs/>
              </w:rPr>
              <w:t xml:space="preserve">N </w:t>
            </w:r>
            <w:r w:rsidRPr="001540DD">
              <w:t>= 207</w:t>
            </w:r>
          </w:p>
        </w:tc>
        <w:tc>
          <w:tcPr>
            <w:tcW w:w="2880" w:type="dxa"/>
            <w:shd w:val="clear" w:color="auto" w:fill="F2F2F2" w:themeFill="background1" w:themeFillShade="F2"/>
            <w:vAlign w:val="center"/>
          </w:tcPr>
          <w:p w14:paraId="70AA8353" w14:textId="304783AA" w:rsidR="00980281" w:rsidRPr="006F44F5" w:rsidRDefault="00980281" w:rsidP="00980281">
            <w:pPr>
              <w:pStyle w:val="Tabletext"/>
              <w:rPr>
                <w:rFonts w:cs="Calibri"/>
              </w:rPr>
            </w:pPr>
            <w:r w:rsidRPr="001540DD">
              <w:t>2.</w:t>
            </w:r>
            <w:r w:rsidR="00287310">
              <w:t>1</w:t>
            </w:r>
          </w:p>
        </w:tc>
      </w:tr>
      <w:tr w:rsidR="00041142" w:rsidRPr="7ACA0E52" w14:paraId="22619C27" w14:textId="77777777" w:rsidTr="00A85974">
        <w:tc>
          <w:tcPr>
            <w:tcW w:w="2245" w:type="dxa"/>
            <w:shd w:val="clear" w:color="auto" w:fill="F2F2F2" w:themeFill="background1" w:themeFillShade="F2"/>
          </w:tcPr>
          <w:p w14:paraId="4C2EC6CF" w14:textId="21690881" w:rsidR="00041142" w:rsidRDefault="00041142" w:rsidP="00041142">
            <w:pPr>
              <w:pStyle w:val="Tabletext"/>
              <w:rPr>
                <w:rFonts w:cs="Calibri"/>
              </w:rPr>
            </w:pPr>
            <w:r>
              <w:rPr>
                <w:rFonts w:cs="Calibri"/>
              </w:rPr>
              <w:t>State Government</w:t>
            </w:r>
          </w:p>
        </w:tc>
        <w:tc>
          <w:tcPr>
            <w:tcW w:w="1713" w:type="dxa"/>
            <w:shd w:val="clear" w:color="auto" w:fill="F2F2F2" w:themeFill="background1" w:themeFillShade="F2"/>
            <w:vAlign w:val="center"/>
          </w:tcPr>
          <w:p w14:paraId="398DC0FA" w14:textId="7DDBB088" w:rsidR="00041142" w:rsidRPr="7ACA0E52" w:rsidRDefault="00041142" w:rsidP="00041142">
            <w:pPr>
              <w:pStyle w:val="Tabletext"/>
              <w:jc w:val="left"/>
              <w:rPr>
                <w:rFonts w:cs="Calibri"/>
              </w:rPr>
            </w:pPr>
            <w:r w:rsidRPr="7ACA0E52">
              <w:rPr>
                <w:rFonts w:cs="Calibri"/>
              </w:rPr>
              <w:t>BEV</w:t>
            </w:r>
          </w:p>
        </w:tc>
        <w:tc>
          <w:tcPr>
            <w:tcW w:w="1617" w:type="dxa"/>
            <w:shd w:val="clear" w:color="auto" w:fill="F2F2F2" w:themeFill="background1" w:themeFillShade="F2"/>
            <w:vAlign w:val="center"/>
          </w:tcPr>
          <w:p w14:paraId="0E30FF21" w14:textId="1D78378F" w:rsidR="00041142" w:rsidRPr="7ACA0E52" w:rsidRDefault="00041142" w:rsidP="00041142">
            <w:pPr>
              <w:pStyle w:val="Tabletext"/>
              <w:jc w:val="left"/>
              <w:rPr>
                <w:rFonts w:cs="Calibri"/>
              </w:rPr>
            </w:pPr>
            <w:r w:rsidRPr="001540DD">
              <w:rPr>
                <w:i/>
                <w:iCs/>
              </w:rPr>
              <w:t xml:space="preserve">N </w:t>
            </w:r>
            <w:r w:rsidRPr="001540DD">
              <w:t>= 1</w:t>
            </w:r>
            <w:r w:rsidR="00DE6B85">
              <w:t>16</w:t>
            </w:r>
          </w:p>
        </w:tc>
        <w:tc>
          <w:tcPr>
            <w:tcW w:w="2880" w:type="dxa"/>
            <w:shd w:val="clear" w:color="auto" w:fill="F2F2F2" w:themeFill="background1" w:themeFillShade="F2"/>
            <w:vAlign w:val="center"/>
          </w:tcPr>
          <w:p w14:paraId="08B85355" w14:textId="7E160989" w:rsidR="00041142" w:rsidRPr="7ACA0E52" w:rsidRDefault="00041142" w:rsidP="00041142">
            <w:pPr>
              <w:pStyle w:val="Tabletext"/>
              <w:rPr>
                <w:rFonts w:cs="Calibri"/>
              </w:rPr>
            </w:pPr>
            <w:r w:rsidRPr="001540DD">
              <w:t>1.</w:t>
            </w:r>
            <w:r w:rsidR="00287310">
              <w:t>2</w:t>
            </w:r>
          </w:p>
        </w:tc>
      </w:tr>
      <w:tr w:rsidR="00980281" w14:paraId="548050C1" w14:textId="77777777" w:rsidTr="00A85974">
        <w:tc>
          <w:tcPr>
            <w:tcW w:w="2245" w:type="dxa"/>
            <w:shd w:val="clear" w:color="auto" w:fill="F2F2F2" w:themeFill="background1" w:themeFillShade="F2"/>
          </w:tcPr>
          <w:p w14:paraId="3DCBCA05" w14:textId="7745F483" w:rsidR="00980281" w:rsidRDefault="00980281" w:rsidP="00980281">
            <w:pPr>
              <w:pStyle w:val="Tabletext"/>
              <w:rPr>
                <w:rFonts w:cs="Calibri"/>
              </w:rPr>
            </w:pPr>
            <w:r>
              <w:rPr>
                <w:rFonts w:cs="Calibri"/>
              </w:rPr>
              <w:t>State Government</w:t>
            </w:r>
          </w:p>
        </w:tc>
        <w:tc>
          <w:tcPr>
            <w:tcW w:w="1713" w:type="dxa"/>
            <w:shd w:val="clear" w:color="auto" w:fill="F2F2F2" w:themeFill="background1" w:themeFillShade="F2"/>
            <w:vAlign w:val="center"/>
          </w:tcPr>
          <w:p w14:paraId="4E11E806" w14:textId="77777777" w:rsidR="00980281" w:rsidRDefault="00980281" w:rsidP="00980281">
            <w:pPr>
              <w:pStyle w:val="Tabletext"/>
              <w:jc w:val="left"/>
              <w:rPr>
                <w:rFonts w:cs="Calibri"/>
              </w:rPr>
            </w:pPr>
            <w:r>
              <w:rPr>
                <w:rFonts w:cs="Calibri"/>
              </w:rPr>
              <w:t>FCEV</w:t>
            </w:r>
          </w:p>
        </w:tc>
        <w:tc>
          <w:tcPr>
            <w:tcW w:w="1617" w:type="dxa"/>
            <w:shd w:val="clear" w:color="auto" w:fill="F2F2F2" w:themeFill="background1" w:themeFillShade="F2"/>
            <w:vAlign w:val="center"/>
          </w:tcPr>
          <w:p w14:paraId="1FFF0F97" w14:textId="4E304826" w:rsidR="00980281" w:rsidRPr="7ACA0E52" w:rsidRDefault="00980281" w:rsidP="00980281">
            <w:pPr>
              <w:pStyle w:val="Tabletext"/>
              <w:jc w:val="left"/>
              <w:rPr>
                <w:rFonts w:cs="Calibri"/>
              </w:rPr>
            </w:pPr>
            <w:r w:rsidRPr="001540DD">
              <w:rPr>
                <w:i/>
                <w:iCs/>
              </w:rPr>
              <w:t xml:space="preserve">N </w:t>
            </w:r>
            <w:r w:rsidRPr="001540DD">
              <w:t>= 25</w:t>
            </w:r>
          </w:p>
        </w:tc>
        <w:tc>
          <w:tcPr>
            <w:tcW w:w="2880" w:type="dxa"/>
            <w:shd w:val="clear" w:color="auto" w:fill="F2F2F2" w:themeFill="background1" w:themeFillShade="F2"/>
            <w:vAlign w:val="center"/>
          </w:tcPr>
          <w:p w14:paraId="1705CC6E" w14:textId="389201EF" w:rsidR="00980281" w:rsidRDefault="00980281" w:rsidP="00980281">
            <w:pPr>
              <w:pStyle w:val="Tabletext"/>
              <w:rPr>
                <w:rFonts w:cs="Calibri"/>
              </w:rPr>
            </w:pPr>
            <w:r w:rsidRPr="001540DD">
              <w:t>0.</w:t>
            </w:r>
            <w:r w:rsidR="00287310">
              <w:t>9</w:t>
            </w:r>
          </w:p>
        </w:tc>
      </w:tr>
      <w:tr w:rsidR="00980281" w14:paraId="0A573561" w14:textId="77777777" w:rsidTr="00A85974">
        <w:tc>
          <w:tcPr>
            <w:tcW w:w="2245" w:type="dxa"/>
            <w:shd w:val="clear" w:color="auto" w:fill="FFFFFF" w:themeFill="background1"/>
          </w:tcPr>
          <w:p w14:paraId="0F7FCC07" w14:textId="25750910" w:rsidR="00980281" w:rsidRDefault="00980281" w:rsidP="00980281">
            <w:pPr>
              <w:pStyle w:val="Tabletext"/>
              <w:rPr>
                <w:rFonts w:cs="Calibri"/>
              </w:rPr>
            </w:pPr>
            <w:r>
              <w:rPr>
                <w:rFonts w:cs="Calibri"/>
              </w:rPr>
              <w:t>Local Government</w:t>
            </w:r>
          </w:p>
        </w:tc>
        <w:tc>
          <w:tcPr>
            <w:tcW w:w="1713" w:type="dxa"/>
            <w:shd w:val="clear" w:color="auto" w:fill="FFFFFF" w:themeFill="background1"/>
            <w:vAlign w:val="center"/>
          </w:tcPr>
          <w:p w14:paraId="34C2DE1E" w14:textId="14241A95" w:rsidR="00980281" w:rsidRDefault="00980281" w:rsidP="00980281">
            <w:pPr>
              <w:pStyle w:val="Tabletext"/>
              <w:jc w:val="left"/>
              <w:rPr>
                <w:rFonts w:cs="Calibri"/>
              </w:rPr>
            </w:pPr>
            <w:r>
              <w:rPr>
                <w:rFonts w:cs="Calibri"/>
              </w:rPr>
              <w:t>PHEV</w:t>
            </w:r>
          </w:p>
        </w:tc>
        <w:tc>
          <w:tcPr>
            <w:tcW w:w="1617" w:type="dxa"/>
            <w:shd w:val="clear" w:color="auto" w:fill="FFFFFF" w:themeFill="background1"/>
            <w:vAlign w:val="center"/>
          </w:tcPr>
          <w:p w14:paraId="32CFF9DE" w14:textId="2CF1D15B" w:rsidR="00980281" w:rsidRPr="00B20F56" w:rsidRDefault="00980281" w:rsidP="00980281">
            <w:pPr>
              <w:pStyle w:val="Tabletext"/>
              <w:jc w:val="left"/>
              <w:rPr>
                <w:rFonts w:cs="Calibri"/>
              </w:rPr>
            </w:pPr>
            <w:r w:rsidRPr="001540DD">
              <w:rPr>
                <w:i/>
                <w:iCs/>
              </w:rPr>
              <w:t xml:space="preserve">N </w:t>
            </w:r>
            <w:r w:rsidRPr="001540DD">
              <w:t>= 620</w:t>
            </w:r>
          </w:p>
        </w:tc>
        <w:tc>
          <w:tcPr>
            <w:tcW w:w="2880" w:type="dxa"/>
            <w:shd w:val="clear" w:color="auto" w:fill="FFFFFF" w:themeFill="background1"/>
            <w:vAlign w:val="center"/>
          </w:tcPr>
          <w:p w14:paraId="6FB192BC" w14:textId="215AD9FF" w:rsidR="00980281" w:rsidRDefault="00980281" w:rsidP="00980281">
            <w:pPr>
              <w:pStyle w:val="Tabletext"/>
              <w:rPr>
                <w:rFonts w:cs="Calibri"/>
              </w:rPr>
            </w:pPr>
            <w:r w:rsidRPr="001540DD">
              <w:t>1.9</w:t>
            </w:r>
          </w:p>
        </w:tc>
      </w:tr>
      <w:tr w:rsidR="00041142" w14:paraId="49217DE8" w14:textId="77777777" w:rsidTr="00A85974">
        <w:tc>
          <w:tcPr>
            <w:tcW w:w="2245" w:type="dxa"/>
            <w:shd w:val="clear" w:color="auto" w:fill="FFFFFF" w:themeFill="background1"/>
          </w:tcPr>
          <w:p w14:paraId="4EA7801C" w14:textId="389BC2F9" w:rsidR="00041142" w:rsidRDefault="00041142" w:rsidP="00041142">
            <w:pPr>
              <w:pStyle w:val="Tabletext"/>
              <w:rPr>
                <w:rFonts w:cs="Calibri"/>
              </w:rPr>
            </w:pPr>
            <w:r>
              <w:rPr>
                <w:rFonts w:cs="Calibri"/>
              </w:rPr>
              <w:t>Local Government</w:t>
            </w:r>
          </w:p>
        </w:tc>
        <w:tc>
          <w:tcPr>
            <w:tcW w:w="1713" w:type="dxa"/>
            <w:shd w:val="clear" w:color="auto" w:fill="FFFFFF" w:themeFill="background1"/>
            <w:vAlign w:val="center"/>
          </w:tcPr>
          <w:p w14:paraId="0AEAA304" w14:textId="57EF4A3C" w:rsidR="00041142" w:rsidRDefault="00041142" w:rsidP="00041142">
            <w:pPr>
              <w:pStyle w:val="Tabletext"/>
              <w:jc w:val="left"/>
              <w:rPr>
                <w:rFonts w:cs="Calibri"/>
              </w:rPr>
            </w:pPr>
            <w:r w:rsidRPr="7ACA0E52">
              <w:rPr>
                <w:rFonts w:cs="Calibri"/>
              </w:rPr>
              <w:t>BEV</w:t>
            </w:r>
          </w:p>
        </w:tc>
        <w:tc>
          <w:tcPr>
            <w:tcW w:w="1617" w:type="dxa"/>
            <w:shd w:val="clear" w:color="auto" w:fill="FFFFFF" w:themeFill="background1"/>
            <w:vAlign w:val="center"/>
          </w:tcPr>
          <w:p w14:paraId="667C990E" w14:textId="5A2B810A" w:rsidR="00041142" w:rsidRPr="00B20F56" w:rsidRDefault="00041142" w:rsidP="00041142">
            <w:pPr>
              <w:pStyle w:val="Tabletext"/>
              <w:jc w:val="left"/>
              <w:rPr>
                <w:rFonts w:cs="Calibri"/>
              </w:rPr>
            </w:pPr>
            <w:r w:rsidRPr="001540DD">
              <w:rPr>
                <w:i/>
                <w:iCs/>
              </w:rPr>
              <w:t xml:space="preserve">N </w:t>
            </w:r>
            <w:r w:rsidRPr="001540DD">
              <w:t>= 1,527</w:t>
            </w:r>
          </w:p>
        </w:tc>
        <w:tc>
          <w:tcPr>
            <w:tcW w:w="2880" w:type="dxa"/>
            <w:shd w:val="clear" w:color="auto" w:fill="FFFFFF" w:themeFill="background1"/>
            <w:vAlign w:val="center"/>
          </w:tcPr>
          <w:p w14:paraId="5508AEA9" w14:textId="3A131014" w:rsidR="00041142" w:rsidRDefault="00041142" w:rsidP="00041142">
            <w:pPr>
              <w:pStyle w:val="Tabletext"/>
              <w:rPr>
                <w:rFonts w:cs="Calibri"/>
              </w:rPr>
            </w:pPr>
            <w:r w:rsidRPr="001540DD">
              <w:t>1.2</w:t>
            </w:r>
          </w:p>
        </w:tc>
      </w:tr>
      <w:tr w:rsidR="00980281" w14:paraId="512172BA" w14:textId="77777777" w:rsidTr="00A85974">
        <w:tc>
          <w:tcPr>
            <w:tcW w:w="2245" w:type="dxa"/>
            <w:shd w:val="clear" w:color="auto" w:fill="FFFFFF" w:themeFill="background1"/>
          </w:tcPr>
          <w:p w14:paraId="77BDB017" w14:textId="1BD97761" w:rsidR="00980281" w:rsidRDefault="00980281" w:rsidP="00980281">
            <w:pPr>
              <w:pStyle w:val="Tabletext"/>
              <w:rPr>
                <w:rFonts w:cs="Calibri"/>
              </w:rPr>
            </w:pPr>
            <w:r>
              <w:rPr>
                <w:rFonts w:cs="Calibri"/>
              </w:rPr>
              <w:t>Local Government</w:t>
            </w:r>
          </w:p>
        </w:tc>
        <w:tc>
          <w:tcPr>
            <w:tcW w:w="1713" w:type="dxa"/>
            <w:shd w:val="clear" w:color="auto" w:fill="FFFFFF" w:themeFill="background1"/>
            <w:vAlign w:val="center"/>
          </w:tcPr>
          <w:p w14:paraId="43194E07" w14:textId="1CD2B3C4" w:rsidR="00980281" w:rsidRDefault="00980281" w:rsidP="00980281">
            <w:pPr>
              <w:pStyle w:val="Tabletext"/>
              <w:jc w:val="left"/>
              <w:rPr>
                <w:rFonts w:cs="Calibri"/>
              </w:rPr>
            </w:pPr>
            <w:r>
              <w:rPr>
                <w:rFonts w:cs="Calibri"/>
              </w:rPr>
              <w:t>FCEV</w:t>
            </w:r>
          </w:p>
        </w:tc>
        <w:tc>
          <w:tcPr>
            <w:tcW w:w="1617" w:type="dxa"/>
            <w:shd w:val="clear" w:color="auto" w:fill="FFFFFF" w:themeFill="background1"/>
            <w:vAlign w:val="center"/>
          </w:tcPr>
          <w:p w14:paraId="3CD33D22" w14:textId="67DF4382" w:rsidR="00980281" w:rsidRPr="00B20F56" w:rsidRDefault="00980281" w:rsidP="00980281">
            <w:pPr>
              <w:pStyle w:val="Tabletext"/>
              <w:jc w:val="left"/>
              <w:rPr>
                <w:rFonts w:cs="Calibri"/>
              </w:rPr>
            </w:pPr>
            <w:r w:rsidRPr="001540DD">
              <w:rPr>
                <w:i/>
                <w:iCs/>
              </w:rPr>
              <w:t xml:space="preserve">N </w:t>
            </w:r>
            <w:r w:rsidRPr="001540DD">
              <w:t>= 49</w:t>
            </w:r>
          </w:p>
        </w:tc>
        <w:tc>
          <w:tcPr>
            <w:tcW w:w="2880" w:type="dxa"/>
            <w:shd w:val="clear" w:color="auto" w:fill="FFFFFF" w:themeFill="background1"/>
            <w:vAlign w:val="center"/>
          </w:tcPr>
          <w:p w14:paraId="0EDD0BFC" w14:textId="5CF9FFBB" w:rsidR="00980281" w:rsidRDefault="00980281" w:rsidP="00980281">
            <w:pPr>
              <w:pStyle w:val="Tabletext"/>
              <w:rPr>
                <w:rFonts w:cs="Calibri"/>
              </w:rPr>
            </w:pPr>
            <w:r w:rsidRPr="001540DD">
              <w:t>0.</w:t>
            </w:r>
            <w:r w:rsidR="00287310">
              <w:t>9</w:t>
            </w:r>
          </w:p>
        </w:tc>
      </w:tr>
      <w:tr w:rsidR="00980281" w:rsidRPr="7ACA0E52" w14:paraId="1A0779EC" w14:textId="77777777" w:rsidTr="00A85974">
        <w:tc>
          <w:tcPr>
            <w:tcW w:w="2245" w:type="dxa"/>
            <w:shd w:val="clear" w:color="auto" w:fill="F2F2F2" w:themeFill="background1" w:themeFillShade="F2"/>
          </w:tcPr>
          <w:p w14:paraId="59A6F02D" w14:textId="77A87D72" w:rsidR="00980281" w:rsidRDefault="00980281" w:rsidP="00980281">
            <w:pPr>
              <w:pStyle w:val="Tabletext"/>
              <w:jc w:val="left"/>
              <w:rPr>
                <w:rFonts w:cs="Calibri"/>
              </w:rPr>
            </w:pPr>
            <w:r w:rsidRPr="001540DD">
              <w:rPr>
                <w:b/>
                <w:bCs/>
              </w:rPr>
              <w:t xml:space="preserve">All </w:t>
            </w:r>
          </w:p>
        </w:tc>
        <w:tc>
          <w:tcPr>
            <w:tcW w:w="1713" w:type="dxa"/>
            <w:tcBorders>
              <w:bottom w:val="single" w:sz="4" w:space="0" w:color="auto"/>
            </w:tcBorders>
            <w:shd w:val="clear" w:color="auto" w:fill="F2F2F2" w:themeFill="background1" w:themeFillShade="F2"/>
          </w:tcPr>
          <w:p w14:paraId="7458D60C" w14:textId="04FD1995" w:rsidR="00980281" w:rsidRPr="7ACA0E52" w:rsidRDefault="00980281" w:rsidP="00980281">
            <w:pPr>
              <w:pStyle w:val="Tabletext"/>
              <w:jc w:val="left"/>
              <w:rPr>
                <w:rFonts w:cs="Calibri"/>
              </w:rPr>
            </w:pPr>
            <w:r w:rsidRPr="001540DD">
              <w:rPr>
                <w:b/>
                <w:bCs/>
              </w:rPr>
              <w:t xml:space="preserve">All </w:t>
            </w:r>
          </w:p>
        </w:tc>
        <w:tc>
          <w:tcPr>
            <w:tcW w:w="1617" w:type="dxa"/>
            <w:tcBorders>
              <w:bottom w:val="single" w:sz="4" w:space="0" w:color="auto"/>
            </w:tcBorders>
            <w:shd w:val="clear" w:color="auto" w:fill="F2F2F2" w:themeFill="background1" w:themeFillShade="F2"/>
            <w:vAlign w:val="center"/>
          </w:tcPr>
          <w:p w14:paraId="0F187330" w14:textId="17E70E8B" w:rsidR="00980281" w:rsidRPr="7ACA0E52" w:rsidRDefault="00980281" w:rsidP="00980281">
            <w:pPr>
              <w:pStyle w:val="Tabletext"/>
              <w:jc w:val="left"/>
              <w:rPr>
                <w:rFonts w:cs="Calibri"/>
              </w:rPr>
            </w:pPr>
            <w:r w:rsidRPr="001540DD">
              <w:rPr>
                <w:rFonts w:cs="Calibri"/>
                <w:b/>
                <w:bCs/>
                <w:i/>
                <w:iCs/>
              </w:rPr>
              <w:t xml:space="preserve">N </w:t>
            </w:r>
            <w:r w:rsidRPr="001540DD">
              <w:rPr>
                <w:rFonts w:cs="Calibri"/>
                <w:b/>
                <w:bCs/>
              </w:rPr>
              <w:t>= 14,197</w:t>
            </w:r>
          </w:p>
        </w:tc>
        <w:tc>
          <w:tcPr>
            <w:tcW w:w="2880" w:type="dxa"/>
            <w:tcBorders>
              <w:bottom w:val="single" w:sz="4" w:space="0" w:color="auto"/>
            </w:tcBorders>
            <w:shd w:val="clear" w:color="auto" w:fill="F2F2F2" w:themeFill="background1" w:themeFillShade="F2"/>
          </w:tcPr>
          <w:p w14:paraId="3807B069" w14:textId="1AAC1B22" w:rsidR="00980281" w:rsidRPr="7ACA0E52" w:rsidRDefault="00884A73" w:rsidP="00980281">
            <w:pPr>
              <w:pStyle w:val="Tabletext"/>
              <w:rPr>
                <w:b/>
              </w:rPr>
            </w:pPr>
            <w:r>
              <w:rPr>
                <w:b/>
                <w:bCs/>
              </w:rPr>
              <w:t>3.</w:t>
            </w:r>
            <w:r w:rsidRPr="00428381">
              <w:rPr>
                <w:b/>
                <w:bCs/>
              </w:rPr>
              <w:t>1</w:t>
            </w:r>
          </w:p>
        </w:tc>
      </w:tr>
    </w:tbl>
    <w:p w14:paraId="144DFA58" w14:textId="77777777" w:rsidR="00712ECA" w:rsidRDefault="00712ECA" w:rsidP="009E6B90"/>
    <w:p w14:paraId="53AF8F34" w14:textId="0FA3170F" w:rsidR="00AD356F" w:rsidRDefault="00C70E7F" w:rsidP="00AD356F">
      <w:pPr>
        <w:pStyle w:val="Heading2"/>
      </w:pPr>
      <w:bookmarkStart w:id="80" w:name="_Toc227069810"/>
      <w:r>
        <w:lastRenderedPageBreak/>
        <w:t xml:space="preserve">TNC </w:t>
      </w:r>
      <w:r w:rsidR="00AD356F" w:rsidRPr="00AD356F">
        <w:t>GHG Emission Reductions</w:t>
      </w:r>
      <w:bookmarkEnd w:id="80"/>
    </w:p>
    <w:p w14:paraId="5852A05A" w14:textId="7AD4F9CB" w:rsidR="00C70E7F" w:rsidRDefault="00C70E7F">
      <w:pPr>
        <w:spacing w:after="0" w:line="240" w:lineRule="auto"/>
      </w:pPr>
      <w:r>
        <w:t xml:space="preserve">The CVRP Consumer Survey </w:t>
      </w:r>
      <w:r w:rsidR="0046623A">
        <w:t xml:space="preserve">2020–2023 </w:t>
      </w:r>
      <w:r w:rsidR="00763BF9">
        <w:t>Edition</w:t>
      </w:r>
      <w:r w:rsidR="00763BF9" w:rsidDel="0046623A">
        <w:t xml:space="preserve"> </w:t>
      </w:r>
      <w:r>
        <w:t>ask</w:t>
      </w:r>
      <w:r w:rsidR="00763BF9">
        <w:t>ed</w:t>
      </w:r>
      <w:r>
        <w:t xml:space="preserve"> respondents if they</w:t>
      </w:r>
      <w:r w:rsidR="009E3698">
        <w:t xml:space="preserve"> use their EV to</w:t>
      </w:r>
      <w:r>
        <w:t xml:space="preserve"> drive for a transportation network company (TNC) such as Uber or Lyft. </w:t>
      </w:r>
      <w:r w:rsidR="007B5696">
        <w:t xml:space="preserve">Since complete information </w:t>
      </w:r>
      <w:r w:rsidR="0012157A">
        <w:t xml:space="preserve">about which participants </w:t>
      </w:r>
      <w:r w:rsidR="004A6359">
        <w:t xml:space="preserve">drive for TNCs </w:t>
      </w:r>
      <w:r w:rsidR="00621B12">
        <w:t xml:space="preserve">is unavailable </w:t>
      </w:r>
      <w:r w:rsidR="004A6359">
        <w:t>(</w:t>
      </w:r>
      <w:r w:rsidR="00621B12">
        <w:t xml:space="preserve">it is only known </w:t>
      </w:r>
      <w:r w:rsidR="004A6359">
        <w:t>for respondents</w:t>
      </w:r>
      <w:r w:rsidR="005C68E2">
        <w:t xml:space="preserve"> to the </w:t>
      </w:r>
      <w:r w:rsidR="00793944">
        <w:t>2020–2023 Survey Edition</w:t>
      </w:r>
      <w:r w:rsidR="004A6359">
        <w:t xml:space="preserve">), we </w:t>
      </w:r>
      <w:r w:rsidR="00C065EA">
        <w:t xml:space="preserve">separately </w:t>
      </w:r>
      <w:r w:rsidR="004A6359">
        <w:t>analyze the</w:t>
      </w:r>
      <w:r w:rsidR="00167C72">
        <w:t xml:space="preserve"> GHG impacts of the known TNC sample here and </w:t>
      </w:r>
      <w:r w:rsidR="004A6359">
        <w:t xml:space="preserve">provide an illustrative example of how </w:t>
      </w:r>
      <w:r w:rsidR="0073510B">
        <w:t xml:space="preserve">GHG impacts overall may change when extrapolating </w:t>
      </w:r>
      <w:r w:rsidR="00025E95">
        <w:t xml:space="preserve">the </w:t>
      </w:r>
      <w:r w:rsidR="0073510B">
        <w:t>results</w:t>
      </w:r>
      <w:r w:rsidR="00A16AB0">
        <w:t>.</w:t>
      </w:r>
      <w:r w:rsidR="0073510B">
        <w:t xml:space="preserve"> </w:t>
      </w:r>
    </w:p>
    <w:p w14:paraId="0C3317E8" w14:textId="77777777" w:rsidR="00BB56F4" w:rsidRDefault="00BB56F4" w:rsidP="00BB56F4">
      <w:pPr>
        <w:spacing w:after="0" w:line="240" w:lineRule="auto"/>
      </w:pPr>
    </w:p>
    <w:p w14:paraId="2AAB2EA9" w14:textId="3D60CCCE" w:rsidR="00BB56F4" w:rsidRDefault="00BB56F4">
      <w:pPr>
        <w:spacing w:after="0" w:line="240" w:lineRule="auto"/>
      </w:pPr>
      <w:r>
        <w:t xml:space="preserve">California </w:t>
      </w:r>
      <w:r w:rsidR="002D5EC7">
        <w:t>TNC</w:t>
      </w:r>
      <w:r w:rsidR="0005409D">
        <w:t xml:space="preserve"> </w:t>
      </w:r>
      <w:proofErr w:type="gramStart"/>
      <w:r w:rsidR="0005409D">
        <w:t>driver</w:t>
      </w:r>
      <w:proofErr w:type="gramEnd"/>
      <w:r>
        <w:t xml:space="preserve"> annual VMT are </w:t>
      </w:r>
      <w:r w:rsidR="00007132">
        <w:t>estimated</w:t>
      </w:r>
      <w:r w:rsidR="00C76CE8">
        <w:t xml:space="preserve"> to range between 15,522 miles and 20,869 miles</w:t>
      </w:r>
      <w:r w:rsidR="00623F84">
        <w:t>,</w:t>
      </w:r>
      <w:r w:rsidR="00C76CE8">
        <w:t xml:space="preserve"> </w:t>
      </w:r>
      <w:r>
        <w:t>as detailed in Table D</w:t>
      </w:r>
      <w:r w:rsidR="00072DC7">
        <w:t>5</w:t>
      </w:r>
      <w:r>
        <w:t xml:space="preserve">. </w:t>
      </w:r>
    </w:p>
    <w:p w14:paraId="4D9A5C04" w14:textId="77777777" w:rsidR="00BB56F4" w:rsidRPr="005D5305" w:rsidRDefault="00BB56F4" w:rsidP="00BB56F4">
      <w:pPr>
        <w:pStyle w:val="TableFigureNumber0"/>
        <w:keepNext/>
        <w:rPr>
          <w:b/>
          <w:bCs/>
          <w:color w:val="0579BD"/>
        </w:rPr>
      </w:pPr>
      <w:r w:rsidRPr="005D5305">
        <w:rPr>
          <w:color w:val="0579BD"/>
        </w:rPr>
        <w:t>TABLE d5</w:t>
      </w:r>
    </w:p>
    <w:p w14:paraId="35C8DCBF" w14:textId="77777777" w:rsidR="00BB56F4" w:rsidRDefault="00BB56F4" w:rsidP="00BB56F4">
      <w:pPr>
        <w:pStyle w:val="TableFigureheader"/>
        <w:keepNext/>
        <w:spacing w:after="120"/>
      </w:pPr>
      <w:r>
        <w:t>Annual VMT Values and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620"/>
        <w:gridCol w:w="5130"/>
      </w:tblGrid>
      <w:tr w:rsidR="00BB56F4" w:rsidRPr="00A10071" w14:paraId="10B00D42" w14:textId="77777777">
        <w:trPr>
          <w:jc w:val="center"/>
        </w:trPr>
        <w:tc>
          <w:tcPr>
            <w:tcW w:w="2515" w:type="dxa"/>
            <w:shd w:val="clear" w:color="auto" w:fill="3C3A4C"/>
          </w:tcPr>
          <w:p w14:paraId="75C95650" w14:textId="7FEFDB00" w:rsidR="00BB56F4" w:rsidRPr="003A15C4" w:rsidRDefault="00BB56F4">
            <w:pPr>
              <w:pStyle w:val="Tabletext"/>
              <w:keepNext/>
              <w:rPr>
                <w:rFonts w:cs="Calibri"/>
                <w:b/>
                <w:color w:val="FFFFFF" w:themeColor="background1"/>
              </w:rPr>
            </w:pPr>
            <w:r w:rsidRPr="7ACA0E52">
              <w:rPr>
                <w:rFonts w:cs="Calibri"/>
                <w:b/>
                <w:bCs/>
                <w:color w:val="FFFFFF" w:themeColor="background1"/>
              </w:rPr>
              <w:t xml:space="preserve">Technology </w:t>
            </w:r>
            <w:r w:rsidR="00646266">
              <w:rPr>
                <w:rFonts w:cs="Calibri"/>
                <w:b/>
                <w:bCs/>
                <w:color w:val="FFFFFF" w:themeColor="background1"/>
              </w:rPr>
              <w:t>T</w:t>
            </w:r>
            <w:r w:rsidRPr="7ACA0E52">
              <w:rPr>
                <w:rFonts w:cs="Calibri"/>
                <w:b/>
                <w:bCs/>
                <w:color w:val="FFFFFF" w:themeColor="background1"/>
              </w:rPr>
              <w:t>ype</w:t>
            </w:r>
          </w:p>
        </w:tc>
        <w:tc>
          <w:tcPr>
            <w:tcW w:w="1620" w:type="dxa"/>
            <w:shd w:val="clear" w:color="auto" w:fill="3C3A4C"/>
            <w:vAlign w:val="center"/>
          </w:tcPr>
          <w:p w14:paraId="48012D7A" w14:textId="77777777" w:rsidR="00BB56F4" w:rsidRPr="009F6BA8" w:rsidRDefault="00BB56F4">
            <w:pPr>
              <w:pStyle w:val="Tabletext"/>
              <w:keepNext/>
              <w:jc w:val="left"/>
              <w:rPr>
                <w:rFonts w:cs="Calibri"/>
                <w:b/>
                <w:bCs/>
                <w:color w:val="FFFFFF" w:themeColor="background1"/>
              </w:rPr>
            </w:pPr>
            <w:r w:rsidRPr="7ACA0E52">
              <w:rPr>
                <w:rFonts w:cs="Calibri"/>
                <w:b/>
                <w:bCs/>
                <w:color w:val="FFFFFF" w:themeColor="background1"/>
              </w:rPr>
              <w:t>Annual VMT</w:t>
            </w:r>
            <w:r>
              <w:rPr>
                <w:rFonts w:cs="Calibri"/>
                <w:b/>
                <w:bCs/>
                <w:color w:val="FFFFFF" w:themeColor="background1"/>
              </w:rPr>
              <w:t xml:space="preserve"> (First Year)</w:t>
            </w:r>
          </w:p>
        </w:tc>
        <w:tc>
          <w:tcPr>
            <w:tcW w:w="5130" w:type="dxa"/>
            <w:shd w:val="clear" w:color="auto" w:fill="3C3A4C"/>
            <w:vAlign w:val="center"/>
          </w:tcPr>
          <w:p w14:paraId="703A893E" w14:textId="77777777" w:rsidR="00BB56F4" w:rsidRPr="009F6BA8" w:rsidRDefault="00BB56F4">
            <w:pPr>
              <w:pStyle w:val="Tabletext"/>
              <w:keepNext/>
              <w:rPr>
                <w:rFonts w:cs="Calibri"/>
                <w:b/>
                <w:bCs/>
                <w:color w:val="FFFFFF" w:themeColor="background1"/>
              </w:rPr>
            </w:pPr>
            <w:proofErr w:type="gramStart"/>
            <w:r>
              <w:rPr>
                <w:rFonts w:cs="Calibri"/>
                <w:b/>
                <w:bCs/>
                <w:color w:val="FFFFFF" w:themeColor="background1"/>
              </w:rPr>
              <w:t>Detail</w:t>
            </w:r>
            <w:proofErr w:type="gramEnd"/>
            <w:r>
              <w:rPr>
                <w:rFonts w:cs="Calibri"/>
                <w:b/>
                <w:bCs/>
                <w:color w:val="FFFFFF" w:themeColor="background1"/>
              </w:rPr>
              <w:t xml:space="preserve"> and </w:t>
            </w:r>
            <w:r w:rsidRPr="7ACA0E52">
              <w:rPr>
                <w:rFonts w:cs="Calibri"/>
                <w:b/>
                <w:bCs/>
                <w:color w:val="FFFFFF" w:themeColor="background1"/>
              </w:rPr>
              <w:t>Source</w:t>
            </w:r>
            <w:r>
              <w:rPr>
                <w:rFonts w:cs="Calibri"/>
                <w:b/>
                <w:bCs/>
                <w:color w:val="FFFFFF" w:themeColor="background1"/>
              </w:rPr>
              <w:t>s</w:t>
            </w:r>
          </w:p>
        </w:tc>
      </w:tr>
      <w:tr w:rsidR="00BB56F4" w14:paraId="0681D8C8" w14:textId="77777777" w:rsidTr="004E5D57">
        <w:trPr>
          <w:jc w:val="center"/>
        </w:trPr>
        <w:tc>
          <w:tcPr>
            <w:tcW w:w="2515" w:type="dxa"/>
            <w:vAlign w:val="center"/>
          </w:tcPr>
          <w:p w14:paraId="4CF948A9" w14:textId="77777777" w:rsidR="00BB56F4" w:rsidRPr="003A15C4" w:rsidRDefault="00BB56F4" w:rsidP="004E5D57">
            <w:pPr>
              <w:pStyle w:val="Tabletext"/>
              <w:keepNext/>
              <w:jc w:val="left"/>
              <w:rPr>
                <w:rFonts w:cs="Calibri"/>
              </w:rPr>
            </w:pPr>
            <w:r w:rsidRPr="7ACA0E52">
              <w:rPr>
                <w:rFonts w:cs="Calibri"/>
              </w:rPr>
              <w:t xml:space="preserve">PHEV </w:t>
            </w:r>
          </w:p>
        </w:tc>
        <w:tc>
          <w:tcPr>
            <w:tcW w:w="1620" w:type="dxa"/>
            <w:vAlign w:val="center"/>
          </w:tcPr>
          <w:p w14:paraId="12655144" w14:textId="77777777" w:rsidR="00BB56F4" w:rsidRPr="006F44F5" w:rsidRDefault="00BB56F4">
            <w:pPr>
              <w:pStyle w:val="Tabletext"/>
              <w:keepNext/>
              <w:jc w:val="left"/>
              <w:rPr>
                <w:rFonts w:cs="Calibri"/>
              </w:rPr>
            </w:pPr>
            <w:r w:rsidRPr="000C23FB">
              <w:rPr>
                <w:rFonts w:cs="Calibri"/>
              </w:rPr>
              <w:t>20,869</w:t>
            </w:r>
          </w:p>
        </w:tc>
        <w:tc>
          <w:tcPr>
            <w:tcW w:w="5130" w:type="dxa"/>
            <w:vAlign w:val="center"/>
          </w:tcPr>
          <w:p w14:paraId="53EB5752" w14:textId="2D8E8573" w:rsidR="00BB56F4" w:rsidRPr="006F44F5" w:rsidRDefault="00284340">
            <w:pPr>
              <w:pStyle w:val="Tabletext"/>
              <w:keepNext/>
              <w:rPr>
                <w:rFonts w:cs="Calibri"/>
              </w:rPr>
            </w:pPr>
            <w:r>
              <w:rPr>
                <w:rFonts w:cs="Calibri"/>
              </w:rPr>
              <w:t xml:space="preserve">PHEV </w:t>
            </w:r>
            <w:r w:rsidR="006243FF">
              <w:rPr>
                <w:rFonts w:cs="Calibri"/>
              </w:rPr>
              <w:t xml:space="preserve">TNC </w:t>
            </w:r>
            <w:r w:rsidR="005454E2">
              <w:rPr>
                <w:rFonts w:cs="Calibri"/>
              </w:rPr>
              <w:t xml:space="preserve">annual </w:t>
            </w:r>
            <w:r w:rsidR="006243FF">
              <w:rPr>
                <w:rFonts w:cs="Calibri"/>
              </w:rPr>
              <w:t xml:space="preserve">miles </w:t>
            </w:r>
            <w:r>
              <w:rPr>
                <w:rFonts w:cs="Calibri"/>
              </w:rPr>
              <w:t xml:space="preserve">from </w:t>
            </w:r>
            <w:r w:rsidR="00740BDC" w:rsidRPr="00740BDC">
              <w:rPr>
                <w:rFonts w:cs="Calibri"/>
              </w:rPr>
              <w:t>(CARB, 2019)</w:t>
            </w:r>
            <w:r>
              <w:rPr>
                <w:rFonts w:cs="Calibri"/>
              </w:rPr>
              <w:t xml:space="preserve"> added to</w:t>
            </w:r>
            <w:r w:rsidR="00786516">
              <w:rPr>
                <w:rFonts w:cs="Calibri"/>
              </w:rPr>
              <w:t xml:space="preserve"> </w:t>
            </w:r>
            <w:r w:rsidR="00485A9F">
              <w:rPr>
                <w:rFonts w:cs="Calibri"/>
              </w:rPr>
              <w:t xml:space="preserve">personal </w:t>
            </w:r>
            <w:r w:rsidR="00786516">
              <w:rPr>
                <w:rFonts w:cs="Calibri"/>
              </w:rPr>
              <w:t xml:space="preserve">PHEV </w:t>
            </w:r>
            <w:r w:rsidR="00485A9F">
              <w:rPr>
                <w:rFonts w:cs="Calibri"/>
              </w:rPr>
              <w:t xml:space="preserve">miles </w:t>
            </w:r>
            <w:r w:rsidR="000F79DD">
              <w:rPr>
                <w:rFonts w:cs="Calibri"/>
              </w:rPr>
              <w:t xml:space="preserve">in Table </w:t>
            </w:r>
            <w:r w:rsidR="008102FD">
              <w:rPr>
                <w:rFonts w:cs="Calibri"/>
              </w:rPr>
              <w:t>A3</w:t>
            </w:r>
          </w:p>
        </w:tc>
      </w:tr>
      <w:tr w:rsidR="00BB56F4" w14:paraId="69D952FE" w14:textId="77777777" w:rsidTr="004E5D57">
        <w:trPr>
          <w:jc w:val="center"/>
        </w:trPr>
        <w:tc>
          <w:tcPr>
            <w:tcW w:w="2515" w:type="dxa"/>
            <w:vAlign w:val="center"/>
          </w:tcPr>
          <w:p w14:paraId="3E662B07" w14:textId="77777777" w:rsidR="00BB56F4" w:rsidRPr="003A15C4" w:rsidRDefault="00BB56F4" w:rsidP="004E5D57">
            <w:pPr>
              <w:pStyle w:val="Tabletext"/>
              <w:jc w:val="left"/>
              <w:rPr>
                <w:rFonts w:cs="Calibri"/>
              </w:rPr>
            </w:pPr>
            <w:r>
              <w:rPr>
                <w:rFonts w:cs="Calibri"/>
              </w:rPr>
              <w:t>S</w:t>
            </w:r>
            <w:r w:rsidRPr="7ACA0E52">
              <w:rPr>
                <w:rFonts w:cs="Calibri"/>
              </w:rPr>
              <w:t>hort range BEV</w:t>
            </w:r>
          </w:p>
        </w:tc>
        <w:tc>
          <w:tcPr>
            <w:tcW w:w="1620" w:type="dxa"/>
            <w:vAlign w:val="center"/>
          </w:tcPr>
          <w:p w14:paraId="708D721F" w14:textId="77777777" w:rsidR="00BB56F4" w:rsidRPr="006F44F5" w:rsidRDefault="00BB56F4">
            <w:pPr>
              <w:pStyle w:val="Tabletext"/>
              <w:jc w:val="left"/>
              <w:rPr>
                <w:rFonts w:cs="Calibri"/>
              </w:rPr>
            </w:pPr>
            <w:r w:rsidRPr="000C23FB">
              <w:rPr>
                <w:rFonts w:cs="Calibri"/>
              </w:rPr>
              <w:t>17,242</w:t>
            </w:r>
          </w:p>
        </w:tc>
        <w:tc>
          <w:tcPr>
            <w:tcW w:w="5130" w:type="dxa"/>
            <w:vAlign w:val="center"/>
          </w:tcPr>
          <w:p w14:paraId="7D601382" w14:textId="676D3514" w:rsidR="00BB56F4" w:rsidRPr="006F44F5" w:rsidRDefault="008102FD">
            <w:pPr>
              <w:pStyle w:val="Tabletext"/>
              <w:rPr>
                <w:rFonts w:cs="Calibri"/>
              </w:rPr>
            </w:pPr>
            <w:r>
              <w:rPr>
                <w:rFonts w:cs="Calibri"/>
              </w:rPr>
              <w:t xml:space="preserve">BEV TNC </w:t>
            </w:r>
            <w:r w:rsidR="005454E2">
              <w:rPr>
                <w:rFonts w:cs="Calibri"/>
              </w:rPr>
              <w:t xml:space="preserve">annual </w:t>
            </w:r>
            <w:r>
              <w:rPr>
                <w:rFonts w:cs="Calibri"/>
              </w:rPr>
              <w:t xml:space="preserve">miles from </w:t>
            </w:r>
            <w:r w:rsidR="00F57D61" w:rsidRPr="00740BDC">
              <w:rPr>
                <w:rFonts w:cs="Calibri"/>
              </w:rPr>
              <w:t>(CARB, 2019)</w:t>
            </w:r>
            <w:r w:rsidR="00F57D61">
              <w:rPr>
                <w:rFonts w:cs="Calibri"/>
              </w:rPr>
              <w:t xml:space="preserve"> </w:t>
            </w:r>
            <w:r>
              <w:rPr>
                <w:rFonts w:cs="Calibri"/>
              </w:rPr>
              <w:t xml:space="preserve">added to personal </w:t>
            </w:r>
            <w:r w:rsidR="00EA0822">
              <w:rPr>
                <w:rFonts w:cs="Calibri"/>
              </w:rPr>
              <w:t>short range B</w:t>
            </w:r>
            <w:r>
              <w:rPr>
                <w:rFonts w:cs="Calibri"/>
              </w:rPr>
              <w:t>EV miles in Table A3</w:t>
            </w:r>
          </w:p>
        </w:tc>
      </w:tr>
      <w:tr w:rsidR="00BB56F4" w14:paraId="0406EEB2" w14:textId="77777777" w:rsidTr="004E5D57">
        <w:trPr>
          <w:jc w:val="center"/>
        </w:trPr>
        <w:tc>
          <w:tcPr>
            <w:tcW w:w="2515" w:type="dxa"/>
            <w:vAlign w:val="center"/>
          </w:tcPr>
          <w:p w14:paraId="5151C259" w14:textId="77777777" w:rsidR="00BB56F4" w:rsidRPr="003A15C4" w:rsidRDefault="00BB56F4" w:rsidP="004E5D57">
            <w:pPr>
              <w:pStyle w:val="Tabletext"/>
              <w:jc w:val="left"/>
              <w:rPr>
                <w:rFonts w:cs="Calibri"/>
              </w:rPr>
            </w:pPr>
            <w:r w:rsidRPr="7ACA0E52">
              <w:rPr>
                <w:rFonts w:cs="Calibri"/>
              </w:rPr>
              <w:t>Long range BEV (200+ mi.)</w:t>
            </w:r>
          </w:p>
        </w:tc>
        <w:tc>
          <w:tcPr>
            <w:tcW w:w="1620" w:type="dxa"/>
            <w:vAlign w:val="center"/>
          </w:tcPr>
          <w:p w14:paraId="4899B5A3" w14:textId="77777777" w:rsidR="00BB56F4" w:rsidRPr="006F44F5" w:rsidRDefault="00BB56F4">
            <w:pPr>
              <w:pStyle w:val="Tabletext"/>
              <w:jc w:val="left"/>
              <w:rPr>
                <w:rFonts w:cs="Calibri"/>
              </w:rPr>
            </w:pPr>
            <w:r w:rsidRPr="000C23FB">
              <w:rPr>
                <w:rFonts w:cs="Calibri"/>
              </w:rPr>
              <w:t>19,776</w:t>
            </w:r>
          </w:p>
        </w:tc>
        <w:tc>
          <w:tcPr>
            <w:tcW w:w="5130" w:type="dxa"/>
            <w:vAlign w:val="center"/>
          </w:tcPr>
          <w:p w14:paraId="4BD9F7DE" w14:textId="4828AE45" w:rsidR="00BB56F4" w:rsidRPr="006F44F5" w:rsidRDefault="008102FD">
            <w:pPr>
              <w:pStyle w:val="Tabletext"/>
              <w:rPr>
                <w:rFonts w:cs="Calibri"/>
              </w:rPr>
            </w:pPr>
            <w:r>
              <w:rPr>
                <w:rFonts w:cs="Calibri"/>
              </w:rPr>
              <w:t xml:space="preserve">BEV TNC </w:t>
            </w:r>
            <w:r w:rsidR="005454E2">
              <w:rPr>
                <w:rFonts w:cs="Calibri"/>
              </w:rPr>
              <w:t xml:space="preserve">annual </w:t>
            </w:r>
            <w:r>
              <w:rPr>
                <w:rFonts w:cs="Calibri"/>
              </w:rPr>
              <w:t xml:space="preserve">miles from </w:t>
            </w:r>
            <w:r w:rsidR="00F57D61" w:rsidRPr="00740BDC">
              <w:rPr>
                <w:rFonts w:cs="Calibri"/>
              </w:rPr>
              <w:t>(CARB, 2019)</w:t>
            </w:r>
            <w:r>
              <w:rPr>
                <w:rFonts w:cs="Calibri"/>
              </w:rPr>
              <w:t xml:space="preserve"> added to personal </w:t>
            </w:r>
            <w:r w:rsidR="00EC2B19">
              <w:rPr>
                <w:rFonts w:cs="Calibri"/>
              </w:rPr>
              <w:t xml:space="preserve">long range BEV </w:t>
            </w:r>
            <w:r>
              <w:rPr>
                <w:rFonts w:cs="Calibri"/>
              </w:rPr>
              <w:t>miles in Table A3</w:t>
            </w:r>
          </w:p>
        </w:tc>
      </w:tr>
      <w:tr w:rsidR="00BB56F4" w14:paraId="255B3E2D" w14:textId="77777777" w:rsidTr="004E5D57">
        <w:trPr>
          <w:jc w:val="center"/>
        </w:trPr>
        <w:tc>
          <w:tcPr>
            <w:tcW w:w="2515" w:type="dxa"/>
            <w:tcBorders>
              <w:bottom w:val="single" w:sz="4" w:space="0" w:color="auto"/>
            </w:tcBorders>
            <w:vAlign w:val="center"/>
          </w:tcPr>
          <w:p w14:paraId="18FFDD7C" w14:textId="77777777" w:rsidR="00BB56F4" w:rsidRPr="003A15C4" w:rsidRDefault="00BB56F4" w:rsidP="004E5D57">
            <w:pPr>
              <w:pStyle w:val="Tabletext"/>
              <w:jc w:val="left"/>
              <w:rPr>
                <w:rFonts w:cs="Calibri"/>
              </w:rPr>
            </w:pPr>
            <w:r w:rsidRPr="7ACA0E52">
              <w:rPr>
                <w:rFonts w:cs="Calibri"/>
              </w:rPr>
              <w:t xml:space="preserve">FCEV </w:t>
            </w:r>
          </w:p>
        </w:tc>
        <w:tc>
          <w:tcPr>
            <w:tcW w:w="1620" w:type="dxa"/>
            <w:tcBorders>
              <w:bottom w:val="single" w:sz="4" w:space="0" w:color="auto"/>
            </w:tcBorders>
            <w:vAlign w:val="center"/>
          </w:tcPr>
          <w:p w14:paraId="2AE0A814" w14:textId="77777777" w:rsidR="00BB56F4" w:rsidRPr="006F44F5" w:rsidRDefault="00BB56F4">
            <w:pPr>
              <w:pStyle w:val="Tabletext"/>
              <w:jc w:val="left"/>
              <w:rPr>
                <w:rFonts w:cs="Calibri"/>
              </w:rPr>
            </w:pPr>
            <w:r w:rsidRPr="000C23FB">
              <w:rPr>
                <w:rFonts w:cs="Calibri"/>
              </w:rPr>
              <w:t>15,522</w:t>
            </w:r>
          </w:p>
        </w:tc>
        <w:tc>
          <w:tcPr>
            <w:tcW w:w="5130" w:type="dxa"/>
            <w:tcBorders>
              <w:bottom w:val="single" w:sz="4" w:space="0" w:color="auto"/>
            </w:tcBorders>
            <w:vAlign w:val="center"/>
          </w:tcPr>
          <w:p w14:paraId="079CCC6E" w14:textId="38CE1771" w:rsidR="00BB56F4" w:rsidRPr="006F44F5" w:rsidRDefault="00763283">
            <w:pPr>
              <w:pStyle w:val="Tabletext"/>
              <w:rPr>
                <w:rFonts w:cs="Calibri"/>
              </w:rPr>
            </w:pPr>
            <w:r>
              <w:rPr>
                <w:rFonts w:cs="Calibri"/>
              </w:rPr>
              <w:t>FC</w:t>
            </w:r>
            <w:r w:rsidR="008102FD">
              <w:rPr>
                <w:rFonts w:cs="Calibri"/>
              </w:rPr>
              <w:t xml:space="preserve">EV TNC </w:t>
            </w:r>
            <w:r w:rsidR="005454E2">
              <w:rPr>
                <w:rFonts w:cs="Calibri"/>
              </w:rPr>
              <w:t xml:space="preserve">annual </w:t>
            </w:r>
            <w:r w:rsidR="008102FD">
              <w:rPr>
                <w:rFonts w:cs="Calibri"/>
              </w:rPr>
              <w:t xml:space="preserve">miles from </w:t>
            </w:r>
            <w:r w:rsidR="00F57D61" w:rsidRPr="00740BDC">
              <w:rPr>
                <w:rFonts w:cs="Calibri"/>
              </w:rPr>
              <w:t>(CARB, 2019)</w:t>
            </w:r>
            <w:r w:rsidR="00F57D61">
              <w:rPr>
                <w:rFonts w:cs="Calibri"/>
              </w:rPr>
              <w:t xml:space="preserve"> </w:t>
            </w:r>
            <w:r w:rsidR="008102FD">
              <w:rPr>
                <w:rFonts w:cs="Calibri"/>
              </w:rPr>
              <w:t xml:space="preserve">added to personal </w:t>
            </w:r>
            <w:r w:rsidR="001D7197">
              <w:rPr>
                <w:rFonts w:cs="Calibri"/>
              </w:rPr>
              <w:t>FC</w:t>
            </w:r>
            <w:r w:rsidR="008102FD">
              <w:rPr>
                <w:rFonts w:cs="Calibri"/>
              </w:rPr>
              <w:t>EV miles in Table A3</w:t>
            </w:r>
          </w:p>
        </w:tc>
      </w:tr>
      <w:tr w:rsidR="00BB56F4" w14:paraId="6C020CD2" w14:textId="77777777" w:rsidTr="004E5D57">
        <w:trPr>
          <w:jc w:val="center"/>
        </w:trPr>
        <w:tc>
          <w:tcPr>
            <w:tcW w:w="2515" w:type="dxa"/>
            <w:tcBorders>
              <w:bottom w:val="single" w:sz="4" w:space="0" w:color="auto"/>
            </w:tcBorders>
            <w:vAlign w:val="center"/>
          </w:tcPr>
          <w:p w14:paraId="386D1040" w14:textId="77777777" w:rsidR="00BB56F4" w:rsidRPr="003A15C4" w:rsidRDefault="00BB56F4" w:rsidP="004E5D57">
            <w:pPr>
              <w:pStyle w:val="Tabletext"/>
              <w:jc w:val="left"/>
              <w:rPr>
                <w:rFonts w:cs="Calibri"/>
              </w:rPr>
            </w:pPr>
            <w:r w:rsidRPr="7ACA0E52">
              <w:rPr>
                <w:rFonts w:cs="Calibri"/>
              </w:rPr>
              <w:t xml:space="preserve">Baseline vehicle </w:t>
            </w:r>
          </w:p>
        </w:tc>
        <w:tc>
          <w:tcPr>
            <w:tcW w:w="1620" w:type="dxa"/>
            <w:tcBorders>
              <w:bottom w:val="single" w:sz="4" w:space="0" w:color="auto"/>
            </w:tcBorders>
            <w:vAlign w:val="center"/>
          </w:tcPr>
          <w:p w14:paraId="4B15412A" w14:textId="77777777" w:rsidR="00BB56F4" w:rsidRPr="006F44F5" w:rsidRDefault="00BB56F4">
            <w:pPr>
              <w:pStyle w:val="Tabletext"/>
              <w:jc w:val="left"/>
              <w:rPr>
                <w:rFonts w:cs="Calibri"/>
              </w:rPr>
            </w:pPr>
            <w:r w:rsidRPr="000C23FB">
              <w:rPr>
                <w:rFonts w:cs="Calibri"/>
              </w:rPr>
              <w:t xml:space="preserve">15,522 </w:t>
            </w:r>
            <w:r w:rsidRPr="7ACA0E52">
              <w:rPr>
                <w:rFonts w:cs="Calibri"/>
              </w:rPr>
              <w:t xml:space="preserve">to </w:t>
            </w:r>
            <w:r w:rsidRPr="000C23FB">
              <w:rPr>
                <w:rFonts w:cs="Calibri"/>
              </w:rPr>
              <w:t>20,869</w:t>
            </w:r>
          </w:p>
        </w:tc>
        <w:tc>
          <w:tcPr>
            <w:tcW w:w="5130" w:type="dxa"/>
            <w:tcBorders>
              <w:bottom w:val="single" w:sz="4" w:space="0" w:color="auto"/>
            </w:tcBorders>
            <w:vAlign w:val="center"/>
          </w:tcPr>
          <w:p w14:paraId="0971C0E7" w14:textId="29316E85" w:rsidR="00BB56F4" w:rsidRPr="006F44F5" w:rsidRDefault="00BB56F4">
            <w:pPr>
              <w:pStyle w:val="Tabletext"/>
              <w:rPr>
                <w:rFonts w:cs="Calibri"/>
              </w:rPr>
            </w:pPr>
            <w:r w:rsidRPr="7ACA0E52">
              <w:rPr>
                <w:rFonts w:cs="Calibri"/>
              </w:rPr>
              <w:t xml:space="preserve">Same as paired rebated vehicle, consistent with </w:t>
            </w:r>
            <w:r w:rsidR="00FD2EAE" w:rsidRPr="00FD2EAE">
              <w:rPr>
                <w:rFonts w:cs="Calibri"/>
              </w:rPr>
              <w:t>(CARB, 2017b)</w:t>
            </w:r>
          </w:p>
        </w:tc>
      </w:tr>
    </w:tbl>
    <w:p w14:paraId="75352B39" w14:textId="77777777" w:rsidR="00FB4749" w:rsidRDefault="00FB4749">
      <w:pPr>
        <w:spacing w:after="0" w:line="240" w:lineRule="auto"/>
      </w:pPr>
    </w:p>
    <w:p w14:paraId="60797283" w14:textId="24B842A8" w:rsidR="004365C5" w:rsidRDefault="004365C5">
      <w:pPr>
        <w:spacing w:after="0" w:line="240" w:lineRule="auto"/>
      </w:pPr>
      <w:r>
        <w:t xml:space="preserve">The </w:t>
      </w:r>
      <w:r w:rsidR="007C512E">
        <w:t>2020–2023 Survey Edition</w:t>
      </w:r>
      <w:r w:rsidR="007C512E" w:rsidDel="0046623A">
        <w:t xml:space="preserve"> </w:t>
      </w:r>
      <w:r>
        <w:t xml:space="preserve">identified 610 survey respondents </w:t>
      </w:r>
      <w:r w:rsidR="00D440D3">
        <w:t xml:space="preserve">(approximately 2.5% of the survey sample) </w:t>
      </w:r>
      <w:r>
        <w:t xml:space="preserve">who </w:t>
      </w:r>
      <w:r w:rsidR="00FB4A22">
        <w:t>reported t</w:t>
      </w:r>
      <w:r w:rsidR="00E16B98">
        <w:t>hey</w:t>
      </w:r>
      <w:r w:rsidR="00FB4A22">
        <w:t xml:space="preserve"> </w:t>
      </w:r>
      <w:r w:rsidR="004D7736">
        <w:t xml:space="preserve">use their EV </w:t>
      </w:r>
      <w:r w:rsidR="00D440D3">
        <w:t>for</w:t>
      </w:r>
      <w:r>
        <w:t xml:space="preserve"> TNC driv</w:t>
      </w:r>
      <w:r w:rsidR="00D440D3">
        <w:t>ing</w:t>
      </w:r>
      <w:r>
        <w:t xml:space="preserve">. Because TNC vehicles are </w:t>
      </w:r>
      <w:r w:rsidR="007A6564">
        <w:t>expected</w:t>
      </w:r>
      <w:r w:rsidR="00D117A4">
        <w:t xml:space="preserve"> to be</w:t>
      </w:r>
      <w:r>
        <w:t xml:space="preserve"> utilized more intensively than personal vehicles, they present a significant opportunity for GHG abatement.</w:t>
      </w:r>
      <w:r w:rsidR="007F3EC6">
        <w:t xml:space="preserve"> </w:t>
      </w:r>
      <w:r w:rsidR="00F41484">
        <w:t xml:space="preserve">Reporting focuses on first-year GHG reductions since </w:t>
      </w:r>
      <w:r w:rsidR="009F7483">
        <w:t xml:space="preserve">it is unknown how long </w:t>
      </w:r>
      <w:r w:rsidR="005D2617">
        <w:t xml:space="preserve">participants will remain as </w:t>
      </w:r>
      <w:r w:rsidR="002611A4">
        <w:t>TNC drivers</w:t>
      </w:r>
      <w:r w:rsidR="00F41484">
        <w:t xml:space="preserve">. </w:t>
      </w:r>
      <w:r w:rsidR="007F3EC6">
        <w:t xml:space="preserve">The average </w:t>
      </w:r>
      <w:r w:rsidR="00CF7506">
        <w:t xml:space="preserve">first-year </w:t>
      </w:r>
      <w:r w:rsidR="007F3EC6">
        <w:t xml:space="preserve">GHG reduction for a TNC driver is </w:t>
      </w:r>
      <w:r w:rsidR="00ED2F5A">
        <w:t xml:space="preserve">estimated to be </w:t>
      </w:r>
      <w:r w:rsidR="0061474D">
        <w:t>5.3</w:t>
      </w:r>
      <w:r w:rsidR="007F3EC6">
        <w:t xml:space="preserve"> tons, </w:t>
      </w:r>
      <w:r w:rsidR="00455BC2">
        <w:t>59</w:t>
      </w:r>
      <w:r w:rsidR="005A1FD7">
        <w:t xml:space="preserve">% </w:t>
      </w:r>
      <w:r w:rsidR="00060AF0">
        <w:t>more than</w:t>
      </w:r>
      <w:r w:rsidR="009C0357">
        <w:t xml:space="preserve"> </w:t>
      </w:r>
      <w:r w:rsidR="00BA4DD3">
        <w:t xml:space="preserve">the </w:t>
      </w:r>
      <w:r w:rsidR="004865F0">
        <w:t>3.3-ton</w:t>
      </w:r>
      <w:r w:rsidR="00BA4DD3">
        <w:t xml:space="preserve"> average </w:t>
      </w:r>
      <w:r w:rsidR="009C0357">
        <w:t>of</w:t>
      </w:r>
      <w:r w:rsidR="00060AF0">
        <w:t xml:space="preserve"> </w:t>
      </w:r>
      <w:r w:rsidR="00B0378F">
        <w:t xml:space="preserve">other personal </w:t>
      </w:r>
      <w:r w:rsidR="00522CF7">
        <w:t>vehicle drivers</w:t>
      </w:r>
      <w:r w:rsidR="0022006B">
        <w:t xml:space="preserve"> </w:t>
      </w:r>
      <w:r w:rsidR="00F35103">
        <w:t xml:space="preserve">relative </w:t>
      </w:r>
      <w:r w:rsidR="0022006B">
        <w:t>to new gasoline vehicles</w:t>
      </w:r>
      <w:r w:rsidR="00611CD6">
        <w:t>.</w:t>
      </w:r>
      <w:r w:rsidR="00EF5C85" w:rsidRPr="00EF5C85">
        <w:t xml:space="preserve"> </w:t>
      </w:r>
      <w:r w:rsidR="00EF5C85">
        <w:t>This highlights the potential of targeting high-mileage drivers to maximize the environmental return on rebate investments.</w:t>
      </w:r>
    </w:p>
    <w:p w14:paraId="056FCBC6" w14:textId="0E9834DB" w:rsidR="00162351" w:rsidRDefault="00162351">
      <w:pPr>
        <w:spacing w:after="0" w:line="240" w:lineRule="auto"/>
      </w:pPr>
    </w:p>
    <w:p w14:paraId="61B3E929" w14:textId="1B77CE74" w:rsidR="00CA2388" w:rsidRDefault="00162351">
      <w:pPr>
        <w:spacing w:after="0" w:line="240" w:lineRule="auto"/>
        <w:rPr>
          <w:rFonts w:eastAsia="Arial Unicode MS"/>
          <w:color w:val="000000"/>
          <w:sz w:val="38"/>
          <w:szCs w:val="38"/>
          <w14:textOutline w14:w="0" w14:cap="flat" w14:cmpd="sng" w14:algn="ctr">
            <w14:noFill/>
            <w14:prstDash w14:val="solid"/>
            <w14:bevel/>
          </w14:textOutline>
        </w:rPr>
      </w:pPr>
      <w:r>
        <w:t xml:space="preserve">Extrapolating the survey prevalence of TNC drivers to the full </w:t>
      </w:r>
      <w:r w:rsidR="00DB6C18">
        <w:t xml:space="preserve">personal vehicle </w:t>
      </w:r>
      <w:r>
        <w:t xml:space="preserve">program population of </w:t>
      </w:r>
      <w:r w:rsidR="0085015A">
        <w:t>570,</w:t>
      </w:r>
      <w:r w:rsidR="00E70288">
        <w:t>668</w:t>
      </w:r>
      <w:r>
        <w:t xml:space="preserve"> vehicles suggests there may be approximately 14,</w:t>
      </w:r>
      <w:r w:rsidR="001C3CF0">
        <w:t>2</w:t>
      </w:r>
      <w:r w:rsidR="006A2651">
        <w:t>19</w:t>
      </w:r>
      <w:r>
        <w:t xml:space="preserve"> TNC drivers within the CVRP participant base. If these</w:t>
      </w:r>
      <w:r w:rsidDel="00F60362">
        <w:t xml:space="preserve"> </w:t>
      </w:r>
      <w:r>
        <w:t xml:space="preserve">drivers achieve the </w:t>
      </w:r>
      <w:r w:rsidR="00915E8C">
        <w:t xml:space="preserve">estimated </w:t>
      </w:r>
      <w:r>
        <w:t xml:space="preserve">additional GHG savings </w:t>
      </w:r>
      <w:r w:rsidR="0054680B">
        <w:t xml:space="preserve">compared to the average participant, the program could be realizing an additional </w:t>
      </w:r>
      <w:r w:rsidR="00091EA0">
        <w:t>74,</w:t>
      </w:r>
      <w:r w:rsidR="00F779B0" w:rsidDel="00091EA0">
        <w:t>000</w:t>
      </w:r>
      <w:r w:rsidR="0003574A">
        <w:t xml:space="preserve"> </w:t>
      </w:r>
      <w:r w:rsidR="0054680B">
        <w:t xml:space="preserve">tons of GHG reduction </w:t>
      </w:r>
      <w:r w:rsidR="005C7DD7">
        <w:t xml:space="preserve">(+4%) </w:t>
      </w:r>
      <w:r w:rsidR="00033B79">
        <w:t xml:space="preserve">annually </w:t>
      </w:r>
      <w:r w:rsidR="0054680B">
        <w:t xml:space="preserve">beyond </w:t>
      </w:r>
      <w:r w:rsidR="00974810">
        <w:t xml:space="preserve">primary </w:t>
      </w:r>
      <w:r w:rsidR="0054680B">
        <w:t>estimates</w:t>
      </w:r>
      <w:r w:rsidR="00186B55">
        <w:t xml:space="preserve"> for all </w:t>
      </w:r>
      <w:r w:rsidR="002E1558">
        <w:t>r</w:t>
      </w:r>
      <w:r w:rsidR="00186B55">
        <w:t xml:space="preserve">ebated </w:t>
      </w:r>
      <w:r w:rsidR="002E1558">
        <w:t>r</w:t>
      </w:r>
      <w:r w:rsidR="00186B55">
        <w:t>eductions</w:t>
      </w:r>
      <w:r w:rsidR="0054680B">
        <w:t xml:space="preserve">. </w:t>
      </w:r>
      <w:r w:rsidR="00CA2388">
        <w:br w:type="page"/>
      </w:r>
    </w:p>
    <w:p w14:paraId="78A8E81C" w14:textId="206ADE9E" w:rsidR="007A3301" w:rsidRPr="003A15C4" w:rsidRDefault="7BDD560A" w:rsidP="187DA56C">
      <w:pPr>
        <w:pStyle w:val="Heading1"/>
      </w:pPr>
      <w:bookmarkStart w:id="81" w:name="_Toc227069811"/>
      <w:r>
        <w:lastRenderedPageBreak/>
        <w:t>References</w:t>
      </w:r>
      <w:bookmarkEnd w:id="81"/>
    </w:p>
    <w:p w14:paraId="238875EB" w14:textId="7D0265E0" w:rsidR="00C75985" w:rsidRDefault="00C75985" w:rsidP="00C75985">
      <w:pPr>
        <w:pStyle w:val="Bibliography"/>
      </w:pPr>
      <w:r>
        <w:t xml:space="preserve">Anderson, J. B., &amp; Williams, B. D. H. (2019). </w:t>
      </w:r>
      <w:r>
        <w:rPr>
          <w:i/>
          <w:iCs/>
        </w:rPr>
        <w:t>Proposed FY 2019–20 Funding Plan: Final CVRP Supporting Analysis</w:t>
      </w:r>
      <w:r>
        <w:t>. Clean Vehicle Rebate Project. https://cleanvehiclerebate.org/en/content/proposed-fy-2019%E2%80%9320-funding-plan-final-cvrp-supporting-analysis</w:t>
      </w:r>
    </w:p>
    <w:p w14:paraId="45207BE2" w14:textId="77777777" w:rsidR="00C75985" w:rsidRDefault="00C75985" w:rsidP="00C75985">
      <w:pPr>
        <w:pStyle w:val="Bibliography"/>
      </w:pPr>
      <w:r>
        <w:t xml:space="preserve">Auto Innovators. (2024). </w:t>
      </w:r>
      <w:r>
        <w:rPr>
          <w:i/>
          <w:iCs/>
        </w:rPr>
        <w:t>Economic Insights: State Facts</w:t>
      </w:r>
      <w:r>
        <w:t>. https://www.autosinnovate.org/resources/insights/ca</w:t>
      </w:r>
    </w:p>
    <w:p w14:paraId="0A3D59D5" w14:textId="77777777" w:rsidR="00C75985" w:rsidRDefault="00C75985" w:rsidP="00C75985">
      <w:pPr>
        <w:pStyle w:val="Bibliography"/>
      </w:pPr>
      <w:r>
        <w:t xml:space="preserve">Auto Innovators. (2025). </w:t>
      </w:r>
      <w:r>
        <w:rPr>
          <w:i/>
          <w:iCs/>
        </w:rPr>
        <w:t>Electric Vehicle Sales Dashboard</w:t>
      </w:r>
      <w:r>
        <w:t>. https://www.autosinnovate.org/resources/electric-vehicle-sales-dashboard</w:t>
      </w:r>
    </w:p>
    <w:p w14:paraId="6EABF3DA" w14:textId="77777777" w:rsidR="00C75985" w:rsidRDefault="00C75985" w:rsidP="00C75985">
      <w:pPr>
        <w:pStyle w:val="Bibliography"/>
      </w:pPr>
      <w:r>
        <w:t xml:space="preserve">Boston, D., &amp; Werthman, A. (2016). Plug-in Vehicle Behaviors: An analysis of charging and driving behavior of Ford plug-in electric vehicles in the real world. </w:t>
      </w:r>
      <w:r>
        <w:rPr>
          <w:i/>
          <w:iCs/>
        </w:rPr>
        <w:t>World Electric Vehicle Journal 2016, Vol. 8, Pages 926-935</w:t>
      </w:r>
      <w:r>
        <w:t xml:space="preserve">, </w:t>
      </w:r>
      <w:r>
        <w:rPr>
          <w:i/>
          <w:iCs/>
        </w:rPr>
        <w:t>8</w:t>
      </w:r>
      <w:r>
        <w:t>(4), 926–935. https://doi.org/10.3390/WEVJ8040926</w:t>
      </w:r>
    </w:p>
    <w:p w14:paraId="55B6EA3B" w14:textId="77777777" w:rsidR="00C75985" w:rsidRDefault="00C75985" w:rsidP="00C75985">
      <w:pPr>
        <w:pStyle w:val="Bibliography"/>
      </w:pPr>
      <w:r>
        <w:t xml:space="preserve">California Department of General Services. (2025). </w:t>
      </w:r>
      <w:r>
        <w:rPr>
          <w:i/>
          <w:iCs/>
        </w:rPr>
        <w:t>California State Fleet</w:t>
      </w:r>
      <w:r>
        <w:t>. California Open Data Portal. https://data.ca.gov/dataset/california-state-fleet</w:t>
      </w:r>
    </w:p>
    <w:p w14:paraId="6544B2F9" w14:textId="77777777" w:rsidR="00C75985" w:rsidRDefault="00C75985" w:rsidP="00C75985">
      <w:pPr>
        <w:pStyle w:val="Bibliography"/>
      </w:pPr>
      <w:r>
        <w:t xml:space="preserve">California Energy Commission. (2021). </w:t>
      </w:r>
      <w:r>
        <w:rPr>
          <w:i/>
          <w:iCs/>
        </w:rPr>
        <w:t>2019 California Vehicle Survey</w:t>
      </w:r>
      <w:r>
        <w:t>. https://www.energy.ca.gov/data-reports/surveys/california-vehicle-survey</w:t>
      </w:r>
    </w:p>
    <w:p w14:paraId="1792D69F" w14:textId="77777777" w:rsidR="00C75985" w:rsidRDefault="00C75985" w:rsidP="00C75985">
      <w:pPr>
        <w:pStyle w:val="Bibliography"/>
      </w:pPr>
      <w:r>
        <w:t xml:space="preserve">California Energy Commission. (2025). </w:t>
      </w:r>
      <w:r>
        <w:rPr>
          <w:i/>
          <w:iCs/>
        </w:rPr>
        <w:t>Annual Power Content Labels for 2023</w:t>
      </w:r>
      <w:r>
        <w:t>. https://www.energy.ca.gov/programs-and-topics/programs/power-source-disclosure-program/power-content-label/annual-power-4</w:t>
      </w:r>
    </w:p>
    <w:p w14:paraId="77405545" w14:textId="77777777" w:rsidR="00C75985" w:rsidRDefault="00C75985" w:rsidP="00C75985">
      <w:pPr>
        <w:pStyle w:val="Bibliography"/>
      </w:pPr>
      <w:r>
        <w:t xml:space="preserve">California State Auditor. (2021). </w:t>
      </w:r>
      <w:r>
        <w:rPr>
          <w:i/>
          <w:iCs/>
        </w:rPr>
        <w:t>Report 2020-114</w:t>
      </w:r>
      <w:r>
        <w:t>. www.auditor.ca.gov</w:t>
      </w:r>
    </w:p>
    <w:p w14:paraId="7A142B27" w14:textId="71BF74A8" w:rsidR="00C75985" w:rsidRDefault="006918FD" w:rsidP="00C75985">
      <w:pPr>
        <w:pStyle w:val="Bibliography"/>
      </w:pPr>
      <w:r>
        <w:t>California Air Resources Board (</w:t>
      </w:r>
      <w:r w:rsidR="00C75985">
        <w:t>CARB</w:t>
      </w:r>
      <w:r>
        <w:t>)</w:t>
      </w:r>
      <w:r w:rsidR="00C75985">
        <w:t xml:space="preserve">. (2017a). </w:t>
      </w:r>
      <w:r w:rsidR="00C75985">
        <w:rPr>
          <w:i/>
          <w:iCs/>
        </w:rPr>
        <w:t>Californias Advanced Clean Car Midterm Review Appendix G: Plug-in Electric Vehicle In-Use and Charging Data Analysis</w:t>
      </w:r>
      <w:r w:rsidR="00C75985">
        <w:t>. California Air Resources Board.</w:t>
      </w:r>
    </w:p>
    <w:p w14:paraId="72C8775E" w14:textId="77777777" w:rsidR="00C75985" w:rsidRDefault="00C75985" w:rsidP="00C75985">
      <w:pPr>
        <w:pStyle w:val="Bibliography"/>
      </w:pPr>
      <w:r>
        <w:t xml:space="preserve">CARB. (2017b). </w:t>
      </w:r>
      <w:r>
        <w:rPr>
          <w:i/>
          <w:iCs/>
        </w:rPr>
        <w:t>Proposed Fiscal Year 2017-18 Funding Plan for Clean Transportation Incentives</w:t>
      </w:r>
      <w:r>
        <w:t>.</w:t>
      </w:r>
    </w:p>
    <w:p w14:paraId="0F984943" w14:textId="77777777" w:rsidR="00C75985" w:rsidRDefault="00C75985" w:rsidP="00C75985">
      <w:pPr>
        <w:pStyle w:val="Bibliography"/>
      </w:pPr>
      <w:r>
        <w:t xml:space="preserve">CARB. (2019). </w:t>
      </w:r>
      <w:r>
        <w:rPr>
          <w:i/>
          <w:iCs/>
        </w:rPr>
        <w:t>SB 1014 Clean Miles Standard 2018 Base-year Emissions Inventory Report</w:t>
      </w:r>
      <w:r>
        <w:t>. https://ww2.arb.ca.gov/sites/default/files/2019-12/SB%201014%20-%20Base%20year%20Emissions%20Inventory_December_2019.pdf</w:t>
      </w:r>
    </w:p>
    <w:p w14:paraId="603F4968" w14:textId="77777777" w:rsidR="00C75985" w:rsidRDefault="00C75985" w:rsidP="00C75985">
      <w:pPr>
        <w:pStyle w:val="Bibliography"/>
      </w:pPr>
      <w:r>
        <w:t xml:space="preserve">CARB. (2020a). </w:t>
      </w:r>
      <w:r>
        <w:rPr>
          <w:i/>
          <w:iCs/>
        </w:rPr>
        <w:t>Assessment of CARB’s Zero-Emission Vehicle Programs Per Senate Bill 498</w:t>
      </w:r>
      <w:r>
        <w:t>. California Air Resources Board. https://ww3.arb.ca.gov/programs/zev/SB-498-Report-072320.pdf</w:t>
      </w:r>
    </w:p>
    <w:p w14:paraId="76F01237" w14:textId="77777777" w:rsidR="00C75985" w:rsidRDefault="00C75985" w:rsidP="00C75985">
      <w:pPr>
        <w:pStyle w:val="Bibliography"/>
      </w:pPr>
      <w:r>
        <w:t xml:space="preserve">CARB. (2020b). </w:t>
      </w:r>
      <w:r>
        <w:rPr>
          <w:i/>
          <w:iCs/>
        </w:rPr>
        <w:t>Low Carbon Fuel Standard Regulation</w:t>
      </w:r>
      <w:r>
        <w:t>.</w:t>
      </w:r>
    </w:p>
    <w:p w14:paraId="72F7B659" w14:textId="77777777" w:rsidR="00C75985" w:rsidRDefault="00C75985" w:rsidP="00C75985">
      <w:pPr>
        <w:pStyle w:val="Bibliography"/>
      </w:pPr>
      <w:r>
        <w:t xml:space="preserve">CARB. (2025a). </w:t>
      </w:r>
      <w:r>
        <w:rPr>
          <w:i/>
          <w:iCs/>
        </w:rPr>
        <w:t>LCFS Pathways Requiring Public Comments: Archives</w:t>
      </w:r>
      <w:r>
        <w:t>. https://ww2.arb.ca.gov/resources/documents/lcfs-pathways-requiring-public-comments#t2</w:t>
      </w:r>
    </w:p>
    <w:p w14:paraId="241B639A" w14:textId="77777777" w:rsidR="00C75985" w:rsidRDefault="00C75985" w:rsidP="00C75985">
      <w:pPr>
        <w:pStyle w:val="Bibliography"/>
      </w:pPr>
      <w:r>
        <w:t xml:space="preserve">CARB. (2025b). </w:t>
      </w:r>
      <w:r>
        <w:rPr>
          <w:i/>
          <w:iCs/>
        </w:rPr>
        <w:t>Low Carbon Fuel Standard Regulation</w:t>
      </w:r>
      <w:r>
        <w:t>. https://ww2.arb.ca.gov/our-work/programs/low-carbon-fuel-standard/lcfs-regulation</w:t>
      </w:r>
    </w:p>
    <w:p w14:paraId="49C8DABE" w14:textId="77777777" w:rsidR="00C75985" w:rsidRDefault="00C75985" w:rsidP="00C75985">
      <w:pPr>
        <w:pStyle w:val="Bibliography"/>
      </w:pPr>
      <w:r>
        <w:t xml:space="preserve">CARB. (2025c). </w:t>
      </w:r>
      <w:r>
        <w:rPr>
          <w:i/>
          <w:iCs/>
        </w:rPr>
        <w:t>Low Carbon Fuel Standard Reporting Tool Quarterly Summaries</w:t>
      </w:r>
      <w:r>
        <w:t>. CARB. https://ww2.arb.ca.gov/resources/documents/low-carbon-fuel-standard-reporting-tool-quarterly-summaries</w:t>
      </w:r>
    </w:p>
    <w:p w14:paraId="397C9606" w14:textId="77777777" w:rsidR="00C75985" w:rsidRDefault="00C75985" w:rsidP="00C75985">
      <w:pPr>
        <w:pStyle w:val="Bibliography"/>
      </w:pPr>
      <w:r>
        <w:lastRenderedPageBreak/>
        <w:t xml:space="preserve">Chakraborty, D., Bunch, D. S., Brownstone, D., Xu, B., &amp; Tal, G. (2022). Plug-in electric vehicle diffusion in California: Role of exposure to new technology at home and work. </w:t>
      </w:r>
      <w:r>
        <w:rPr>
          <w:i/>
          <w:iCs/>
        </w:rPr>
        <w:t>Transportation Research Part A: Policy and Practice</w:t>
      </w:r>
      <w:r>
        <w:t xml:space="preserve">, </w:t>
      </w:r>
      <w:r>
        <w:rPr>
          <w:i/>
          <w:iCs/>
        </w:rPr>
        <w:t>156</w:t>
      </w:r>
      <w:r>
        <w:t>, 133–151. https://doi.org/10.1016/j.tra.2021.12.005</w:t>
      </w:r>
    </w:p>
    <w:p w14:paraId="7B942657" w14:textId="77777777" w:rsidR="00C75985" w:rsidRDefault="00C75985" w:rsidP="00C75985">
      <w:pPr>
        <w:pStyle w:val="Bibliography"/>
      </w:pPr>
      <w:r>
        <w:t xml:space="preserve">Chakraborty, D., Hardman, S., &amp; Tal, G. (2021). Integrating Plug-in Electric Vehicles (PEVs) into Household Travel-Factors Influencing PEV Use in California. </w:t>
      </w:r>
      <w:r>
        <w:rPr>
          <w:i/>
          <w:iCs/>
        </w:rPr>
        <w:t>Transportation Research Board Annual Meeting</w:t>
      </w:r>
      <w:r>
        <w:t>.</w:t>
      </w:r>
    </w:p>
    <w:p w14:paraId="7D8FC05A" w14:textId="77777777" w:rsidR="00C75985" w:rsidRDefault="00C75985" w:rsidP="00C75985">
      <w:pPr>
        <w:pStyle w:val="Bibliography"/>
      </w:pPr>
      <w:r>
        <w:t xml:space="preserve">Coffman, M., Bernstein, P., &amp; Wee, S. (2017). Integrating electric vehicles and residential solar PV. </w:t>
      </w:r>
      <w:r>
        <w:rPr>
          <w:i/>
          <w:iCs/>
        </w:rPr>
        <w:t>Transport Policy</w:t>
      </w:r>
      <w:r>
        <w:t xml:space="preserve">, </w:t>
      </w:r>
      <w:r>
        <w:rPr>
          <w:i/>
          <w:iCs/>
        </w:rPr>
        <w:t>53</w:t>
      </w:r>
      <w:r>
        <w:t>, 30–38. https://doi.org/10.1016/j.tranpol.2016.08.008</w:t>
      </w:r>
    </w:p>
    <w:p w14:paraId="0ED33A81" w14:textId="205B7325" w:rsidR="00C75985" w:rsidRDefault="00AC2A1B" w:rsidP="00C75985">
      <w:pPr>
        <w:pStyle w:val="Bibliography"/>
      </w:pPr>
      <w:r>
        <w:t>Center for Sustainable Energy (</w:t>
      </w:r>
      <w:r w:rsidR="00C75985">
        <w:t>CSE</w:t>
      </w:r>
      <w:r>
        <w:t>)</w:t>
      </w:r>
      <w:r w:rsidR="00C75985">
        <w:t xml:space="preserve">. (2021, September). </w:t>
      </w:r>
      <w:r w:rsidR="00C75985">
        <w:rPr>
          <w:i/>
          <w:iCs/>
        </w:rPr>
        <w:t>Summary of CVRP Rebate Eligibility and Funding Availability Over Time</w:t>
      </w:r>
      <w:r w:rsidR="00C75985">
        <w:t>. Clean Vehicle Rebate Project. https://cleanvehiclerebate.org/en/content/summary-cvrp-rebate-eligibility-and-funding-availability-over-time-updated</w:t>
      </w:r>
    </w:p>
    <w:p w14:paraId="58781970" w14:textId="3060C609" w:rsidR="00C75985" w:rsidRDefault="00C75985" w:rsidP="00C75985">
      <w:pPr>
        <w:pStyle w:val="Bibliography"/>
      </w:pPr>
      <w:r>
        <w:t>C</w:t>
      </w:r>
      <w:r w:rsidR="00AC2A1B">
        <w:t>lean Vehicle Rebate Project (C</w:t>
      </w:r>
      <w:r>
        <w:t>VRP</w:t>
      </w:r>
      <w:r w:rsidR="00AC2A1B">
        <w:t>)</w:t>
      </w:r>
      <w:r>
        <w:t xml:space="preserve">. (2023, August 15). </w:t>
      </w:r>
      <w:r>
        <w:rPr>
          <w:i/>
          <w:iCs/>
        </w:rPr>
        <w:t>IMPLEMENTATION MANUAL FOR THE CLEAN VEHICLE REBATE PROJECT (CVRP)</w:t>
      </w:r>
      <w:r>
        <w:t>. Clean Vehicle Rebate Project. https://cleanvehiclerebate.org/sites/default/files/docs/nav/transportation/cvrp/documents/CVRP-Implementation-Manual.pdf</w:t>
      </w:r>
    </w:p>
    <w:p w14:paraId="1274CED5" w14:textId="77777777" w:rsidR="00C75985" w:rsidRDefault="00C75985" w:rsidP="00C75985">
      <w:pPr>
        <w:pStyle w:val="Bibliography"/>
      </w:pPr>
      <w:r>
        <w:t xml:space="preserve">CVRP. (2024). </w:t>
      </w:r>
      <w:r>
        <w:rPr>
          <w:i/>
          <w:iCs/>
        </w:rPr>
        <w:t>Eligibility &amp; Requirements</w:t>
      </w:r>
      <w:r>
        <w:t>. https://cleanvehiclerebate.org/en/eligibility-guidelines</w:t>
      </w:r>
    </w:p>
    <w:p w14:paraId="262F7F7F" w14:textId="77777777" w:rsidR="00C75985" w:rsidRDefault="00C75985" w:rsidP="00C75985">
      <w:pPr>
        <w:pStyle w:val="Bibliography"/>
      </w:pPr>
      <w:r>
        <w:t xml:space="preserve">Davis, S. C., &amp; Boundy, R. G. (2022). </w:t>
      </w:r>
      <w:r>
        <w:rPr>
          <w:i/>
          <w:iCs/>
        </w:rPr>
        <w:t>TRANSPORTATION ENERGY DATA BOOK</w:t>
      </w:r>
      <w:r>
        <w:t xml:space="preserve"> (40th ed.). Vehicle Technologies Office </w:t>
      </w:r>
      <w:proofErr w:type="spellStart"/>
      <w:r>
        <w:t>Office</w:t>
      </w:r>
      <w:proofErr w:type="spellEnd"/>
      <w:r>
        <w:t xml:space="preserve"> of Energy Efficiency and Renewable Energy, U.S. Department of Energy. https://tedb.ornl.gov/wp-content/uploads/2022/03/TEDB_Ed_40.pdf</w:t>
      </w:r>
    </w:p>
    <w:p w14:paraId="073AF4DF" w14:textId="77777777" w:rsidR="00C75985" w:rsidRDefault="00C75985" w:rsidP="00C75985">
      <w:pPr>
        <w:pStyle w:val="Bibliography"/>
      </w:pPr>
      <w:proofErr w:type="spellStart"/>
      <w:r>
        <w:t>Demuro</w:t>
      </w:r>
      <w:proofErr w:type="spellEnd"/>
      <w:r>
        <w:t xml:space="preserve">, D. (2019). </w:t>
      </w:r>
      <w:r>
        <w:rPr>
          <w:i/>
          <w:iCs/>
        </w:rPr>
        <w:t>Buying a Car: How Long Can You Expect a Car to Last?</w:t>
      </w:r>
      <w:r>
        <w:t xml:space="preserve"> https://www.autotrader.com/car-shopping/buying-car-how-long-can-you-expect-car-last-240725</w:t>
      </w:r>
    </w:p>
    <w:p w14:paraId="7BD0B84B" w14:textId="7D0CCBDC" w:rsidR="00C75985" w:rsidRDefault="000926F7" w:rsidP="00C75985">
      <w:pPr>
        <w:pStyle w:val="Bibliography"/>
      </w:pPr>
      <w:r w:rsidRPr="000926F7">
        <w:t>US Department of Energy and Environmental Protection Agency</w:t>
      </w:r>
      <w:r>
        <w:t xml:space="preserve"> (</w:t>
      </w:r>
      <w:r w:rsidR="00C75985">
        <w:t>DOE and EPA</w:t>
      </w:r>
      <w:r>
        <w:t>)</w:t>
      </w:r>
      <w:r w:rsidR="00C75985">
        <w:t xml:space="preserve">. (2021). </w:t>
      </w:r>
      <w:r w:rsidR="00C75985">
        <w:rPr>
          <w:i/>
          <w:iCs/>
        </w:rPr>
        <w:t>Fueleconomy.gov</w:t>
      </w:r>
      <w:r w:rsidR="00C75985">
        <w:t>. https://www.fueleconomy.gov/</w:t>
      </w:r>
    </w:p>
    <w:p w14:paraId="113B18AC" w14:textId="77777777" w:rsidR="00C75985" w:rsidRDefault="00C75985" w:rsidP="00C75985">
      <w:pPr>
        <w:pStyle w:val="Bibliography"/>
      </w:pPr>
      <w:r>
        <w:t xml:space="preserve">Duhon, A. N., Sevel, K. S., Tarnowsky, S. A., &amp; </w:t>
      </w:r>
      <w:proofErr w:type="spellStart"/>
      <w:r>
        <w:t>Savagian</w:t>
      </w:r>
      <w:proofErr w:type="spellEnd"/>
      <w:r>
        <w:t xml:space="preserve">, P. J. (2015). Chevrolet Volt Electric Utilization. </w:t>
      </w:r>
      <w:r>
        <w:rPr>
          <w:i/>
          <w:iCs/>
        </w:rPr>
        <w:t>SAE International Journal of Alternative Powertrains</w:t>
      </w:r>
      <w:r>
        <w:t xml:space="preserve">, </w:t>
      </w:r>
      <w:r>
        <w:rPr>
          <w:i/>
          <w:iCs/>
        </w:rPr>
        <w:t>4</w:t>
      </w:r>
      <w:r>
        <w:t>(2), 269–276. https://doi.org/10.4271/2015-01-1164</w:t>
      </w:r>
    </w:p>
    <w:p w14:paraId="232E490A" w14:textId="77777777" w:rsidR="00C75985" w:rsidRDefault="00C75985" w:rsidP="00C75985">
      <w:pPr>
        <w:pStyle w:val="Bibliography"/>
      </w:pPr>
      <w:proofErr w:type="spellStart"/>
      <w:r>
        <w:t>Francfort</w:t>
      </w:r>
      <w:proofErr w:type="spellEnd"/>
      <w:r>
        <w:t xml:space="preserve">, J., Bennett, B., Carlson, R., Garretson, T., &amp; et al. (2015). </w:t>
      </w:r>
      <w:r>
        <w:rPr>
          <w:i/>
          <w:iCs/>
        </w:rPr>
        <w:t>Plug-in Electric Vehicle and Infrastructure Analysis</w:t>
      </w:r>
      <w:r>
        <w:t>. Idaho National Laboratory. https://inldigitallibrary.inl.gov/sites/sti/sti/6799570.pdf</w:t>
      </w:r>
    </w:p>
    <w:p w14:paraId="41B4D435" w14:textId="77777777" w:rsidR="00C75985" w:rsidRDefault="00C75985" w:rsidP="00C75985">
      <w:pPr>
        <w:pStyle w:val="Bibliography"/>
      </w:pPr>
      <w:r>
        <w:t xml:space="preserve">Gillingham, K., &amp; Stock, J. H. (2018). The Cost of Reducing Greenhouse Gas Emissions. </w:t>
      </w:r>
      <w:r>
        <w:rPr>
          <w:i/>
          <w:iCs/>
        </w:rPr>
        <w:t>Journal of Economic Perspectives</w:t>
      </w:r>
      <w:r>
        <w:t xml:space="preserve">, </w:t>
      </w:r>
      <w:r>
        <w:rPr>
          <w:i/>
          <w:iCs/>
        </w:rPr>
        <w:t>32</w:t>
      </w:r>
      <w:r>
        <w:t>(4), 53–72. https://doi.org/10.1257/jep.32.4.53</w:t>
      </w:r>
    </w:p>
    <w:p w14:paraId="513DCB59" w14:textId="77777777" w:rsidR="00C75985" w:rsidRDefault="00C75985" w:rsidP="00C75985">
      <w:pPr>
        <w:pStyle w:val="Bibliography"/>
      </w:pPr>
      <w:r>
        <w:t xml:space="preserve">Gohlke, D., &amp; Zhou, Y. (2021). </w:t>
      </w:r>
      <w:r>
        <w:rPr>
          <w:i/>
          <w:iCs/>
        </w:rPr>
        <w:t>Assessment of Light-Duty Plug-in Electric Vehicles in the United States (2010—2020)</w:t>
      </w:r>
      <w:r>
        <w:t xml:space="preserve"> (ANL/ESD--21/2, 1785708, 167626; p. ANL/ESD--21/2, 1785708, 167626). https://doi.org/10.2172/1785708</w:t>
      </w:r>
    </w:p>
    <w:p w14:paraId="4AAEE3DB" w14:textId="77777777" w:rsidR="00C75985" w:rsidRDefault="00C75985" w:rsidP="00C75985">
      <w:pPr>
        <w:pStyle w:val="Bibliography"/>
      </w:pPr>
      <w:r>
        <w:t xml:space="preserve">Grubert, E., Stokes-Draut, J., Horvath, A., &amp; Eisenstein, W. (2020). Utility-specific projections of electricity sector greenhouse gas emissions: A committed emissions model-based case study of </w:t>
      </w:r>
      <w:r>
        <w:lastRenderedPageBreak/>
        <w:t xml:space="preserve">California through 2050. </w:t>
      </w:r>
      <w:r>
        <w:rPr>
          <w:i/>
          <w:iCs/>
        </w:rPr>
        <w:t>Environmental Research Letters</w:t>
      </w:r>
      <w:r>
        <w:t xml:space="preserve">, </w:t>
      </w:r>
      <w:r>
        <w:rPr>
          <w:i/>
          <w:iCs/>
        </w:rPr>
        <w:t>15</w:t>
      </w:r>
      <w:r>
        <w:t>(10). https://doi.org/10.1088/1748-9326/abb7ad</w:t>
      </w:r>
    </w:p>
    <w:p w14:paraId="32683030" w14:textId="77777777" w:rsidR="00C75985" w:rsidRDefault="00C75985" w:rsidP="00C75985">
      <w:pPr>
        <w:pStyle w:val="Bibliography"/>
      </w:pPr>
      <w:r>
        <w:t xml:space="preserve">Hardman, S. (2019). </w:t>
      </w:r>
      <w:r>
        <w:rPr>
          <w:i/>
          <w:iCs/>
        </w:rPr>
        <w:t>Understanding the Early Adopters of Fuel Cell Vehicles</w:t>
      </w:r>
      <w:r>
        <w:t>. https://doi.org/10.7922/G2736P4V</w:t>
      </w:r>
    </w:p>
    <w:p w14:paraId="620D5CEE" w14:textId="77777777" w:rsidR="00C75985" w:rsidRDefault="00C75985" w:rsidP="00C75985">
      <w:pPr>
        <w:pStyle w:val="Bibliography"/>
      </w:pPr>
      <w:r>
        <w:t xml:space="preserve">Idaho National Laboratory. (2015, June 9). </w:t>
      </w:r>
      <w:r>
        <w:rPr>
          <w:i/>
          <w:iCs/>
        </w:rPr>
        <w:t>Electric Vehicle Mile Traveled (</w:t>
      </w:r>
      <w:proofErr w:type="spellStart"/>
      <w:r>
        <w:rPr>
          <w:i/>
          <w:iCs/>
        </w:rPr>
        <w:t>eVMT</w:t>
      </w:r>
      <w:proofErr w:type="spellEnd"/>
      <w:r>
        <w:rPr>
          <w:i/>
          <w:iCs/>
        </w:rPr>
        <w:t>): On-Road Results and Analysis</w:t>
      </w:r>
      <w:r>
        <w:t>. https://www.energy.gov/sites/prod/files/2015/07/f24/vss171_carlson_2015_p.pdf</w:t>
      </w:r>
    </w:p>
    <w:p w14:paraId="35B2F8D8" w14:textId="77777777" w:rsidR="00C75985" w:rsidRDefault="00C75985" w:rsidP="00C75985">
      <w:pPr>
        <w:pStyle w:val="Bibliography"/>
      </w:pPr>
      <w:r>
        <w:t xml:space="preserve">Johnson, C., &amp; Williams, B. (2017). Characterizing Plug-In Hybrid Electric Vehicle Consumers Most Influenced by California’s Electric Vehicle Rebate: </w:t>
      </w:r>
      <w:r>
        <w:rPr>
          <w:i/>
          <w:iCs/>
        </w:rPr>
        <w:t>Transportation Research Record</w:t>
      </w:r>
      <w:r>
        <w:t xml:space="preserve">, </w:t>
      </w:r>
      <w:r>
        <w:rPr>
          <w:i/>
          <w:iCs/>
        </w:rPr>
        <w:t>2628</w:t>
      </w:r>
      <w:r>
        <w:t>, 23–31. https://doi.org/10.3141/2628-03</w:t>
      </w:r>
    </w:p>
    <w:p w14:paraId="2E013CE7" w14:textId="77777777" w:rsidR="00C75985" w:rsidRDefault="00C75985" w:rsidP="00C75985">
      <w:pPr>
        <w:pStyle w:val="Bibliography"/>
      </w:pPr>
      <w:r>
        <w:t xml:space="preserve">Lattanzio, R. K., &amp; Clark, C. E. (2020). </w:t>
      </w:r>
      <w:r>
        <w:rPr>
          <w:i/>
          <w:iCs/>
        </w:rPr>
        <w:t>Environmental Effects of Battery Electric and Internal Combustion Engine Vehicles</w:t>
      </w:r>
      <w:r>
        <w:t>. Congressional Research Service.</w:t>
      </w:r>
    </w:p>
    <w:p w14:paraId="008A39DF" w14:textId="77777777" w:rsidR="00C75985" w:rsidRDefault="00C75985" w:rsidP="00C75985">
      <w:pPr>
        <w:pStyle w:val="Bibliography"/>
      </w:pPr>
      <w:proofErr w:type="spellStart"/>
      <w:r>
        <w:t>Marmiroli</w:t>
      </w:r>
      <w:proofErr w:type="spellEnd"/>
      <w:r>
        <w:t xml:space="preserve">, B., </w:t>
      </w:r>
      <w:proofErr w:type="spellStart"/>
      <w:r>
        <w:t>Messagie</w:t>
      </w:r>
      <w:proofErr w:type="spellEnd"/>
      <w:r>
        <w:t xml:space="preserve">, M., Dotelli, G., &amp; Van Mierlo, J. (2018). Electricity generation in LCA of electric vehicles: A review. </w:t>
      </w:r>
      <w:r>
        <w:rPr>
          <w:i/>
          <w:iCs/>
        </w:rPr>
        <w:t>Applied Sciences (Switzerland)</w:t>
      </w:r>
      <w:r>
        <w:t xml:space="preserve">, </w:t>
      </w:r>
      <w:r>
        <w:rPr>
          <w:i/>
          <w:iCs/>
        </w:rPr>
        <w:t>8</w:t>
      </w:r>
      <w:r>
        <w:t>(8), 1384-undefined. https://doi.org/10.3390/app8081384</w:t>
      </w:r>
    </w:p>
    <w:p w14:paraId="51DACC38" w14:textId="77777777" w:rsidR="00C75985" w:rsidRDefault="00C75985" w:rsidP="00C75985">
      <w:pPr>
        <w:pStyle w:val="Bibliography"/>
      </w:pPr>
      <w:proofErr w:type="spellStart"/>
      <w:r>
        <w:t>Muehlegger</w:t>
      </w:r>
      <w:proofErr w:type="spellEnd"/>
      <w:r>
        <w:t xml:space="preserve">, E. J., &amp; Rapson, D. S. (2023). Correcting Estimates of Electric Vehicle Emissions Abatement: Implications for Climate Policy. </w:t>
      </w:r>
      <w:r>
        <w:rPr>
          <w:i/>
          <w:iCs/>
        </w:rPr>
        <w:t>Journal of the Association of Environmental and Resource Economists</w:t>
      </w:r>
      <w:r>
        <w:t xml:space="preserve">, </w:t>
      </w:r>
      <w:r>
        <w:rPr>
          <w:i/>
          <w:iCs/>
        </w:rPr>
        <w:t>10</w:t>
      </w:r>
      <w:r>
        <w:t>(1), 263–282. https://doi.org/10.1086/721374</w:t>
      </w:r>
    </w:p>
    <w:p w14:paraId="51D960A1" w14:textId="77777777" w:rsidR="00C75985" w:rsidRDefault="00C75985" w:rsidP="00C75985">
      <w:pPr>
        <w:pStyle w:val="Bibliography"/>
      </w:pPr>
      <w:r>
        <w:t xml:space="preserve">Pallonetti, N., &amp; Williams, B. D. H. (2021). Refining Estimates of Fuel-Cycle Greenhouse-Gas Emission Reductions Associated with California’s Clean Vehicle Rebate Project with Program Data and Other Case-Specific Inputs. </w:t>
      </w:r>
      <w:r>
        <w:rPr>
          <w:i/>
          <w:iCs/>
        </w:rPr>
        <w:t>Energies</w:t>
      </w:r>
      <w:r>
        <w:t xml:space="preserve">, </w:t>
      </w:r>
      <w:r>
        <w:rPr>
          <w:i/>
          <w:iCs/>
        </w:rPr>
        <w:t>14</w:t>
      </w:r>
      <w:r>
        <w:t>(15). https://doi.org/10.3390/en14154640</w:t>
      </w:r>
    </w:p>
    <w:p w14:paraId="1B5CCF17" w14:textId="77777777" w:rsidR="00C75985" w:rsidRDefault="00C75985" w:rsidP="00C75985">
      <w:pPr>
        <w:pStyle w:val="Bibliography"/>
      </w:pPr>
      <w:r>
        <w:t xml:space="preserve">Pallonetti, N., &amp; Williams, B. D. H. (2022a). Evaluating the Cost-Effectiveness of Greenhouse Gas Emission Reductions Associated with California’s Statewide Electric Vehicle Rebate Program in 2020 (with a Discussion of Two-State Results in 2019). </w:t>
      </w:r>
      <w:r>
        <w:rPr>
          <w:i/>
          <w:iCs/>
        </w:rPr>
        <w:t>International Energy Program Evaluation Conference 2022</w:t>
      </w:r>
      <w:r>
        <w:t>. International Energy Program Evaluation Conference 2022, San Diego, California. Forthcoming</w:t>
      </w:r>
    </w:p>
    <w:p w14:paraId="52816D96" w14:textId="77777777" w:rsidR="00C75985" w:rsidRDefault="00C75985" w:rsidP="00C75985">
      <w:pPr>
        <w:pStyle w:val="Bibliography"/>
      </w:pPr>
      <w:r>
        <w:t xml:space="preserve">Pallonetti, N., &amp; Williams, B. D. H. (2022b). </w:t>
      </w:r>
      <w:r>
        <w:rPr>
          <w:i/>
          <w:iCs/>
        </w:rPr>
        <w:t>Evaluating the Cost-Effectiveness of Greenhouse Gas Emission Reductions Associated with Statewide Electric Vehicle Rebate Programs in California and Massachusetts in 2019</w:t>
      </w:r>
      <w:r>
        <w:t xml:space="preserve"> (p. 13). https://cleanvehiclerebate.org/en/content/evaluating-cost-effectiveness-greenhouse-gas-emission-reductions-associated-statewide</w:t>
      </w:r>
    </w:p>
    <w:p w14:paraId="4A55F13A" w14:textId="77777777" w:rsidR="00C75985" w:rsidRDefault="00C75985" w:rsidP="00C75985">
      <w:pPr>
        <w:pStyle w:val="Bibliography"/>
      </w:pPr>
      <w:r>
        <w:t xml:space="preserve">Pallonetti, N., &amp; Williams, B. D. H. (2023). Vehicle Replacement: Findings from California’s Clean Vehicle Rebate Project. </w:t>
      </w:r>
      <w:r>
        <w:rPr>
          <w:i/>
          <w:iCs/>
        </w:rPr>
        <w:t>36th International Electric Vehicle Symposium</w:t>
      </w:r>
      <w:r>
        <w:t>. EVS36, Sacramento CA, USA. https://evs36.com/wp-content/uploads/finalpapers/FinalPaper_Pallonetti_Nicholas.pdf</w:t>
      </w:r>
    </w:p>
    <w:p w14:paraId="5E1420D3" w14:textId="77777777" w:rsidR="00C75985" w:rsidRDefault="00C75985" w:rsidP="00C75985">
      <w:pPr>
        <w:pStyle w:val="Bibliography"/>
      </w:pPr>
      <w:r>
        <w:t xml:space="preserve">Pallonetti, N., Williams, B. D. H., &amp; Sa, B. (2023). </w:t>
      </w:r>
      <w:r>
        <w:rPr>
          <w:i/>
          <w:iCs/>
        </w:rPr>
        <w:t>CVRP Greenhouse Gas Emission Reductions and Cost-Effectiveness, Update: 2021 Purchases/Leases</w:t>
      </w:r>
      <w:r>
        <w:t>. https://cleanvehiclerebate.org/sites/default/files/attachments/CVRP-2021-GHG-CE-update.pdf</w:t>
      </w:r>
    </w:p>
    <w:p w14:paraId="453C27ED" w14:textId="77777777" w:rsidR="00C75985" w:rsidRDefault="00C75985" w:rsidP="00C75985">
      <w:pPr>
        <w:pStyle w:val="Bibliography"/>
      </w:pPr>
      <w:r>
        <w:t xml:space="preserve">Pallonetti, N., Williams, B. D. H., &amp; Sa, B. (2024). </w:t>
      </w:r>
      <w:r>
        <w:rPr>
          <w:i/>
          <w:iCs/>
        </w:rPr>
        <w:t>CVRP Greenhouse Gas Emission Reductions and Cost-Effectiveness: 2022 Purchases/Leases</w:t>
      </w:r>
      <w:r>
        <w:t xml:space="preserve">. Center for Sustainable Energy. </w:t>
      </w:r>
      <w:r>
        <w:lastRenderedPageBreak/>
        <w:t>https://cleanvehiclerebate.org/sites/default/files/attachments/CVRP-2022-GHG-Cost-Effectiveness.pdf</w:t>
      </w:r>
    </w:p>
    <w:p w14:paraId="2FD490CE" w14:textId="77777777" w:rsidR="00C75985" w:rsidRDefault="00C75985" w:rsidP="00C75985">
      <w:pPr>
        <w:pStyle w:val="Bibliography"/>
      </w:pPr>
      <w:r>
        <w:t xml:space="preserve">Santulli, C., &amp; Williams, B. (2015). </w:t>
      </w:r>
      <w:r>
        <w:rPr>
          <w:i/>
          <w:iCs/>
        </w:rPr>
        <w:t>Implementation Status Update | Clean Vehicle Rebate Project</w:t>
      </w:r>
      <w:r>
        <w:t xml:space="preserve"> (CVRP Long-Term Planning Workshop). California Air Resources Board (CARB). https://cleanvehiclerebate.org/sites/default/files/attachments/2015-12-08%20Implementation%20Update.pdf</w:t>
      </w:r>
    </w:p>
    <w:p w14:paraId="08C40349" w14:textId="77777777" w:rsidR="00C75985" w:rsidRDefault="00C75985" w:rsidP="00C75985">
      <w:pPr>
        <w:pStyle w:val="Bibliography"/>
      </w:pPr>
      <w:r>
        <w:t xml:space="preserve">Sheldon, T. L., Dua, R., &amp; </w:t>
      </w:r>
      <w:proofErr w:type="spellStart"/>
      <w:r>
        <w:t>Alharbib</w:t>
      </w:r>
      <w:proofErr w:type="spellEnd"/>
      <w:r>
        <w:t xml:space="preserve">, O. A. (2023). How Cost-effective are Electric Vehicle Subsidies in Reducing Tailpipe-CO2 Emissions? An Analysis of Major Electric Vehicle Markets. </w:t>
      </w:r>
      <w:r>
        <w:rPr>
          <w:i/>
          <w:iCs/>
        </w:rPr>
        <w:t>The Energy Journal</w:t>
      </w:r>
      <w:r>
        <w:t xml:space="preserve">, </w:t>
      </w:r>
      <w:r>
        <w:rPr>
          <w:i/>
          <w:iCs/>
        </w:rPr>
        <w:t>44</w:t>
      </w:r>
      <w:r>
        <w:t>(3), 223–250. https://doi.org/10.5547/01956574.44.2.tshe</w:t>
      </w:r>
    </w:p>
    <w:p w14:paraId="62BEAFD4" w14:textId="1A381431" w:rsidR="00C75985" w:rsidRDefault="00C75985" w:rsidP="00C75985">
      <w:pPr>
        <w:pStyle w:val="Bibliography"/>
      </w:pPr>
      <w:r>
        <w:t>Sarode,</w:t>
      </w:r>
      <w:r w:rsidR="00AF1548">
        <w:t xml:space="preserve"> S.</w:t>
      </w:r>
      <w:r w:rsidR="00794C9C">
        <w:t>,</w:t>
      </w:r>
      <w:r>
        <w:t xml:space="preserve"> Elkind,</w:t>
      </w:r>
      <w:r w:rsidR="00794C9C">
        <w:t xml:space="preserve"> E.,</w:t>
      </w:r>
      <w:r>
        <w:t xml:space="preserve"> &amp; Cremers</w:t>
      </w:r>
      <w:r w:rsidR="00794C9C">
        <w:t>, E</w:t>
      </w:r>
      <w:r>
        <w:t xml:space="preserve">. (2023). </w:t>
      </w:r>
      <w:r>
        <w:rPr>
          <w:i/>
          <w:iCs/>
        </w:rPr>
        <w:t>CALIFORNIA’S POLICY APPROACH TO REDUCING MOBILE SOURCE EMISSIONS:</w:t>
      </w:r>
      <w:r>
        <w:t xml:space="preserve"> The Regents of the University of California, on behalf of its Berkeley campus (UC Berkeley). https://www.law.berkeley.edu/wp-content/uploads/2023/06/CARB-Policies-Paper-Final.pdf</w:t>
      </w:r>
    </w:p>
    <w:p w14:paraId="486C4D94" w14:textId="77777777" w:rsidR="00C75985" w:rsidRDefault="00C75985" w:rsidP="00C75985">
      <w:pPr>
        <w:pStyle w:val="Bibliography"/>
      </w:pPr>
      <w:r>
        <w:t xml:space="preserve">Tal, G., Raghavan, S. S., Karanam, V. C., Favetti, M., Sutton, K. M., </w:t>
      </w:r>
      <w:proofErr w:type="spellStart"/>
      <w:r>
        <w:t>Ogunmayin</w:t>
      </w:r>
      <w:proofErr w:type="spellEnd"/>
      <w:r>
        <w:t xml:space="preserve">, J. M., Lee, J. H., Nitta, C., Kurani, K., Chakraborty, D., Nicholas, M., &amp; Turrentine, T. (2020). </w:t>
      </w:r>
      <w:r>
        <w:rPr>
          <w:i/>
          <w:iCs/>
        </w:rPr>
        <w:t>Advanced Plug-in Electric Vehicle Travel and Charging Behavior Final Report</w:t>
      </w:r>
      <w:r>
        <w:t>.</w:t>
      </w:r>
    </w:p>
    <w:p w14:paraId="331419CC" w14:textId="2AD0C026" w:rsidR="00E1524C" w:rsidRDefault="00E1524C" w:rsidP="00E1524C">
      <w:pPr>
        <w:pStyle w:val="Bibliography"/>
      </w:pPr>
      <w:r>
        <w:t>US Department of Energy. (202</w:t>
      </w:r>
      <w:r w:rsidR="00E33132">
        <w:t>0</w:t>
      </w:r>
      <w:r>
        <w:t xml:space="preserve">). </w:t>
      </w:r>
      <w:r w:rsidR="0063735C">
        <w:rPr>
          <w:i/>
          <w:iCs/>
        </w:rPr>
        <w:t>U.S. HEV Sales by Model</w:t>
      </w:r>
      <w:r>
        <w:t xml:space="preserve">. </w:t>
      </w:r>
      <w:r w:rsidR="0063735C" w:rsidRPr="0063735C">
        <w:t>https://afdc.energy.gov/data/10301</w:t>
      </w:r>
    </w:p>
    <w:p w14:paraId="7DE90060" w14:textId="70EC2CF5" w:rsidR="00C75985" w:rsidRDefault="00C75985" w:rsidP="00C75985">
      <w:pPr>
        <w:pStyle w:val="Bibliography"/>
      </w:pPr>
      <w:r>
        <w:t xml:space="preserve">US Department of Energy &amp; US Environmental Protection Agency. (2024). </w:t>
      </w:r>
      <w:r>
        <w:rPr>
          <w:i/>
          <w:iCs/>
        </w:rPr>
        <w:t>Fueleconomy.gov</w:t>
      </w:r>
      <w:r>
        <w:t>. https://www.fueleconomy.gov/</w:t>
      </w:r>
    </w:p>
    <w:p w14:paraId="29E1EC9D" w14:textId="0588EB81" w:rsidR="00065539" w:rsidRDefault="00065539" w:rsidP="00065539">
      <w:pPr>
        <w:pStyle w:val="Bibliography"/>
      </w:pPr>
      <w:r>
        <w:t>US Environmental Protection Agency. (202</w:t>
      </w:r>
      <w:r w:rsidR="005614E0">
        <w:t>4</w:t>
      </w:r>
      <w:r>
        <w:t xml:space="preserve">). </w:t>
      </w:r>
      <w:r w:rsidR="00A82B26" w:rsidRPr="00431448">
        <w:rPr>
          <w:i/>
          <w:iCs/>
        </w:rPr>
        <w:t>2024</w:t>
      </w:r>
      <w:r w:rsidR="00A82B26">
        <w:t xml:space="preserve"> </w:t>
      </w:r>
      <w:r w:rsidR="00652EB8" w:rsidRPr="00652EB8">
        <w:rPr>
          <w:i/>
          <w:iCs/>
        </w:rPr>
        <w:t>EPA Automotive Trends Report</w:t>
      </w:r>
      <w:r>
        <w:t xml:space="preserve">. </w:t>
      </w:r>
      <w:r w:rsidR="00495321" w:rsidRPr="00495321">
        <w:t>https://www.epa.gov/automotive-trends/explore-automotive-trends-data</w:t>
      </w:r>
    </w:p>
    <w:p w14:paraId="6EC06C5E" w14:textId="77777777" w:rsidR="00C75985" w:rsidRDefault="00C75985" w:rsidP="00C75985">
      <w:pPr>
        <w:pStyle w:val="Bibliography"/>
      </w:pPr>
      <w:r>
        <w:t xml:space="preserve">US Environmental Protection Agency. (2025). </w:t>
      </w:r>
      <w:r>
        <w:rPr>
          <w:i/>
          <w:iCs/>
        </w:rPr>
        <w:t>Greenhouse Gas Equivalencies Calculator</w:t>
      </w:r>
      <w:r>
        <w:t>. https://www.epa.gov/energy/greenhouse-gas-equivalencies-calculator</w:t>
      </w:r>
    </w:p>
    <w:p w14:paraId="670A37F9" w14:textId="77777777" w:rsidR="00C75985" w:rsidRDefault="00C75985" w:rsidP="00C75985">
      <w:pPr>
        <w:pStyle w:val="Bibliography"/>
      </w:pPr>
      <w:r>
        <w:t xml:space="preserve">US General Services Administration. (2025). </w:t>
      </w:r>
      <w:r>
        <w:rPr>
          <w:i/>
          <w:iCs/>
        </w:rPr>
        <w:t>2025 Federal Fleet Report (FFR) Open Data Set Library</w:t>
      </w:r>
      <w:r>
        <w:t>. https://www.gsa.gov/policy-regulations/policy/motor-vehicle-management-policy/ffr-open-data-set-library</w:t>
      </w:r>
    </w:p>
    <w:p w14:paraId="0E1245F8" w14:textId="77777777" w:rsidR="00C75985" w:rsidRDefault="00C75985" w:rsidP="00C75985">
      <w:pPr>
        <w:pStyle w:val="Bibliography"/>
      </w:pPr>
      <w:r>
        <w:t xml:space="preserve">US Office of Energy Efficiency and Renewable Energy. (2020). </w:t>
      </w:r>
      <w:r>
        <w:rPr>
          <w:i/>
          <w:iCs/>
        </w:rPr>
        <w:t>Electric Car Safety, Maintenance, and Battery Life</w:t>
      </w:r>
      <w:r>
        <w:t>. https://www.energy.gov/eere/electricvehicles/electric-car-safety-maintenance-and-battery-life#:~:text=Like%20the%20engines%20in%20conventional,5%20years%20or%2060%2C000%20miles.</w:t>
      </w:r>
    </w:p>
    <w:p w14:paraId="6E12EDE5" w14:textId="77777777" w:rsidR="00C75985" w:rsidRDefault="00C75985" w:rsidP="00C75985">
      <w:pPr>
        <w:pStyle w:val="Bibliography"/>
      </w:pPr>
      <w:r>
        <w:t xml:space="preserve">Violette, D. M., &amp; Rathbun, P. (2017). Chapter 21: Estimating Net Savings – Common Practices. In </w:t>
      </w:r>
      <w:r>
        <w:rPr>
          <w:i/>
          <w:iCs/>
        </w:rPr>
        <w:t>The Uniform Methods Project: Methods for Determining Energy Efficiency Savings for Specific Measures</w:t>
      </w:r>
      <w:r>
        <w:t>. National Renewable Energy Laboratory. https://www.nrel.gov/docs/fy17osti/68578.pdf</w:t>
      </w:r>
    </w:p>
    <w:p w14:paraId="673D49DF" w14:textId="77777777" w:rsidR="00C75985" w:rsidRDefault="00C75985" w:rsidP="00C75985">
      <w:pPr>
        <w:pStyle w:val="Bibliography"/>
      </w:pPr>
      <w:r>
        <w:t>Warranty Requirements for Zero-Emission and Batteries in Plug-in Hybrid Electric 2026 and Subsequent Model Year Passenger Cars and Light-Duty Trucks (2022). https://govt.westlaw.com/calregs/Document/IB6A672007AEE11EDBFDBE1C0BB4630B7?viewTy</w:t>
      </w:r>
      <w:r>
        <w:lastRenderedPageBreak/>
        <w:t>pe=FullText&amp;originationContext=documenttoc&amp;transitionType=CategoryPageItem&amp;contextData=(sc.Default)#co_anchor_I701CA1E07D2511ED9EC0AB2F6B3FD1A8</w:t>
      </w:r>
    </w:p>
    <w:p w14:paraId="3547EE91" w14:textId="77777777" w:rsidR="00C75985" w:rsidRDefault="00C75985" w:rsidP="00C75985">
      <w:pPr>
        <w:pStyle w:val="Bibliography"/>
      </w:pPr>
      <w:r>
        <w:t xml:space="preserve">Williams, B., &amp; Anderson, J. (2018). Strategically Targeting Plug-in Electric Vehicle Rebates and Outreach Using Characteristics of “Rebate-Essential” Consumers in 2016-2017. </w:t>
      </w:r>
      <w:r>
        <w:rPr>
          <w:i/>
          <w:iCs/>
        </w:rPr>
        <w:t>31st International Electric Vehicle Symposium</w:t>
      </w:r>
      <w:r>
        <w:t>.</w:t>
      </w:r>
    </w:p>
    <w:p w14:paraId="23980280" w14:textId="77777777" w:rsidR="00C75985" w:rsidRDefault="00C75985" w:rsidP="00C75985">
      <w:pPr>
        <w:pStyle w:val="Bibliography"/>
      </w:pPr>
      <w:r>
        <w:t xml:space="preserve">Williams, B. D. H. (2022). </w:t>
      </w:r>
      <w:r>
        <w:rPr>
          <w:i/>
          <w:iCs/>
        </w:rPr>
        <w:t xml:space="preserve">Targeting Incentives Cost </w:t>
      </w:r>
      <w:proofErr w:type="gramStart"/>
      <w:r>
        <w:rPr>
          <w:i/>
          <w:iCs/>
        </w:rPr>
        <w:t>Effectively: ‘</w:t>
      </w:r>
      <w:proofErr w:type="gramEnd"/>
      <w:r>
        <w:rPr>
          <w:i/>
          <w:iCs/>
        </w:rPr>
        <w:t>Rebate Essential’ Consumers in the New York State Electric Vehicle Rebate Program</w:t>
      </w:r>
      <w:r>
        <w:t>. 35th International Electric Vehicle Symposium (EVS35), Oslo, Norway. https://doi.org/doi: 10.13140/RG.2.2.22877.28640</w:t>
      </w:r>
    </w:p>
    <w:p w14:paraId="19A4A977" w14:textId="77777777" w:rsidR="00C75985" w:rsidRDefault="00C75985" w:rsidP="00C75985">
      <w:pPr>
        <w:pStyle w:val="Bibliography"/>
      </w:pPr>
      <w:r>
        <w:t xml:space="preserve">Williams, B. D. H. (2025, March). </w:t>
      </w:r>
      <w:r>
        <w:rPr>
          <w:i/>
          <w:iCs/>
        </w:rPr>
        <w:t>Assessing Progress Toward Equitable Access to EVs with Incentive Program Metrics: Lessons Learned from CVRP and NY DCRP Using Program Data and Baselines of Comparison</w:t>
      </w:r>
      <w:r>
        <w:t>. CARB Clean Transportation Equity Incentives Symposium, Sacramento CA, USA. https://cleanvehiclerebate.org/en/content/assessing-progress-toward-equitable-access-evs-incentive-program-metrics-lessons-learned</w:t>
      </w:r>
    </w:p>
    <w:p w14:paraId="5D060036" w14:textId="77777777" w:rsidR="00C75985" w:rsidRDefault="00C75985" w:rsidP="00C75985">
      <w:pPr>
        <w:pStyle w:val="Bibliography"/>
      </w:pPr>
      <w:r>
        <w:t xml:space="preserve">Williams, B. D. H., &amp; Anderson, J. (2019). </w:t>
      </w:r>
      <w:r>
        <w:rPr>
          <w:i/>
          <w:iCs/>
        </w:rPr>
        <w:t xml:space="preserve">Growing the Electric Vehicle Market: EV </w:t>
      </w:r>
      <w:proofErr w:type="gramStart"/>
      <w:r>
        <w:rPr>
          <w:i/>
          <w:iCs/>
        </w:rPr>
        <w:t>Adopters, ‘</w:t>
      </w:r>
      <w:proofErr w:type="gramEnd"/>
      <w:r>
        <w:rPr>
          <w:i/>
          <w:iCs/>
        </w:rPr>
        <w:t>Rebate Essentials,’ and ‘EV Converts.’</w:t>
      </w:r>
      <w:r>
        <w:t xml:space="preserve"> Roadmap 12 Conference, Portland, OR. https://energycenter.org/thought-leadership/research-and-reports/growing-electric-vehicle-market-ev-adopters-rebate</w:t>
      </w:r>
    </w:p>
    <w:p w14:paraId="4A430A7B" w14:textId="77777777" w:rsidR="00C75985" w:rsidRDefault="00C75985" w:rsidP="00C75985">
      <w:pPr>
        <w:pStyle w:val="Bibliography"/>
      </w:pPr>
      <w:r>
        <w:t xml:space="preserve">Williams, B. D. H., &amp; Pallonetti, N. (2023, June). </w:t>
      </w:r>
      <w:r>
        <w:rPr>
          <w:i/>
          <w:iCs/>
        </w:rPr>
        <w:t>Rebate Influence on Electric Vehicle Adoption in California</w:t>
      </w:r>
      <w:r>
        <w:t>. 36th International Electric Vehicle Symposium and Exhibition (EVS36), Sacramento CA, USA.</w:t>
      </w:r>
    </w:p>
    <w:p w14:paraId="08F5FBFC" w14:textId="77777777" w:rsidR="00C75985" w:rsidRDefault="00C75985" w:rsidP="00C75985">
      <w:pPr>
        <w:pStyle w:val="Bibliography"/>
      </w:pPr>
      <w:r>
        <w:t xml:space="preserve">Williams, B. D. H., &amp; Pallonetti, N. (2024). </w:t>
      </w:r>
      <w:r>
        <w:rPr>
          <w:i/>
          <w:iCs/>
        </w:rPr>
        <w:t>CVRP 2022 Data Brief: Vehicle Replacement</w:t>
      </w:r>
      <w:r>
        <w:t>. Center for Sustainable Energy. https://cleanvehiclerebate.org/en/content/presentation-%E2%80%9Ccvrp-2022-data-brief-vehicle-replacement%E2%80%9D</w:t>
      </w:r>
    </w:p>
    <w:p w14:paraId="5FD0AA38" w14:textId="77777777" w:rsidR="00C75985" w:rsidRDefault="00C75985" w:rsidP="00C75985">
      <w:pPr>
        <w:pStyle w:val="Bibliography"/>
      </w:pPr>
      <w:r>
        <w:t xml:space="preserve">Williams, B., &amp; DeShazo, J. R. (2014). Pricing Workplace Charging: Financial Viability and Fueling Costs. </w:t>
      </w:r>
      <w:r>
        <w:rPr>
          <w:i/>
          <w:iCs/>
        </w:rPr>
        <w:t>Transportation Research Record: Journal of the Transportation Research Board</w:t>
      </w:r>
      <w:r>
        <w:t xml:space="preserve">, </w:t>
      </w:r>
      <w:r>
        <w:rPr>
          <w:i/>
          <w:iCs/>
        </w:rPr>
        <w:t>2454</w:t>
      </w:r>
      <w:r>
        <w:t>(1), 68–75. https://doi.org/10.3141/2454-09</w:t>
      </w:r>
    </w:p>
    <w:p w14:paraId="631EFE9C" w14:textId="77777777" w:rsidR="00C75985" w:rsidRDefault="00C75985" w:rsidP="00C75985">
      <w:pPr>
        <w:pStyle w:val="Bibliography"/>
      </w:pPr>
      <w:r>
        <w:t xml:space="preserve">Williams, B., Orose, J., Jones, M., &amp; Anderson, J. (2018). </w:t>
      </w:r>
      <w:r>
        <w:rPr>
          <w:i/>
          <w:iCs/>
        </w:rPr>
        <w:t>Clean Vehicle Rebate Project: Summary of Disadvantaged Community Responses to the Electric Vehicle Consumer Survey, 2013–2015 Edition</w:t>
      </w:r>
      <w:r>
        <w:t>. Center for Sustainable Energy. https://cleanvehiclerebate.org/sites/default/files/attachments/DAC_Summary-CVRP_Cnsmr_Srvy_2013-15.pdf</w:t>
      </w:r>
    </w:p>
    <w:p w14:paraId="371A7F76" w14:textId="77777777" w:rsidR="00C75985" w:rsidRDefault="00C75985" w:rsidP="00C75985">
      <w:pPr>
        <w:pStyle w:val="Bibliography"/>
      </w:pPr>
      <w:r>
        <w:t xml:space="preserve">Williams, B., &amp; Pallonetti, N. (2022, February 10). </w:t>
      </w:r>
      <w:r>
        <w:rPr>
          <w:i/>
          <w:iCs/>
        </w:rPr>
        <w:t>Cost-Effectiveness of Greenhouse Gas Emission Reductions Associated with California’s Clean Vehicle Rebate Project in 2019 (and 2020)</w:t>
      </w:r>
      <w:r>
        <w:t xml:space="preserve"> [Video Recording]. CARB’s First Public Workshop on the Fiscal Year 2022-23 Update to the </w:t>
      </w:r>
      <w:proofErr w:type="gramStart"/>
      <w:r>
        <w:t>Three Year</w:t>
      </w:r>
      <w:proofErr w:type="gramEnd"/>
      <w:r>
        <w:t xml:space="preserve"> Plan for Light-Duty Vehicles and Clean Transportation Equity Investments. https://www.youtube.com/watch?v=XhnXEoFb7Wo</w:t>
      </w:r>
    </w:p>
    <w:p w14:paraId="0E98B513" w14:textId="77777777" w:rsidR="00C75985" w:rsidRDefault="00C75985" w:rsidP="00C75985">
      <w:pPr>
        <w:pStyle w:val="Bibliography"/>
      </w:pPr>
      <w:r>
        <w:lastRenderedPageBreak/>
        <w:t xml:space="preserve">Williams, B., &amp; Pallonetti, N. (2023). </w:t>
      </w:r>
      <w:r>
        <w:rPr>
          <w:i/>
          <w:iCs/>
        </w:rPr>
        <w:t>CVRP 2021 Data Compilation: Incentive Influence &amp; MSRP Considerations</w:t>
      </w:r>
      <w:r>
        <w:t>. https://cleanvehiclerebate.org/sites/default/files/attachments/CVRP-2021-Incentive-Influence.pdf</w:t>
      </w:r>
    </w:p>
    <w:p w14:paraId="13676043" w14:textId="77777777" w:rsidR="00C75985" w:rsidRDefault="00C75985" w:rsidP="00C75985">
      <w:pPr>
        <w:pStyle w:val="Bibliography"/>
      </w:pPr>
      <w:r>
        <w:t xml:space="preserve">Williams, B., &amp; Searles, K. (2017). </w:t>
      </w:r>
      <w:r>
        <w:rPr>
          <w:i/>
          <w:iCs/>
        </w:rPr>
        <w:t>California’s Electric Vehicle Rebates: Exploring Impact</w:t>
      </w:r>
      <w:r>
        <w:t>. https://cleanvehiclerebate.org/en/content/presentation-california%E2%80%99s-electric-vehicle-rebates-exploring-impact</w:t>
      </w:r>
    </w:p>
    <w:p w14:paraId="7FE4B351" w14:textId="77777777" w:rsidR="00C75985" w:rsidRDefault="00C75985" w:rsidP="00C75985">
      <w:pPr>
        <w:pStyle w:val="Bibliography"/>
      </w:pPr>
      <w:r>
        <w:t xml:space="preserve">Xing, J., Leard, B., &amp; Li, S. (2021). What does an electric vehicle replace? </w:t>
      </w:r>
      <w:r>
        <w:rPr>
          <w:i/>
          <w:iCs/>
        </w:rPr>
        <w:t xml:space="preserve">Journal of Environmental Economics and </w:t>
      </w:r>
      <w:proofErr w:type="gramStart"/>
      <w:r>
        <w:rPr>
          <w:i/>
          <w:iCs/>
        </w:rPr>
        <w:t>Management</w:t>
      </w:r>
      <w:r>
        <w:t xml:space="preserve">, </w:t>
      </w:r>
      <w:r>
        <w:rPr>
          <w:i/>
          <w:iCs/>
        </w:rPr>
        <w:t>107</w:t>
      </w:r>
      <w:proofErr w:type="gramEnd"/>
      <w:r>
        <w:t>, 102432. https://doi.org/10.1016/j.jeem.2021.102432</w:t>
      </w:r>
    </w:p>
    <w:p w14:paraId="03C0277C" w14:textId="77777777" w:rsidR="00C75985" w:rsidRDefault="00C75985" w:rsidP="00C75985">
      <w:pPr>
        <w:pStyle w:val="Bibliography"/>
      </w:pPr>
      <w:r>
        <w:t>Zero-Emission Vehicle Standards for 2018 and Subsequent Model Year Passenger Cars, Light-Duty Trucks, and Medium-Duty Vehicles (2012).</w:t>
      </w:r>
    </w:p>
    <w:p w14:paraId="7581FD08" w14:textId="21D4D52A" w:rsidR="00913837" w:rsidRPr="00AD312E" w:rsidRDefault="00913837" w:rsidP="00675B59">
      <w:pPr>
        <w:pStyle w:val="Bibliography"/>
        <w:ind w:left="0" w:firstLine="0"/>
      </w:pPr>
    </w:p>
    <w:p w14:paraId="60CECD5A" w14:textId="16D5113F" w:rsidR="007A3301" w:rsidRPr="002257F8" w:rsidRDefault="007A3301" w:rsidP="0089001B">
      <w:pPr>
        <w:rPr>
          <w:rStyle w:val="Bold"/>
          <w:b w:val="0"/>
          <w:bCs w:val="0"/>
        </w:rPr>
      </w:pPr>
    </w:p>
    <w:p w14:paraId="5AD6DC0A" w14:textId="66B45FD0" w:rsidR="00702A66" w:rsidRDefault="00702A66" w:rsidP="0089001B"/>
    <w:sectPr w:rsidR="00702A66" w:rsidSect="00382EAA">
      <w:headerReference w:type="even" r:id="rId44"/>
      <w:headerReference w:type="default" r:id="rId45"/>
      <w:footerReference w:type="default" r:id="rId46"/>
      <w:pgSz w:w="12240" w:h="15840"/>
      <w:pgMar w:top="1440" w:right="1440" w:bottom="1944"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284C7" w14:textId="77777777" w:rsidR="008E4F8D" w:rsidRDefault="008E4F8D" w:rsidP="001A24E3">
      <w:r>
        <w:separator/>
      </w:r>
    </w:p>
  </w:endnote>
  <w:endnote w:type="continuationSeparator" w:id="0">
    <w:p w14:paraId="6F0DBF5C" w14:textId="77777777" w:rsidR="008E4F8D" w:rsidRDefault="008E4F8D" w:rsidP="001A24E3">
      <w:r>
        <w:continuationSeparator/>
      </w:r>
    </w:p>
  </w:endnote>
  <w:endnote w:type="continuationNotice" w:id="1">
    <w:p w14:paraId="44DD3ACF" w14:textId="77777777" w:rsidR="008E4F8D" w:rsidRDefault="008E4F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E6644" w14:textId="6FA96B36" w:rsidR="00702A66" w:rsidRDefault="00A737A9" w:rsidP="00A94A4B">
    <w:pPr>
      <w:pStyle w:val="Footer"/>
      <w:tabs>
        <w:tab w:val="clear" w:pos="9360"/>
        <w:tab w:val="left" w:pos="6915"/>
        <w:tab w:val="left" w:pos="8296"/>
        <w:tab w:val="right" w:pos="9340"/>
      </w:tabs>
    </w:pPr>
    <w:r w:rsidRPr="00654E95">
      <w:rPr>
        <w:rFonts w:ascii="Myriad Pro Light" w:hAnsi="Myriad Pro Light"/>
        <w:noProof/>
        <w:sz w:val="20"/>
        <w:szCs w:val="20"/>
      </w:rPr>
      <mc:AlternateContent>
        <mc:Choice Requires="wps">
          <w:drawing>
            <wp:anchor distT="0" distB="0" distL="114300" distR="114300" simplePos="0" relativeHeight="251658243" behindDoc="0" locked="0" layoutInCell="1" allowOverlap="1" wp14:anchorId="5A0E22F5" wp14:editId="2E5C3B06">
              <wp:simplePos x="0" y="0"/>
              <wp:positionH relativeFrom="column">
                <wp:posOffset>-434340</wp:posOffset>
              </wp:positionH>
              <wp:positionV relativeFrom="paragraph">
                <wp:posOffset>-155303</wp:posOffset>
              </wp:positionV>
              <wp:extent cx="1371600" cy="335522"/>
              <wp:effectExtent l="0" t="0" r="0" b="762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0" cy="335522"/>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w:pict>
            <v:rect id="Rectangle 12" style="position:absolute;margin-left:-34.2pt;margin-top:-12.25pt;width:108pt;height:26.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stroked="f" strokeweight="2pt" w14:anchorId="6A601F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">
              <v:fill type="frame" o:title="" recolor="t" rotate="t" r:id="rId3"/>
              <o:lock v:ext="edit" aspectratio="t"/>
            </v:rect>
          </w:pict>
        </mc:Fallback>
      </mc:AlternateContent>
    </w:r>
    <w:r>
      <w:rPr>
        <w:noProof/>
      </w:rPr>
      <mc:AlternateContent>
        <mc:Choice Requires="wps">
          <w:drawing>
            <wp:anchor distT="152400" distB="152400" distL="152400" distR="152400" simplePos="0" relativeHeight="251658240" behindDoc="1" locked="0" layoutInCell="1" allowOverlap="1" wp14:anchorId="44DFB84F" wp14:editId="23511685">
              <wp:simplePos x="0" y="0"/>
              <wp:positionH relativeFrom="page">
                <wp:posOffset>266700</wp:posOffset>
              </wp:positionH>
              <wp:positionV relativeFrom="page">
                <wp:posOffset>9182099</wp:posOffset>
              </wp:positionV>
              <wp:extent cx="7235190" cy="528501"/>
              <wp:effectExtent l="0" t="0" r="3810" b="5080"/>
              <wp:wrapNone/>
              <wp:docPr id="1073741825" name="Rectangle 1073741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5190" cy="528501"/>
                      </a:xfrm>
                      <a:prstGeom prst="rect">
                        <a:avLst/>
                      </a:prstGeom>
                      <a:solidFill>
                        <a:srgbClr val="F5F6F6"/>
                      </a:solidFill>
                      <a:ln w="12700" cap="flat">
                        <a:noFill/>
                        <a:miter lim="400000"/>
                      </a:ln>
                      <a:effectLst/>
                    </wps:spPr>
                    <wps:bodyPr/>
                  </wps:wsp>
                </a:graphicData>
              </a:graphic>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w:pict>
            <v:rect id="Rectangle 1073741825" style="position:absolute;margin-left:21pt;margin-top:723pt;width:569.7pt;height:41.6pt;z-index:-2516582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alt="&quot;&quot;" o:spid="_x0000_s1026" fillcolor="#f5f6f6" stroked="f" strokeweight="1pt" w14:anchorId="2C511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">
              <v:stroke miterlimit="4"/>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1DC0D" w14:textId="77777777" w:rsidR="008E4F8D" w:rsidRDefault="008E4F8D" w:rsidP="001A24E3">
      <w:r>
        <w:separator/>
      </w:r>
    </w:p>
  </w:footnote>
  <w:footnote w:type="continuationSeparator" w:id="0">
    <w:p w14:paraId="371ACF00" w14:textId="77777777" w:rsidR="008E4F8D" w:rsidRDefault="008E4F8D" w:rsidP="001A24E3">
      <w:r>
        <w:continuationSeparator/>
      </w:r>
    </w:p>
  </w:footnote>
  <w:footnote w:type="continuationNotice" w:id="1">
    <w:p w14:paraId="55359990" w14:textId="77777777" w:rsidR="008E4F8D" w:rsidRDefault="008E4F8D">
      <w:pPr>
        <w:spacing w:after="0" w:line="240" w:lineRule="auto"/>
      </w:pPr>
    </w:p>
  </w:footnote>
  <w:footnote w:id="2">
    <w:p w14:paraId="4280B4C9" w14:textId="564148BE" w:rsidR="00CB276E" w:rsidRDefault="00CB276E" w:rsidP="00E10CE5">
      <w:pPr>
        <w:pStyle w:val="FootnoteText"/>
        <w:spacing w:after="20" w:line="240" w:lineRule="auto"/>
      </w:pPr>
      <w:r w:rsidRPr="001E5E83">
        <w:rPr>
          <w:rStyle w:val="FootnoteReference"/>
        </w:rPr>
        <w:footnoteRef/>
      </w:r>
      <w:r w:rsidR="6713A3A1">
        <w:t xml:space="preserve"> See the CVRP Implementation Manual </w:t>
      </w:r>
      <w:r w:rsidR="00505B04">
        <w:fldChar w:fldCharType="begin"/>
      </w:r>
      <w:r w:rsidR="00171510">
        <w:instrText xml:space="preserve"> ADDIN ZOTERO_ITEM CSL_CITATION {"citationID":"VDY07GmG","properties":{"formattedCitation":"(CVRP, 2023)","plainCitation":"(CVRP, 2023)","noteIndex":1},"citationItems":[{"id":151,"uris":["http://zotero.org/users/10659083/items/G5BLT8TB"],"itemData":{"id":151,"type":"document","publisher":"Clean Vehicle Rebate Project","title":"IMPLEMENTATION MANUAL FOR THE CLEAN VEHICLE REBATE PROJECT (CVRP)","URL":"https://cleanvehiclerebate.org/sites/default/files/docs/nav/transportation/cvrp/documents/CVRP-Implementation-Manual.pdf","author":[{"literal":"CVRP"}],"accessed":{"date-parts":[["2024",7,24]]},"issued":{"date-parts":[["2023",8,15]]}}}],"schema":"https://github.com/citation-style-language/schema/raw/master/csl-citation.json"} </w:instrText>
      </w:r>
      <w:r w:rsidR="00505B04">
        <w:fldChar w:fldCharType="separate"/>
      </w:r>
      <w:r w:rsidR="00171510" w:rsidRPr="00171510">
        <w:rPr>
          <w:rFonts w:cs="Calibri"/>
        </w:rPr>
        <w:t>(CVRP, 2023)</w:t>
      </w:r>
      <w:r w:rsidR="00505B04">
        <w:fldChar w:fldCharType="end"/>
      </w:r>
      <w:r w:rsidR="6713A3A1">
        <w:t xml:space="preserve"> for vehicle category definitions.</w:t>
      </w:r>
    </w:p>
  </w:footnote>
  <w:footnote w:id="3">
    <w:p w14:paraId="2C59D1BF" w14:textId="53E83587" w:rsidR="001A24E3" w:rsidRPr="001A24E3" w:rsidRDefault="001A24E3" w:rsidP="00E10CE5">
      <w:pPr>
        <w:pStyle w:val="FootnoteText"/>
        <w:spacing w:after="4" w:line="240" w:lineRule="auto"/>
      </w:pPr>
      <w:r w:rsidRPr="001E5E83">
        <w:rPr>
          <w:rStyle w:val="FootnoteReference"/>
        </w:rPr>
        <w:footnoteRef/>
      </w:r>
      <w:r w:rsidR="6713A3A1">
        <w:t xml:space="preserve"> </w:t>
      </w:r>
      <w:r w:rsidR="00BA6919">
        <w:t>&lt; 1</w:t>
      </w:r>
      <w:r w:rsidR="6713A3A1" w:rsidRPr="001A24E3">
        <w:t>% of applications had irregular rebate amounts due to extenuating circumstances.</w:t>
      </w:r>
    </w:p>
  </w:footnote>
  <w:footnote w:id="4">
    <w:p w14:paraId="26D90238" w14:textId="33CE0807" w:rsidR="00242210" w:rsidRPr="001A24E3" w:rsidRDefault="00242210" w:rsidP="00D607FD">
      <w:pPr>
        <w:pStyle w:val="FootnoteText"/>
        <w:spacing w:line="240" w:lineRule="auto"/>
        <w:jc w:val="left"/>
      </w:pPr>
      <w:r w:rsidRPr="001E5E83">
        <w:rPr>
          <w:rStyle w:val="FootnoteReference"/>
        </w:rPr>
        <w:footnoteRef/>
      </w:r>
      <w:r w:rsidR="6713A3A1">
        <w:t xml:space="preserve"> </w:t>
      </w:r>
      <w:r w:rsidR="6713A3A1" w:rsidRPr="007804DF">
        <w:t xml:space="preserve">Contains content licensed from </w:t>
      </w:r>
      <w:r w:rsidR="6713A3A1">
        <w:t xml:space="preserve">S&amp;P Global Mobility </w:t>
      </w:r>
      <w:r w:rsidR="6713A3A1" w:rsidRPr="007804DF">
        <w:t xml:space="preserve">© </w:t>
      </w:r>
      <w:r w:rsidR="00771FB0" w:rsidRPr="007804DF">
        <w:t>202</w:t>
      </w:r>
      <w:r w:rsidR="00771FB0">
        <w:t>4</w:t>
      </w:r>
      <w:r w:rsidR="6713A3A1" w:rsidRPr="007804DF">
        <w:t>.</w:t>
      </w:r>
    </w:p>
  </w:footnote>
  <w:footnote w:id="5">
    <w:p w14:paraId="1BDDCC52" w14:textId="0A0DDCE3" w:rsidR="00C32AD3" w:rsidRDefault="00C32AD3">
      <w:pPr>
        <w:pStyle w:val="FootnoteText"/>
      </w:pPr>
      <w:r w:rsidRPr="001E5E83">
        <w:rPr>
          <w:rStyle w:val="FootnoteReference"/>
        </w:rPr>
        <w:footnoteRef/>
      </w:r>
      <w:r>
        <w:t xml:space="preserve"> </w:t>
      </w:r>
      <w:r w:rsidR="00E41C7D">
        <w:t>Sensitivity analysis</w:t>
      </w:r>
      <w:r w:rsidR="00B72A05">
        <w:t xml:space="preserve"> </w:t>
      </w:r>
      <w:r w:rsidR="00162905">
        <w:t xml:space="preserve">indicates </w:t>
      </w:r>
      <w:r w:rsidR="00B72A05">
        <w:t xml:space="preserve">that the potential </w:t>
      </w:r>
      <w:r w:rsidR="00B911A8">
        <w:t xml:space="preserve">impact of </w:t>
      </w:r>
      <w:r w:rsidR="002C2729">
        <w:t xml:space="preserve">varying carbon intensity </w:t>
      </w:r>
      <w:r w:rsidR="00C9004A">
        <w:t xml:space="preserve">of electricity </w:t>
      </w:r>
      <w:r w:rsidR="00C20EC3">
        <w:t xml:space="preserve">across </w:t>
      </w:r>
      <w:r w:rsidR="00B911A8">
        <w:t>utilit</w:t>
      </w:r>
      <w:r w:rsidR="00C20EC3">
        <w:t>ies</w:t>
      </w:r>
      <w:r w:rsidR="00B911A8">
        <w:t xml:space="preserve"> </w:t>
      </w:r>
      <w:r w:rsidR="00C20EC3">
        <w:t xml:space="preserve">is </w:t>
      </w:r>
      <w:r w:rsidR="00493FA0">
        <w:t>minor</w:t>
      </w:r>
      <w:r w:rsidR="00162905">
        <w:t xml:space="preserve"> (</w:t>
      </w:r>
      <w:r w:rsidR="000C6129">
        <w:t xml:space="preserve">see </w:t>
      </w:r>
      <w:r w:rsidR="00162905">
        <w:t>Appendix B).</w:t>
      </w:r>
    </w:p>
  </w:footnote>
  <w:footnote w:id="6">
    <w:p w14:paraId="0E5674AB" w14:textId="1780C791" w:rsidR="00DF623E" w:rsidRDefault="00DF623E">
      <w:pPr>
        <w:pStyle w:val="FootnoteText"/>
      </w:pPr>
      <w:r w:rsidRPr="001E5E83">
        <w:rPr>
          <w:rStyle w:val="FootnoteReference"/>
        </w:rPr>
        <w:footnoteRef/>
      </w:r>
      <w:r>
        <w:t xml:space="preserve"> </w:t>
      </w:r>
      <w:r w:rsidR="002E3EE9">
        <w:t>I</w:t>
      </w:r>
      <w:r w:rsidR="002E3EE9" w:rsidRPr="002E3EE9">
        <w:t>ncluding conventional, non-plug-in hybrid</w:t>
      </w:r>
      <w:r w:rsidR="003953B6">
        <w:t xml:space="preserve"> models.</w:t>
      </w:r>
    </w:p>
  </w:footnote>
  <w:footnote w:id="7">
    <w:p w14:paraId="44DE40E8" w14:textId="77777777" w:rsidR="00195509" w:rsidRDefault="00195509" w:rsidP="00195509">
      <w:pPr>
        <w:pStyle w:val="FootnoteText"/>
      </w:pPr>
      <w:r w:rsidRPr="001E5E83">
        <w:rPr>
          <w:rStyle w:val="FootnoteReference"/>
        </w:rPr>
        <w:footnoteRef/>
      </w:r>
      <w:r>
        <w:t xml:space="preserve"> Precursor work modeled first-year emissions and scaled those up to estimate the lifetime period.</w:t>
      </w:r>
    </w:p>
  </w:footnote>
  <w:footnote w:id="8">
    <w:p w14:paraId="1CE20144" w14:textId="47F84ED7" w:rsidR="00657589" w:rsidRDefault="00657589" w:rsidP="00E10CE5">
      <w:pPr>
        <w:pStyle w:val="FootnoteText"/>
        <w:spacing w:after="0" w:line="240" w:lineRule="auto"/>
      </w:pPr>
      <w:r w:rsidRPr="001E5E83">
        <w:rPr>
          <w:rStyle w:val="FootnoteReference"/>
        </w:rPr>
        <w:footnoteRef/>
      </w:r>
      <w:r w:rsidR="6713A3A1">
        <w:t xml:space="preserve"> PHEV</w:t>
      </w:r>
      <w:r w:rsidDel="6713A3A1">
        <w:t xml:space="preserve"> </w:t>
      </w:r>
      <w:r w:rsidR="6713A3A1" w:rsidRPr="00C83407">
        <w:t>batteries are covered for 150,000 miles</w:t>
      </w:r>
      <w:r w:rsidR="6713A3A1">
        <w:t xml:space="preserve"> as required by California’s ZEV Standards </w:t>
      </w:r>
      <w:r w:rsidR="0031432B">
        <w:fldChar w:fldCharType="begin"/>
      </w:r>
      <w:r w:rsidR="0031432B">
        <w:instrText xml:space="preserve"> ADDIN ZOTERO_ITEM CSL_CITATION {"citationID":"fH7U0xTm","properties":{"formattedCitation":"(Zero-Emission Vehicle Standards for 2018 and Subsequent Model Year Passenger Cars, Light-Duty Trucks, and Medium-Duty Vehicles, 2012)","plainCitation":"(Zero-Emission Vehicle Standards for 2018 and Subsequent Model Year Passenger Cars, Light-Duty Trucks, and Medium-Duty Vehicles, 2012)","noteIndex":7},"citationItems":[{"id":38,"uris":["http://zotero.org/users/10659083/items/I8JX39QA"],"itemData":{"id":38,"type":"legislation","title":"Zero-Emission Vehicle Standards for 2018 and Subsequent Model Year Passenger Cars, Light-Duty Trucks, and Medium-Duty Vehicles","author":[{"literal":"California Code of Regulations"}],"issued":{"date-parts":[["2012"]]}}}],"schema":"https://github.com/citation-style-language/schema/raw/master/csl-citation.json"} </w:instrText>
      </w:r>
      <w:r w:rsidR="0031432B">
        <w:fldChar w:fldCharType="separate"/>
      </w:r>
      <w:r w:rsidR="0031432B" w:rsidRPr="0031432B">
        <w:rPr>
          <w:rFonts w:cs="Calibri"/>
        </w:rPr>
        <w:t>(Zero-Emission Vehicle Standards for 2018 and Subsequent Model Year Passenger Cars, Light-Duty Trucks, and Medium-Duty Vehicles, 2012)</w:t>
      </w:r>
      <w:r w:rsidR="0031432B">
        <w:fldChar w:fldCharType="end"/>
      </w:r>
      <w:r w:rsidR="6713A3A1" w:rsidRPr="00C83407">
        <w:t>.</w:t>
      </w:r>
    </w:p>
  </w:footnote>
  <w:footnote w:id="9">
    <w:p w14:paraId="5CAC1A7F" w14:textId="574CBD58" w:rsidR="002B5C29" w:rsidRPr="002B5C29" w:rsidRDefault="002B5C29" w:rsidP="00E10CE5">
      <w:pPr>
        <w:pStyle w:val="FootnoteText"/>
        <w:spacing w:after="0" w:line="240" w:lineRule="auto"/>
      </w:pPr>
      <w:r w:rsidRPr="001E5E83">
        <w:rPr>
          <w:rStyle w:val="FootnoteReference"/>
        </w:rPr>
        <w:footnoteRef/>
      </w:r>
      <w:r w:rsidR="6713A3A1">
        <w:t xml:space="preserve"> </w:t>
      </w:r>
      <w:r w:rsidR="6713A3A1" w:rsidRPr="002B5C29">
        <w:t>Other response options included “Not at all important” and “Slightly important.”</w:t>
      </w:r>
    </w:p>
  </w:footnote>
  <w:footnote w:id="10">
    <w:p w14:paraId="3B5A9687" w14:textId="22C7EA72" w:rsidR="00305380" w:rsidRPr="00350B4C" w:rsidRDefault="00305380" w:rsidP="00305380">
      <w:pPr>
        <w:pStyle w:val="FootnoteText"/>
      </w:pPr>
      <w:r w:rsidRPr="001E5E83">
        <w:rPr>
          <w:rStyle w:val="FootnoteReference"/>
        </w:rPr>
        <w:footnoteRef/>
      </w:r>
      <w:r>
        <w:t xml:space="preserve"> FCEV consumers (2% of rebates) are presented tailored survey questions and response options and are omitted from the </w:t>
      </w:r>
      <w:r w:rsidR="00731D6E">
        <w:t>c</w:t>
      </w:r>
      <w:r>
        <w:t xml:space="preserve">ounterfactual </w:t>
      </w:r>
      <w:r w:rsidR="00731D6E">
        <w:t>r</w:t>
      </w:r>
      <w:r w:rsidR="00BD2048">
        <w:t xml:space="preserve">eductions </w:t>
      </w:r>
      <w:r>
        <w:t>analysis for simplicity.</w:t>
      </w:r>
    </w:p>
  </w:footnote>
  <w:footnote w:id="11">
    <w:p w14:paraId="3BFB9C6C" w14:textId="06BFEF9A" w:rsidR="00C77164" w:rsidRDefault="00C77164" w:rsidP="00C77164">
      <w:pPr>
        <w:pStyle w:val="FootnoteText"/>
      </w:pPr>
      <w:r w:rsidRPr="001E5E83">
        <w:rPr>
          <w:rStyle w:val="FootnoteReference"/>
        </w:rPr>
        <w:footnoteRef/>
      </w:r>
      <w:r>
        <w:t xml:space="preserve"> Assigning non-</w:t>
      </w:r>
      <w:r w:rsidRPr="00CF40EB">
        <w:rPr>
          <w:i/>
          <w:iCs/>
        </w:rPr>
        <w:t>Rebate Essential</w:t>
      </w:r>
      <w:r>
        <w:t xml:space="preserve"> </w:t>
      </w:r>
      <w:proofErr w:type="gramStart"/>
      <w:r>
        <w:t>respondents</w:t>
      </w:r>
      <w:proofErr w:type="gramEnd"/>
      <w:r w:rsidRPr="008C6C21">
        <w:t xml:space="preserve"> no emission reductions</w:t>
      </w:r>
      <w:r>
        <w:t xml:space="preserve"> is a conservatism. </w:t>
      </w:r>
      <w:r w:rsidRPr="009F0701">
        <w:t xml:space="preserve">In data from </w:t>
      </w:r>
      <w:r w:rsidR="00114366">
        <w:t xml:space="preserve">prior survey editions, </w:t>
      </w:r>
      <w:r>
        <w:t>3</w:t>
      </w:r>
      <w:r w:rsidRPr="009F0701">
        <w:t>% of non-</w:t>
      </w:r>
      <w:r w:rsidRPr="00387E05">
        <w:rPr>
          <w:i/>
          <w:iCs/>
        </w:rPr>
        <w:t>Rebate-Essential</w:t>
      </w:r>
      <w:r w:rsidRPr="009F0701">
        <w:t xml:space="preserve"> respondents reported non-EV counterfactual behaviors</w:t>
      </w:r>
      <w:r>
        <w:t xml:space="preserve"> and another </w:t>
      </w:r>
      <w:r w:rsidRPr="009F0701">
        <w:t xml:space="preserve">3% </w:t>
      </w:r>
      <w:r>
        <w:t>reported that they would not have made a purchase/lease at all</w:t>
      </w:r>
      <w:r w:rsidRPr="009F0701">
        <w:t xml:space="preserve">. </w:t>
      </w:r>
    </w:p>
  </w:footnote>
  <w:footnote w:id="12">
    <w:p w14:paraId="553406EA" w14:textId="30101FED" w:rsidR="009956D8" w:rsidRDefault="009956D8">
      <w:pPr>
        <w:pStyle w:val="FootnoteText"/>
      </w:pPr>
      <w:r w:rsidRPr="001E5E83">
        <w:rPr>
          <w:rStyle w:val="FootnoteReference"/>
        </w:rPr>
        <w:footnoteRef/>
      </w:r>
      <w:r>
        <w:t xml:space="preserve"> In </w:t>
      </w:r>
      <w:r w:rsidRPr="007500C6">
        <w:t>Survey Editions 2020–2023 &amp; 2023–Close</w:t>
      </w:r>
      <w:r>
        <w:t>,</w:t>
      </w:r>
      <w:r w:rsidRPr="009956D8">
        <w:t xml:space="preserve"> 95% </w:t>
      </w:r>
      <w:r>
        <w:t xml:space="preserve">of </w:t>
      </w:r>
      <w:r w:rsidR="00C710F3">
        <w:t xml:space="preserve">replaced vehicles were reported to </w:t>
      </w:r>
      <w:r w:rsidR="007E3FFE">
        <w:t xml:space="preserve">previously </w:t>
      </w:r>
      <w:r w:rsidR="00C710F3">
        <w:t xml:space="preserve">be their </w:t>
      </w:r>
      <w:r w:rsidRPr="009956D8">
        <w:t xml:space="preserve">primary </w:t>
      </w:r>
      <w:r w:rsidR="00C710F3">
        <w:t>vehicle.</w:t>
      </w:r>
    </w:p>
  </w:footnote>
  <w:footnote w:id="13">
    <w:p w14:paraId="1C29AB94" w14:textId="5ABFBF0D" w:rsidR="003C370D" w:rsidRDefault="003C370D" w:rsidP="003C370D">
      <w:pPr>
        <w:pStyle w:val="FootnoteText"/>
      </w:pPr>
      <w:r w:rsidRPr="001E5E83">
        <w:rPr>
          <w:rStyle w:val="FootnoteReference"/>
        </w:rPr>
        <w:footnoteRef/>
      </w:r>
      <w:r>
        <w:t xml:space="preserve"> In prior </w:t>
      </w:r>
      <w:r w:rsidR="000774FA">
        <w:t>e</w:t>
      </w:r>
      <w:r>
        <w:t xml:space="preserve">ditions, the counterfactual behavior question was provided to all respondents, so </w:t>
      </w:r>
      <w:r w:rsidR="002720E6">
        <w:t xml:space="preserve">those </w:t>
      </w:r>
      <w:r>
        <w:t xml:space="preserve">responses are used </w:t>
      </w:r>
      <w:proofErr w:type="gramStart"/>
      <w:r>
        <w:t>directly</w:t>
      </w:r>
      <w:proofErr w:type="gramEnd"/>
      <w:r>
        <w:t xml:space="preserve"> and </w:t>
      </w:r>
      <w:r w:rsidRPr="00A50809">
        <w:rPr>
          <w:i/>
          <w:iCs/>
        </w:rPr>
        <w:t>Rebate Essentiality</w:t>
      </w:r>
      <w:r>
        <w:t xml:space="preserve"> is not referenced.  </w:t>
      </w:r>
    </w:p>
  </w:footnote>
  <w:footnote w:id="14">
    <w:p w14:paraId="451185D9" w14:textId="74BFBD5E" w:rsidR="00A43EB7" w:rsidRDefault="00A43EB7">
      <w:pPr>
        <w:pStyle w:val="FootnoteText"/>
      </w:pPr>
      <w:r w:rsidRPr="001E5E83">
        <w:rPr>
          <w:rStyle w:val="FootnoteReference"/>
        </w:rPr>
        <w:footnoteRef/>
      </w:r>
      <w:r>
        <w:t xml:space="preserve"> However, FCEV results are sensitive to the assumed carbon intensity of hydrogen, as explored in Appendix B.</w:t>
      </w:r>
    </w:p>
  </w:footnote>
  <w:footnote w:id="15">
    <w:p w14:paraId="069D710E" w14:textId="54FBAFE0" w:rsidR="00E664D9" w:rsidRDefault="00E664D9">
      <w:pPr>
        <w:pStyle w:val="FootnoteText"/>
      </w:pPr>
      <w:r w:rsidRPr="001E5E83">
        <w:rPr>
          <w:rStyle w:val="FootnoteReference"/>
        </w:rPr>
        <w:footnoteRef/>
      </w:r>
      <w:r>
        <w:t xml:space="preserve"> One such approach focused on minimizing free ridership was explored in</w:t>
      </w:r>
      <w:r w:rsidR="00FF1A15">
        <w:t xml:space="preserve"> </w:t>
      </w:r>
      <w:r w:rsidR="00FF1A15">
        <w:fldChar w:fldCharType="begin"/>
      </w:r>
      <w:r w:rsidR="00FF1A15">
        <w:instrText xml:space="preserve"> ADDIN ZOTERO_ITEM CSL_CITATION {"citationID":"r2iVA6Z0","properties":{"formattedCitation":"(Pallonetti et al., 2024)","plainCitation":"(Pallonetti et al., 2024)","noteIndex":14},"citationItems":[{"id":168,"uris":["http://zotero.org/users/10659083/items/KYVLQ4DC"],"itemData":{"id":168,"type":"report","event-place":"Sacramento CA, USA","license":"California Air Resources Board","publisher":"Center for Sustainable Energy","publisher-place":"Sacramento CA, USA","title":"CVRP Greenhouse Gas Emission Reductions and Cost-Effectiveness: 2022 Purchases/Leases","URL":"https://cleanvehiclerebate.org/sites/default/files/attachments/CVRP-2022-GHG-Cost-Effectiveness.pdf","author":[{"family":"Pallonetti","given":"Nicholas"},{"family":"Williams","given":"Brett D.H."},{"family":"Sa","given":"Boyang"}],"issued":{"date-parts":[["2024",12]]}}}],"schema":"https://github.com/citation-style-language/schema/raw/master/csl-citation.json"} </w:instrText>
      </w:r>
      <w:r w:rsidR="00FF1A15">
        <w:fldChar w:fldCharType="separate"/>
      </w:r>
      <w:r w:rsidR="00FF1A15" w:rsidRPr="00FF1A15">
        <w:rPr>
          <w:rFonts w:cs="Calibri"/>
        </w:rPr>
        <w:t>(Pallonetti et al., 2024)</w:t>
      </w:r>
      <w:r w:rsidR="00FF1A15">
        <w:fldChar w:fldCharType="end"/>
      </w:r>
      <w:r w:rsidR="008D0582">
        <w:t>.</w:t>
      </w:r>
      <w:r w:rsidR="00AD6453">
        <w:t xml:space="preserve"> </w:t>
      </w:r>
    </w:p>
  </w:footnote>
  <w:footnote w:id="16">
    <w:p w14:paraId="1BF4C8B0" w14:textId="49D1DF5F" w:rsidR="001401C9" w:rsidRDefault="001401C9">
      <w:pPr>
        <w:pStyle w:val="FootnoteText"/>
      </w:pPr>
      <w:r w:rsidRPr="001E5E83">
        <w:rPr>
          <w:rStyle w:val="FootnoteReference"/>
        </w:rPr>
        <w:footnoteRef/>
      </w:r>
      <w:r>
        <w:t xml:space="preserve"> Previous related work has characterized </w:t>
      </w:r>
      <w:r w:rsidR="007B031F">
        <w:t>replaced vehicles as primarily consisting of older gasoline vehicles</w:t>
      </w:r>
      <w:r w:rsidR="0090140C">
        <w:t>,</w:t>
      </w:r>
      <w:r w:rsidR="00E005E0">
        <w:t xml:space="preserve"> </w:t>
      </w:r>
      <w:r w:rsidR="0090140C">
        <w:t>though r</w:t>
      </w:r>
      <w:r w:rsidR="007B031F">
        <w:t xml:space="preserve">eplacement of previously-owned EVs increased </w:t>
      </w:r>
      <w:r w:rsidR="00B40323">
        <w:t xml:space="preserve">modestly </w:t>
      </w:r>
      <w:r w:rsidR="000B1772">
        <w:t>over time</w:t>
      </w:r>
      <w:r w:rsidR="0090140C">
        <w:t xml:space="preserve"> </w:t>
      </w:r>
      <w:r w:rsidR="00FA7DE3">
        <w:fldChar w:fldCharType="begin"/>
      </w:r>
      <w:r w:rsidR="00FA7DE3">
        <w:instrText xml:space="preserve"> ADDIN ZOTERO_ITEM CSL_CITATION {"citationID":"u8LFzrvC","properties":{"formattedCitation":"(B. D. H. Williams &amp; Pallonetti, 2024)","plainCitation":"(B. D. H. Williams &amp; Pallonetti, 2024)","noteIndex":15},"citationItems":[{"id":202,"uris":["http://zotero.org/users/10659083/items/DFUEWAD9"],"itemData":{"id":202,"type":"report","publisher":"Center for Sustainable Energy","title":"CVRP 2022 Data Brief: Vehicle Replacement","URL":"https://cleanvehiclerebate.org/en/content/presentation-%E2%80%9Ccvrp-2022-data-brief-vehicle-replacement%E2%80%9D","author":[{"family":"Williams","given":"Brett D. H."},{"family":"Pallonetti","given":"Nicholas"}],"issued":{"date-parts":[["2024",7]]}}}],"schema":"https://github.com/citation-style-language/schema/raw/master/csl-citation.json"} </w:instrText>
      </w:r>
      <w:r w:rsidR="00FA7DE3">
        <w:fldChar w:fldCharType="separate"/>
      </w:r>
      <w:r w:rsidR="00FA7DE3" w:rsidRPr="00FA7DE3">
        <w:rPr>
          <w:rFonts w:cs="Calibri"/>
        </w:rPr>
        <w:t>(B. D. H. Williams &amp; Pallonetti, 2024)</w:t>
      </w:r>
      <w:r w:rsidR="00FA7DE3">
        <w:fldChar w:fldCharType="end"/>
      </w:r>
      <w:r w:rsidR="00D729EA">
        <w:t xml:space="preserve">. </w:t>
      </w:r>
      <w:r w:rsidR="0090140C">
        <w:t xml:space="preserve">Replaced vehicle </w:t>
      </w:r>
      <w:r w:rsidR="00E42A14">
        <w:t xml:space="preserve">characteristics </w:t>
      </w:r>
      <w:r w:rsidR="00313F26" w:rsidRPr="00313F26">
        <w:t>will be explored further in additional forthcoming CVRP retrospective reporting.</w:t>
      </w:r>
      <w:r w:rsidR="00313F26">
        <w:t xml:space="preserve"> </w:t>
      </w:r>
      <w:r w:rsidR="00FF620A">
        <w:t xml:space="preserve"> </w:t>
      </w:r>
    </w:p>
  </w:footnote>
  <w:footnote w:id="17">
    <w:p w14:paraId="7B48F47A" w14:textId="5CBC174E" w:rsidR="002C0AB5" w:rsidRDefault="002C0AB5" w:rsidP="002C0AB5">
      <w:pPr>
        <w:pStyle w:val="FootnoteText"/>
      </w:pPr>
      <w:r w:rsidRPr="001E5E83">
        <w:rPr>
          <w:rStyle w:val="FootnoteReference"/>
        </w:rPr>
        <w:footnoteRef/>
      </w:r>
      <w:r>
        <w:t xml:space="preserve"> This group was assumed to drive their previous vehicle for three additional years, with the remainder of their 100k miles being represented by the average for the cohort three years after their purchase date </w:t>
      </w:r>
      <w:r w:rsidR="00965D37">
        <w:t>(</w:t>
      </w:r>
      <w:r>
        <w:t>2023 cohorts were used for years 2023 or later</w:t>
      </w:r>
      <w:r w:rsidR="005441B4">
        <w:t>)</w:t>
      </w:r>
      <w:r>
        <w:t>.</w:t>
      </w:r>
    </w:p>
  </w:footnote>
  <w:footnote w:id="18">
    <w:p w14:paraId="19B1347E" w14:textId="291A9E0F" w:rsidR="004B6607" w:rsidRDefault="004B6607">
      <w:pPr>
        <w:pStyle w:val="FootnoteText"/>
      </w:pPr>
      <w:r w:rsidRPr="001E5E83">
        <w:rPr>
          <w:rStyle w:val="FootnoteReference"/>
        </w:rPr>
        <w:footnoteRef/>
      </w:r>
      <w:r>
        <w:t xml:space="preserve"> </w:t>
      </w:r>
      <w:r w:rsidR="0002258F">
        <w:t xml:space="preserve">However, </w:t>
      </w:r>
      <w:r>
        <w:t xml:space="preserve">logistic regression-based predictive modeling </w:t>
      </w:r>
      <w:r w:rsidR="002D7BC8">
        <w:t xml:space="preserve">of </w:t>
      </w:r>
      <w:r w:rsidR="002D7BC8" w:rsidRPr="2F1055DC">
        <w:rPr>
          <w:i/>
          <w:iCs/>
        </w:rPr>
        <w:t xml:space="preserve">Rebate Essentiality </w:t>
      </w:r>
      <w:r>
        <w:t xml:space="preserve">explored </w:t>
      </w:r>
      <w:r w:rsidR="00A42696">
        <w:t xml:space="preserve">for </w:t>
      </w:r>
      <w:r>
        <w:t xml:space="preserve">this analysis </w:t>
      </w:r>
      <w:r w:rsidR="00AB2588">
        <w:t xml:space="preserve">did not </w:t>
      </w:r>
      <w:r w:rsidR="009B383C">
        <w:t>yield better</w:t>
      </w:r>
      <w:r>
        <w:t xml:space="preserve"> predictive performance </w:t>
      </w:r>
      <w:r w:rsidR="0083593F">
        <w:t>than</w:t>
      </w:r>
      <w:r>
        <w:t xml:space="preserve"> the cohort averages used.</w:t>
      </w:r>
    </w:p>
  </w:footnote>
  <w:footnote w:id="19">
    <w:p w14:paraId="2D819C31" w14:textId="29E37583" w:rsidR="00EC392B" w:rsidRDefault="00EC392B" w:rsidP="00EC392B">
      <w:pPr>
        <w:pStyle w:val="FootnoteText"/>
      </w:pPr>
      <w:r w:rsidRPr="001E5E83">
        <w:rPr>
          <w:rStyle w:val="FootnoteReference"/>
        </w:rPr>
        <w:footnoteRef/>
      </w:r>
      <w:r>
        <w:t xml:space="preserve"> Counterfactual reductions use alternative baselines</w:t>
      </w:r>
      <w:r w:rsidR="00A17092">
        <w:t xml:space="preserve">, detailed </w:t>
      </w:r>
      <w:r w:rsidR="00B541BB">
        <w:t xml:space="preserve">further </w:t>
      </w:r>
      <w:r w:rsidR="00A17092">
        <w:t>below</w:t>
      </w:r>
      <w:r>
        <w:t>.</w:t>
      </w:r>
    </w:p>
  </w:footnote>
  <w:footnote w:id="20">
    <w:p w14:paraId="71540FB6" w14:textId="6E01C731" w:rsidR="006F44F5" w:rsidRDefault="006F44F5" w:rsidP="00087638">
      <w:pPr>
        <w:pStyle w:val="FootnoteText"/>
        <w:spacing w:line="240" w:lineRule="auto"/>
      </w:pPr>
      <w:r w:rsidRPr="001E5E83">
        <w:rPr>
          <w:rStyle w:val="FootnoteReference"/>
        </w:rPr>
        <w:footnoteRef/>
      </w:r>
      <w:r w:rsidR="6713A3A1">
        <w:t xml:space="preserve"> Sales are based on new vehicle registration data from S&amp;P Global Mobility. The 75 top-selling models were found to compose more than 75% of the light-duty vehicle sales for each model year.</w:t>
      </w:r>
    </w:p>
  </w:footnote>
  <w:footnote w:id="21">
    <w:p w14:paraId="5DAFD674" w14:textId="154BA7F6" w:rsidR="00BD6AFA" w:rsidRDefault="00BD6AFA" w:rsidP="001C7F5C">
      <w:pPr>
        <w:pStyle w:val="FootnoteText"/>
        <w:spacing w:after="120"/>
      </w:pPr>
      <w:r w:rsidRPr="001E5E83">
        <w:rPr>
          <w:rStyle w:val="FootnoteReference"/>
        </w:rPr>
        <w:footnoteRef/>
      </w:r>
      <w:r>
        <w:t xml:space="preserve"> </w:t>
      </w:r>
      <w:r>
        <w:rPr>
          <w:rStyle w:val="Bold"/>
          <w:b w:val="0"/>
          <w:bCs w:val="0"/>
        </w:rPr>
        <w:t>S</w:t>
      </w:r>
      <w:r w:rsidRPr="53EEA7FC">
        <w:rPr>
          <w:rStyle w:val="Bold"/>
          <w:b w:val="0"/>
          <w:bCs w:val="0"/>
        </w:rPr>
        <w:t xml:space="preserve">pecifically, rebated EV emissions from non-respondents are </w:t>
      </w:r>
      <w:r>
        <w:rPr>
          <w:rStyle w:val="Bold"/>
          <w:b w:val="0"/>
          <w:bCs w:val="0"/>
        </w:rPr>
        <w:t xml:space="preserve">first </w:t>
      </w:r>
      <w:r w:rsidRPr="53EEA7FC">
        <w:rPr>
          <w:rStyle w:val="Bold"/>
          <w:b w:val="0"/>
          <w:bCs w:val="0"/>
        </w:rPr>
        <w:t>compared to a gasoline vehicle with an average fuel consumption rate equal to the cohort-specific average MPG of the gasoline</w:t>
      </w:r>
      <w:r w:rsidR="00BD56D2">
        <w:rPr>
          <w:rStyle w:val="Bold"/>
          <w:b w:val="0"/>
          <w:bCs w:val="0"/>
        </w:rPr>
        <w:t xml:space="preserve"> and </w:t>
      </w:r>
      <w:r w:rsidR="00215670">
        <w:rPr>
          <w:rStyle w:val="Bold"/>
          <w:b w:val="0"/>
          <w:bCs w:val="0"/>
        </w:rPr>
        <w:t xml:space="preserve">conventional </w:t>
      </w:r>
      <w:r w:rsidRPr="53EEA7FC">
        <w:rPr>
          <w:rStyle w:val="Bold"/>
          <w:b w:val="0"/>
          <w:bCs w:val="0"/>
        </w:rPr>
        <w:t xml:space="preserve">hybrid </w:t>
      </w:r>
      <w:r>
        <w:rPr>
          <w:rStyle w:val="Bold"/>
          <w:b w:val="0"/>
          <w:bCs w:val="0"/>
        </w:rPr>
        <w:t xml:space="preserve">counterfactual </w:t>
      </w:r>
      <w:r w:rsidRPr="53EEA7FC">
        <w:rPr>
          <w:rStyle w:val="Bold"/>
          <w:b w:val="0"/>
          <w:bCs w:val="0"/>
        </w:rPr>
        <w:t>comparison vehicles.</w:t>
      </w:r>
      <w:r>
        <w:rPr>
          <w:rStyle w:val="Bold"/>
          <w:b w:val="0"/>
          <w:bCs w:val="0"/>
        </w:rPr>
        <w:t xml:space="preserve"> Previous vehicle MPGs are included in the MPG averages for the first three years and excluded from year four on.</w:t>
      </w:r>
      <w:r w:rsidRPr="53EEA7FC">
        <w:rPr>
          <w:rStyle w:val="Bold"/>
          <w:b w:val="0"/>
          <w:bCs w:val="0"/>
        </w:rPr>
        <w:t xml:space="preserve"> </w:t>
      </w:r>
      <w:r>
        <w:rPr>
          <w:rStyle w:val="Bold"/>
          <w:b w:val="0"/>
          <w:bCs w:val="0"/>
        </w:rPr>
        <w:t>GHG reduction r</w:t>
      </w:r>
      <w:r w:rsidRPr="53EEA7FC">
        <w:rPr>
          <w:rStyle w:val="Bold"/>
          <w:b w:val="0"/>
          <w:bCs w:val="0"/>
        </w:rPr>
        <w:t>esults are then scaled down by cohort-specific weighted percentages</w:t>
      </w:r>
      <w:r>
        <w:rPr>
          <w:rStyle w:val="Bold"/>
          <w:b w:val="0"/>
          <w:bCs w:val="0"/>
        </w:rPr>
        <w:t xml:space="preserve"> of participants for which no emission reductions are attributed:</w:t>
      </w:r>
      <w:r w:rsidRPr="53EEA7FC">
        <w:rPr>
          <w:rStyle w:val="Bold"/>
          <w:b w:val="0"/>
          <w:bCs w:val="0"/>
        </w:rPr>
        <w:t xml:space="preserve"> the sum of counterfactual vehicles that were electric and</w:t>
      </w:r>
      <w:r>
        <w:rPr>
          <w:rStyle w:val="Bold"/>
          <w:b w:val="0"/>
          <w:bCs w:val="0"/>
        </w:rPr>
        <w:t>, from 2021 on,</w:t>
      </w:r>
      <w:r w:rsidRPr="53EEA7FC">
        <w:rPr>
          <w:rStyle w:val="Bold"/>
          <w:b w:val="0"/>
          <w:bCs w:val="0"/>
        </w:rPr>
        <w:t xml:space="preserve"> respondents that were non-</w:t>
      </w:r>
      <w:r w:rsidRPr="00AB3123">
        <w:rPr>
          <w:rStyle w:val="Bold"/>
          <w:b w:val="0"/>
          <w:bCs w:val="0"/>
          <w:i/>
          <w:iCs/>
        </w:rPr>
        <w:t>Rebate-Essential</w:t>
      </w:r>
      <w:r w:rsidRPr="53EEA7FC">
        <w:rPr>
          <w:rStyle w:val="Bold"/>
          <w:b w:val="0"/>
          <w:bCs w:val="0"/>
        </w:rPr>
        <w:t>.</w:t>
      </w:r>
    </w:p>
  </w:footnote>
  <w:footnote w:id="22">
    <w:p w14:paraId="7DC4B6CF" w14:textId="6C21FBF9" w:rsidR="00EF4A30" w:rsidRDefault="00EF4A30" w:rsidP="001C7F5C">
      <w:pPr>
        <w:pStyle w:val="FootnoteText"/>
        <w:spacing w:after="120"/>
      </w:pPr>
      <w:r w:rsidRPr="001E5E83">
        <w:rPr>
          <w:rStyle w:val="FootnoteReference"/>
        </w:rPr>
        <w:footnoteRef/>
      </w:r>
      <w:r>
        <w:t xml:space="preserve"> Based on </w:t>
      </w:r>
      <w:r w:rsidR="00302781">
        <w:t>~</w:t>
      </w:r>
      <w:r w:rsidR="00C91EA4">
        <w:t>6</w:t>
      </w:r>
      <w:r w:rsidR="00302781">
        <w:t>0</w:t>
      </w:r>
      <w:r w:rsidR="009B2EDB">
        <w:t xml:space="preserve"> </w:t>
      </w:r>
      <w:r>
        <w:t>top-selling gasoline models</w:t>
      </w:r>
      <w:r w:rsidR="0039252D">
        <w:t xml:space="preserve"> excluding hybrids</w:t>
      </w:r>
      <w:r>
        <w:t>, which composed &gt;</w:t>
      </w:r>
      <w:r w:rsidR="005529CA">
        <w:t>72</w:t>
      </w:r>
      <w:r>
        <w:t>% of all sales in each model year.</w:t>
      </w:r>
    </w:p>
  </w:footnote>
  <w:footnote w:id="23">
    <w:p w14:paraId="7EA61AA2" w14:textId="5F20145F" w:rsidR="00EF4A30" w:rsidRPr="00106ED5" w:rsidRDefault="00EF4A30" w:rsidP="00EF4A30">
      <w:pPr>
        <w:pStyle w:val="FootnoteText"/>
      </w:pPr>
      <w:r w:rsidRPr="001E5E83">
        <w:rPr>
          <w:rStyle w:val="FootnoteReference"/>
        </w:rPr>
        <w:footnoteRef/>
      </w:r>
      <w:r>
        <w:t xml:space="preserve"> Cohort average vehicles as applied to survey non-respondents. 2023 cohorts used for EVs purchased from 2020 on.  </w:t>
      </w:r>
    </w:p>
  </w:footnote>
  <w:footnote w:id="24">
    <w:p w14:paraId="1D66B6AD" w14:textId="46AADC9F" w:rsidR="00C72B80" w:rsidRDefault="00C72B80" w:rsidP="007933B8">
      <w:pPr>
        <w:pStyle w:val="FootnoteText"/>
        <w:spacing w:after="120"/>
      </w:pPr>
      <w:r>
        <w:rPr>
          <w:rStyle w:val="FootnoteReference"/>
        </w:rPr>
        <w:footnoteRef/>
      </w:r>
      <w:r>
        <w:t xml:space="preserve"> Based on ~</w:t>
      </w:r>
      <w:r w:rsidR="009F7AAC">
        <w:t>7</w:t>
      </w:r>
      <w:r>
        <w:t>0 top-selling gasoline models excluding hybrids, which composed &gt;7</w:t>
      </w:r>
      <w:r w:rsidR="00E11FB4">
        <w:t>5</w:t>
      </w:r>
      <w:r>
        <w:t>% of all sales in each model year.</w:t>
      </w:r>
    </w:p>
  </w:footnote>
  <w:footnote w:id="25">
    <w:p w14:paraId="09E510C7" w14:textId="4FC9BD90" w:rsidR="00D50530" w:rsidRDefault="00D50530" w:rsidP="007933B8">
      <w:pPr>
        <w:pStyle w:val="FootnoteText"/>
        <w:spacing w:after="120"/>
      </w:pPr>
      <w:r w:rsidRPr="001E5E83">
        <w:rPr>
          <w:rStyle w:val="FootnoteReference"/>
        </w:rPr>
        <w:footnoteRef/>
      </w:r>
      <w:r>
        <w:t xml:space="preserve"> Hybrid/Gasoline mix based on 2021 data (the first </w:t>
      </w:r>
      <w:r w:rsidR="003B6BBE">
        <w:t xml:space="preserve">year </w:t>
      </w:r>
      <w:r>
        <w:t>of data available).</w:t>
      </w:r>
    </w:p>
  </w:footnote>
  <w:footnote w:id="26">
    <w:p w14:paraId="32076172" w14:textId="5D670BCA" w:rsidR="00A92704" w:rsidRPr="00106ED5" w:rsidRDefault="00A92704" w:rsidP="00A92704">
      <w:pPr>
        <w:pStyle w:val="FootnoteText"/>
      </w:pPr>
      <w:r w:rsidRPr="001E5E83">
        <w:rPr>
          <w:rStyle w:val="FootnoteReference"/>
        </w:rPr>
        <w:footnoteRef/>
      </w:r>
      <w:r>
        <w:t xml:space="preserve"> Cohort average vehicles as applied to survey non-respondents. </w:t>
      </w:r>
    </w:p>
  </w:footnote>
  <w:footnote w:id="27">
    <w:p w14:paraId="3502DAB0" w14:textId="6BF5867B" w:rsidR="00D735A8" w:rsidRDefault="00D735A8">
      <w:pPr>
        <w:pStyle w:val="FootnoteText"/>
      </w:pPr>
      <w:r w:rsidRPr="001E5E83">
        <w:rPr>
          <w:rStyle w:val="FootnoteReference"/>
        </w:rPr>
        <w:footnoteRef/>
      </w:r>
      <w:r>
        <w:t xml:space="preserve"> </w:t>
      </w:r>
      <w:r w:rsidR="00A57E33">
        <w:t>Additional literature-derived sensitivity tests</w:t>
      </w:r>
      <w:r w:rsidR="00747EFD">
        <w:t xml:space="preserve"> on vehicle and fuel inputs, as well as tests on rebate influence estimation</w:t>
      </w:r>
      <w:r w:rsidR="00904AD0">
        <w:t xml:space="preserve"> can be found in </w:t>
      </w:r>
      <w:r w:rsidR="00AC71ED">
        <w:t xml:space="preserve">precursor </w:t>
      </w:r>
      <w:r w:rsidR="00904AD0">
        <w:t>work</w:t>
      </w:r>
      <w:r w:rsidR="00A57E33">
        <w:t xml:space="preserve"> </w:t>
      </w:r>
      <w:r w:rsidR="00CC2237">
        <w:fldChar w:fldCharType="begin"/>
      </w:r>
      <w:r w:rsidR="00CC2237">
        <w:instrText xml:space="preserve"> ADDIN ZOTERO_ITEM CSL_CITATION {"citationID":"lj3mJbod","properties":{"formattedCitation":"(Pallonetti et al., 2024)","plainCitation":"(Pallonetti et al., 2024)","noteIndex":25},"citationItems":[{"id":168,"uris":["http://zotero.org/users/10659083/items/KYVLQ4DC"],"itemData":{"id":168,"type":"report","event-place":"Sacramento CA, USA","license":"California Air Resources Board","publisher":"Center for Sustainable Energy","publisher-place":"Sacramento CA, USA","title":"CVRP Greenhouse Gas Emission Reductions and Cost-Effectiveness: 2022 Purchases/Leases","URL":"https://cleanvehiclerebate.org/sites/default/files/attachments/CVRP-2022-GHG-Cost-Effectiveness.pdf","author":[{"family":"Pallonetti","given":"Nicholas"},{"family":"Williams","given":"Brett D.H."},{"family":"Sa","given":"Boyang"}],"issued":{"date-parts":[["2024",12]]}}}],"schema":"https://github.com/citation-style-language/schema/raw/master/csl-citation.json"} </w:instrText>
      </w:r>
      <w:r w:rsidR="00CC2237">
        <w:fldChar w:fldCharType="separate"/>
      </w:r>
      <w:r w:rsidR="00CC2237" w:rsidRPr="00CC2237">
        <w:rPr>
          <w:rFonts w:cs="Calibri"/>
        </w:rPr>
        <w:t>(Pallonetti et al., 2024)</w:t>
      </w:r>
      <w:r w:rsidR="00CC2237">
        <w:fldChar w:fldCharType="end"/>
      </w:r>
      <w:r w:rsidR="00A57E33">
        <w:t>.</w:t>
      </w:r>
      <w:r w:rsidR="00904AD0">
        <w:t xml:space="preserve"> Additional sensitivity </w:t>
      </w:r>
      <w:r w:rsidR="00687C69">
        <w:t xml:space="preserve">analysis on counterfactual behavior input values </w:t>
      </w:r>
      <w:r w:rsidR="000331B8">
        <w:t xml:space="preserve">will be provided in forthcoming work characterizing the GHG cost-effectiveness of CVRP </w:t>
      </w:r>
      <w:r w:rsidR="00EF5820">
        <w:t>in 2023.</w:t>
      </w:r>
    </w:p>
  </w:footnote>
  <w:footnote w:id="28">
    <w:p w14:paraId="7F5ED7D9" w14:textId="21802529" w:rsidR="005E6ADA" w:rsidRDefault="005E6ADA" w:rsidP="005E6ADA">
      <w:pPr>
        <w:pStyle w:val="FootnoteText"/>
      </w:pPr>
      <w:r w:rsidRPr="001E5E83">
        <w:rPr>
          <w:rStyle w:val="FootnoteReference"/>
        </w:rPr>
        <w:footnoteRef/>
      </w:r>
      <w:r>
        <w:t xml:space="preserve"> </w:t>
      </w:r>
      <w:r w:rsidR="00814D62">
        <w:t>Q</w:t>
      </w:r>
      <w:r>
        <w:t xml:space="preserve">uestion  and response options </w:t>
      </w:r>
      <w:r w:rsidR="00601FF6">
        <w:t xml:space="preserve">across survey editions </w:t>
      </w:r>
      <w:r w:rsidR="00AB26A3">
        <w:t>can be found in forthcoming survey documentation</w:t>
      </w:r>
      <w:r>
        <w:t xml:space="preserve">. </w:t>
      </w:r>
    </w:p>
  </w:footnote>
  <w:footnote w:id="29">
    <w:p w14:paraId="72F32ED6" w14:textId="01C432B8" w:rsidR="00CD0B1F" w:rsidRDefault="00CD0B1F">
      <w:pPr>
        <w:pStyle w:val="FootnoteText"/>
      </w:pPr>
      <w:r w:rsidRPr="001E5E83">
        <w:rPr>
          <w:rStyle w:val="FootnoteReference"/>
        </w:rPr>
        <w:footnoteRef/>
      </w:r>
      <w:r>
        <w:t xml:space="preserve"> </w:t>
      </w:r>
      <w:r w:rsidR="00F53746">
        <w:t xml:space="preserve">Assuming </w:t>
      </w:r>
      <w:r w:rsidR="005E2F04">
        <w:t>d</w:t>
      </w:r>
      <w:r w:rsidR="004A6BDF">
        <w:t xml:space="preserve">aily VMT </w:t>
      </w:r>
      <w:r w:rsidR="00F53746">
        <w:t xml:space="preserve">equals </w:t>
      </w:r>
      <w:r w:rsidR="00EA4565">
        <w:t xml:space="preserve">1/365th of </w:t>
      </w:r>
      <w:r w:rsidR="00F53746">
        <w:t>annual VMT</w:t>
      </w:r>
      <w:r w:rsidR="0005327C">
        <w:t>.</w:t>
      </w:r>
      <w:r w:rsidR="003167CB">
        <w:t xml:space="preserve"> </w:t>
      </w:r>
      <w:r w:rsidR="0005327C">
        <w:t>D</w:t>
      </w:r>
      <w:r w:rsidR="00B06085">
        <w:t xml:space="preserve">aily electric VMT </w:t>
      </w:r>
      <w:r w:rsidR="00864CBE">
        <w:t xml:space="preserve">for PHEVs </w:t>
      </w:r>
      <w:r w:rsidR="0043199A">
        <w:t xml:space="preserve">is </w:t>
      </w:r>
      <w:r w:rsidR="00066923">
        <w:t xml:space="preserve">calculated with </w:t>
      </w:r>
      <w:r w:rsidR="00864CBE">
        <w:t xml:space="preserve">the </w:t>
      </w:r>
      <w:r w:rsidR="00066923">
        <w:t xml:space="preserve">model-specific </w:t>
      </w:r>
      <w:r w:rsidR="00864CBE">
        <w:t>utility factor</w:t>
      </w:r>
      <w:r w:rsidR="004E18CA">
        <w:t>.</w:t>
      </w:r>
      <w:r w:rsidR="00F53746">
        <w:t xml:space="preserve"> </w:t>
      </w:r>
      <w:r w:rsidR="004E18CA">
        <w:t>D</w:t>
      </w:r>
      <w:r w:rsidR="004D700E">
        <w:t xml:space="preserve">aily </w:t>
      </w:r>
      <w:r w:rsidR="00F624C6">
        <w:t xml:space="preserve">electric </w:t>
      </w:r>
      <w:r w:rsidR="00C96534">
        <w:t xml:space="preserve">VMT </w:t>
      </w:r>
      <w:r w:rsidR="008E01E3">
        <w:t xml:space="preserve">quantified with </w:t>
      </w:r>
      <w:r w:rsidR="004A6BDF">
        <w:t>solar</w:t>
      </w:r>
      <w:r w:rsidR="00FE0233">
        <w:t xml:space="preserve"> charging </w:t>
      </w:r>
      <w:r w:rsidR="006D6054">
        <w:t>was</w:t>
      </w:r>
      <w:r w:rsidR="00FE0233">
        <w:t xml:space="preserve"> capped at </w:t>
      </w:r>
      <w:r w:rsidR="00245DF8">
        <w:t xml:space="preserve">each vehicle’s model-specific </w:t>
      </w:r>
      <w:r w:rsidR="00116EC5">
        <w:t xml:space="preserve">electric </w:t>
      </w:r>
      <w:r w:rsidR="00245DF8">
        <w:t>range</w:t>
      </w:r>
      <w:r w:rsidR="00113C48">
        <w:t xml:space="preserve">, </w:t>
      </w:r>
      <w:r w:rsidR="0041135C">
        <w:t xml:space="preserve">though this was non-binding </w:t>
      </w:r>
      <w:r w:rsidR="0033086A">
        <w:t>in</w:t>
      </w:r>
      <w:r w:rsidR="0041135C">
        <w:t xml:space="preserve"> all </w:t>
      </w:r>
      <w:r w:rsidR="0033086A">
        <w:t>cases</w:t>
      </w:r>
      <w:r w:rsidR="00E9426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D9C8C" w14:textId="13C959A8" w:rsidR="00702A66" w:rsidRDefault="00702A66">
    <w:pPr>
      <w:pStyle w:val="Footer"/>
      <w:tabs>
        <w:tab w:val="clear" w:pos="9360"/>
        <w:tab w:val="left" w:pos="8296"/>
        <w:tab w:val="right" w:pos="93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9152" w14:textId="70D1C515" w:rsidR="00702A66" w:rsidRDefault="004110ED" w:rsidP="7ACA0E52">
    <w:pPr>
      <w:pStyle w:val="HeaderFooter"/>
    </w:pPr>
    <w:r>
      <w:rPr>
        <w:noProof/>
      </w:rPr>
      <mc:AlternateContent>
        <mc:Choice Requires="wps">
          <w:drawing>
            <wp:anchor distT="152400" distB="152400" distL="152400" distR="152400" simplePos="0" relativeHeight="251658241" behindDoc="1" locked="0" layoutInCell="1" allowOverlap="1" wp14:anchorId="212C652A" wp14:editId="78D9AEC6">
              <wp:simplePos x="0" y="0"/>
              <wp:positionH relativeFrom="page">
                <wp:posOffset>7018019</wp:posOffset>
              </wp:positionH>
              <wp:positionV relativeFrom="page">
                <wp:posOffset>9309100</wp:posOffset>
              </wp:positionV>
              <wp:extent cx="314961" cy="299085"/>
              <wp:effectExtent l="0" t="0" r="0" b="0"/>
              <wp:wrapNone/>
              <wp:docPr id="1073741826" name="Text Box 1073741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4961" cy="299085"/>
                      </a:xfrm>
                      <a:prstGeom prst="rect">
                        <a:avLst/>
                      </a:prstGeom>
                      <a:noFill/>
                      <a:ln w="12700" cap="flat">
                        <a:noFill/>
                        <a:miter lim="400000"/>
                      </a:ln>
                      <a:effectLst/>
                    </wps:spPr>
                    <wps:txbx>
                      <w:txbxContent>
                        <w:p w14:paraId="568152F2" w14:textId="77777777" w:rsidR="00702A66" w:rsidRDefault="004110ED">
                          <w:pPr>
                            <w:pStyle w:val="Body"/>
                            <w:jc w:val="center"/>
                          </w:pPr>
                          <w:r>
                            <w:rPr>
                              <w:color w:val="314B5A"/>
                              <w:sz w:val="20"/>
                              <w:szCs w:val="20"/>
                              <w:u w:color="314B5A"/>
                            </w:rPr>
                            <w:fldChar w:fldCharType="begin"/>
                          </w:r>
                          <w:r>
                            <w:rPr>
                              <w:color w:val="314B5A"/>
                              <w:sz w:val="20"/>
                              <w:szCs w:val="20"/>
                              <w:u w:color="314B5A"/>
                            </w:rPr>
                            <w:instrText xml:space="preserve"> PAGE </w:instrText>
                          </w:r>
                          <w:r>
                            <w:rPr>
                              <w:color w:val="314B5A"/>
                              <w:sz w:val="20"/>
                              <w:szCs w:val="20"/>
                              <w:u w:color="314B5A"/>
                            </w:rPr>
                            <w:fldChar w:fldCharType="separate"/>
                          </w:r>
                          <w:r>
                            <w:rPr>
                              <w:color w:val="314B5A"/>
                              <w:sz w:val="20"/>
                              <w:szCs w:val="20"/>
                              <w:u w:color="314B5A"/>
                            </w:rPr>
                            <w:t>1</w:t>
                          </w:r>
                          <w:r>
                            <w:rPr>
                              <w:color w:val="314B5A"/>
                              <w:sz w:val="20"/>
                              <w:szCs w:val="20"/>
                              <w:u w:color="314B5A"/>
                            </w:rPr>
                            <w:fldChar w:fldCharType="end"/>
                          </w:r>
                        </w:p>
                      </w:txbxContent>
                    </wps:txbx>
                    <wps:bodyPr wrap="square" lIns="45719" tIns="45719" rIns="45719" bIns="45719" numCol="1" anchor="t">
                      <a:noAutofit/>
                    </wps:bodyPr>
                  </wps:wsp>
                </a:graphicData>
              </a:graphic>
            </wp:anchor>
          </w:drawing>
        </mc:Choice>
        <mc:Fallback xmlns:arto="http://schemas.microsoft.com/office/word/2006/arto" xmlns:adec="http://schemas.microsoft.com/office/drawing/2017/decorative" xmlns:a="http://schemas.openxmlformats.org/drawingml/2006/main">
          <w:pict>
            <v:shapetype id="_x0000_t202" coordsize="21600,21600" o:spt="202" path="m,l,21600r21600,l21600,xe" w14:anchorId="212C652A">
              <v:stroke joinstyle="miter"/>
              <v:path gradientshapeok="t" o:connecttype="rect"/>
            </v:shapetype>
            <v:shape id="Text Box 1073741826" style="position:absolute;margin-left:552.6pt;margin-top:733pt;width:24.8pt;height:23.55pt;z-index:-251658239;visibility:visible;mso-wrap-style:square;mso-wrap-distance-left:12pt;mso-wrap-distance-top:12pt;mso-wrap-distance-right:12pt;mso-wrap-distance-bottom:12pt;mso-position-horizontal:absolute;mso-position-horizontal-relative:page;mso-position-vertical:absolute;mso-position-vertical-relative:page;v-text-anchor:top" alt="&quot;&quot;" o:spid="_x0000_s1027"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">
              <v:stroke miterlimit="4"/>
              <v:textbox inset="1.27mm,1.27mm,1.27mm,1.27mm">
                <w:txbxContent>
                  <w:p w:rsidR="00702A66" w:rsidRDefault="004110ED" w14:paraId="568152F2" w14:textId="77777777">
                    <w:pPr>
                      <w:pStyle w:val="Body"/>
                      <w:jc w:val="center"/>
                    </w:pPr>
                    <w:r>
                      <w:rPr>
                        <w:color w:val="314B5A"/>
                        <w:sz w:val="20"/>
                        <w:szCs w:val="20"/>
                        <w:u w:color="314B5A"/>
                      </w:rPr>
                      <w:fldChar w:fldCharType="begin"/>
                    </w:r>
                    <w:r>
                      <w:rPr>
                        <w:color w:val="314B5A"/>
                        <w:sz w:val="20"/>
                        <w:szCs w:val="20"/>
                        <w:u w:color="314B5A"/>
                      </w:rPr>
                      <w:instrText xml:space="preserve"> PAGE </w:instrText>
                    </w:r>
                    <w:r>
                      <w:rPr>
                        <w:color w:val="314B5A"/>
                        <w:sz w:val="20"/>
                        <w:szCs w:val="20"/>
                        <w:u w:color="314B5A"/>
                      </w:rPr>
                      <w:fldChar w:fldCharType="separate"/>
                    </w:r>
                    <w:r>
                      <w:rPr>
                        <w:color w:val="314B5A"/>
                        <w:sz w:val="20"/>
                        <w:szCs w:val="20"/>
                        <w:u w:color="314B5A"/>
                      </w:rPr>
                      <w:t>1</w:t>
                    </w:r>
                    <w:r>
                      <w:rPr>
                        <w:color w:val="314B5A"/>
                        <w:sz w:val="20"/>
                        <w:szCs w:val="20"/>
                        <w:u w:color="314B5A"/>
                      </w:rPr>
                      <w:fldChar w:fldCharType="end"/>
                    </w:r>
                  </w:p>
                </w:txbxContent>
              </v:textbox>
              <w10:wrap anchorx="page" anchory="page"/>
            </v:shape>
          </w:pict>
        </mc:Fallback>
      </mc:AlternateContent>
    </w:r>
    <w:r>
      <w:rPr>
        <w:noProof/>
      </w:rPr>
      <mc:AlternateContent>
        <mc:Choice Requires="wps">
          <w:drawing>
            <wp:anchor distT="152400" distB="152400" distL="152400" distR="152400" simplePos="0" relativeHeight="251658242" behindDoc="1" locked="0" layoutInCell="1" allowOverlap="1" wp14:anchorId="72549844" wp14:editId="5212E68D">
              <wp:simplePos x="0" y="0"/>
              <wp:positionH relativeFrom="page">
                <wp:posOffset>2572212</wp:posOffset>
              </wp:positionH>
              <wp:positionV relativeFrom="page">
                <wp:posOffset>9310935</wp:posOffset>
              </wp:positionV>
              <wp:extent cx="4306137" cy="299085"/>
              <wp:effectExtent l="0" t="0" r="0" b="0"/>
              <wp:wrapNone/>
              <wp:docPr id="1073741828" name="Text Box 10737418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6137" cy="299085"/>
                      </a:xfrm>
                      <a:prstGeom prst="rect">
                        <a:avLst/>
                      </a:prstGeom>
                      <a:noFill/>
                      <a:ln w="12700" cap="flat">
                        <a:noFill/>
                        <a:miter lim="400000"/>
                      </a:ln>
                      <a:effectLst/>
                    </wps:spPr>
                    <wps:txbx>
                      <w:txbxContent>
                        <w:p w14:paraId="5D481BE8" w14:textId="1FC49DAF" w:rsidR="00702A66" w:rsidRDefault="00D34C7E">
                          <w:pPr>
                            <w:pStyle w:val="Body"/>
                            <w:jc w:val="right"/>
                          </w:pPr>
                          <w:r>
                            <w:rPr>
                              <w:color w:val="314B5A"/>
                              <w:sz w:val="20"/>
                              <w:szCs w:val="20"/>
                              <w:u w:color="314B5A"/>
                            </w:rPr>
                            <w:t xml:space="preserve">CVRP </w:t>
                          </w:r>
                          <w:r w:rsidR="00A94A4B">
                            <w:rPr>
                              <w:color w:val="314B5A"/>
                              <w:sz w:val="20"/>
                              <w:szCs w:val="20"/>
                              <w:u w:color="314B5A"/>
                            </w:rPr>
                            <w:t>GHG Reductions and Cost-Effectiveness</w:t>
                          </w:r>
                        </w:p>
                      </w:txbxContent>
                    </wps:txbx>
                    <wps:bodyPr wrap="square" lIns="45719" tIns="45719" rIns="45719" bIns="45719" numCol="1" anchor="t">
                      <a:noAutofit/>
                    </wps:bodyPr>
                  </wps:wsp>
                </a:graphicData>
              </a:graphic>
            </wp:anchor>
          </w:drawing>
        </mc:Choice>
        <mc:Fallback xmlns:arto="http://schemas.microsoft.com/office/word/2006/arto" xmlns:adec="http://schemas.microsoft.com/office/drawing/2017/decorative" xmlns:a="http://schemas.openxmlformats.org/drawingml/2006/main">
          <w:pict>
            <v:shape id="Text Box 1073741828" style="position:absolute;margin-left:202.55pt;margin-top:733.15pt;width:339.05pt;height:23.55pt;z-index:-251658238;visibility:visible;mso-wrap-style:square;mso-wrap-distance-left:12pt;mso-wrap-distance-top:12pt;mso-wrap-distance-right:12pt;mso-wrap-distance-bottom:12pt;mso-position-horizontal:absolute;mso-position-horizontal-relative:page;mso-position-vertical:absolute;mso-position-vertical-relative:page;v-text-anchor:top" alt="&quot;&quot;" o:spid="_x0000_s1028"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" w14:anchorId="72549844">
              <v:stroke miterlimit="4"/>
              <v:textbox inset="1.27mm,1.27mm,1.27mm,1.27mm">
                <w:txbxContent>
                  <w:p w:rsidR="00702A66" w:rsidRDefault="00D34C7E" w14:paraId="5D481BE8" w14:textId="1FC49DAF">
                    <w:pPr>
                      <w:pStyle w:val="Body"/>
                      <w:jc w:val="right"/>
                    </w:pPr>
                    <w:r>
                      <w:rPr>
                        <w:color w:val="314B5A"/>
                        <w:sz w:val="20"/>
                        <w:szCs w:val="20"/>
                        <w:u w:color="314B5A"/>
                      </w:rPr>
                      <w:t xml:space="preserve">CVRP </w:t>
                    </w:r>
                    <w:r w:rsidR="00A94A4B">
                      <w:rPr>
                        <w:color w:val="314B5A"/>
                        <w:sz w:val="20"/>
                        <w:szCs w:val="20"/>
                        <w:u w:color="314B5A"/>
                      </w:rPr>
                      <w:t>GHG Reductions and Cost-Effectiveness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F66"/>
    <w:multiLevelType w:val="multilevel"/>
    <w:tmpl w:val="601212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B7E41"/>
    <w:multiLevelType w:val="multilevel"/>
    <w:tmpl w:val="B20E62D4"/>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64702"/>
    <w:multiLevelType w:val="multilevel"/>
    <w:tmpl w:val="4F26CCFC"/>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A0992"/>
    <w:multiLevelType w:val="multilevel"/>
    <w:tmpl w:val="0C72D912"/>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8750C2"/>
    <w:multiLevelType w:val="multilevel"/>
    <w:tmpl w:val="C688CA76"/>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42818"/>
    <w:multiLevelType w:val="multilevel"/>
    <w:tmpl w:val="8A3EF206"/>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F3CFB"/>
    <w:multiLevelType w:val="hybridMultilevel"/>
    <w:tmpl w:val="46E2AA64"/>
    <w:lvl w:ilvl="0" w:tplc="A2DEB45C">
      <w:start w:val="1"/>
      <w:numFmt w:val="bullet"/>
      <w:lvlText w:val=""/>
      <w:lvlJc w:val="left"/>
      <w:pPr>
        <w:ind w:left="720" w:hanging="360"/>
      </w:pPr>
      <w:rPr>
        <w:rFonts w:ascii="Symbol" w:hAnsi="Symbol"/>
      </w:rPr>
    </w:lvl>
    <w:lvl w:ilvl="1" w:tplc="5734B872">
      <w:start w:val="1"/>
      <w:numFmt w:val="bullet"/>
      <w:lvlText w:val=""/>
      <w:lvlJc w:val="left"/>
      <w:pPr>
        <w:ind w:left="720" w:hanging="360"/>
      </w:pPr>
      <w:rPr>
        <w:rFonts w:ascii="Symbol" w:hAnsi="Symbol"/>
      </w:rPr>
    </w:lvl>
    <w:lvl w:ilvl="2" w:tplc="0C3CCEEE">
      <w:start w:val="1"/>
      <w:numFmt w:val="bullet"/>
      <w:lvlText w:val=""/>
      <w:lvlJc w:val="left"/>
      <w:pPr>
        <w:ind w:left="720" w:hanging="360"/>
      </w:pPr>
      <w:rPr>
        <w:rFonts w:ascii="Symbol" w:hAnsi="Symbol"/>
      </w:rPr>
    </w:lvl>
    <w:lvl w:ilvl="3" w:tplc="2FF65A62">
      <w:start w:val="1"/>
      <w:numFmt w:val="bullet"/>
      <w:lvlText w:val=""/>
      <w:lvlJc w:val="left"/>
      <w:pPr>
        <w:ind w:left="720" w:hanging="360"/>
      </w:pPr>
      <w:rPr>
        <w:rFonts w:ascii="Symbol" w:hAnsi="Symbol"/>
      </w:rPr>
    </w:lvl>
    <w:lvl w:ilvl="4" w:tplc="BA82B3CA">
      <w:start w:val="1"/>
      <w:numFmt w:val="bullet"/>
      <w:lvlText w:val=""/>
      <w:lvlJc w:val="left"/>
      <w:pPr>
        <w:ind w:left="720" w:hanging="360"/>
      </w:pPr>
      <w:rPr>
        <w:rFonts w:ascii="Symbol" w:hAnsi="Symbol"/>
      </w:rPr>
    </w:lvl>
    <w:lvl w:ilvl="5" w:tplc="BDD8999E">
      <w:start w:val="1"/>
      <w:numFmt w:val="bullet"/>
      <w:lvlText w:val=""/>
      <w:lvlJc w:val="left"/>
      <w:pPr>
        <w:ind w:left="720" w:hanging="360"/>
      </w:pPr>
      <w:rPr>
        <w:rFonts w:ascii="Symbol" w:hAnsi="Symbol"/>
      </w:rPr>
    </w:lvl>
    <w:lvl w:ilvl="6" w:tplc="D3003EEC">
      <w:start w:val="1"/>
      <w:numFmt w:val="bullet"/>
      <w:lvlText w:val=""/>
      <w:lvlJc w:val="left"/>
      <w:pPr>
        <w:ind w:left="720" w:hanging="360"/>
      </w:pPr>
      <w:rPr>
        <w:rFonts w:ascii="Symbol" w:hAnsi="Symbol"/>
      </w:rPr>
    </w:lvl>
    <w:lvl w:ilvl="7" w:tplc="6536404C">
      <w:start w:val="1"/>
      <w:numFmt w:val="bullet"/>
      <w:lvlText w:val=""/>
      <w:lvlJc w:val="left"/>
      <w:pPr>
        <w:ind w:left="720" w:hanging="360"/>
      </w:pPr>
      <w:rPr>
        <w:rFonts w:ascii="Symbol" w:hAnsi="Symbol"/>
      </w:rPr>
    </w:lvl>
    <w:lvl w:ilvl="8" w:tplc="2542C732">
      <w:start w:val="1"/>
      <w:numFmt w:val="bullet"/>
      <w:lvlText w:val=""/>
      <w:lvlJc w:val="left"/>
      <w:pPr>
        <w:ind w:left="720" w:hanging="360"/>
      </w:pPr>
      <w:rPr>
        <w:rFonts w:ascii="Symbol" w:hAnsi="Symbol"/>
      </w:rPr>
    </w:lvl>
  </w:abstractNum>
  <w:abstractNum w:abstractNumId="7" w15:restartNumberingAfterBreak="0">
    <w:nsid w:val="308051A5"/>
    <w:multiLevelType w:val="multilevel"/>
    <w:tmpl w:val="89C0207E"/>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54E25"/>
    <w:multiLevelType w:val="hybridMultilevel"/>
    <w:tmpl w:val="D8F01746"/>
    <w:lvl w:ilvl="0" w:tplc="7E805CE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94172D"/>
    <w:multiLevelType w:val="multilevel"/>
    <w:tmpl w:val="40740910"/>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882BE4"/>
    <w:multiLevelType w:val="hybridMultilevel"/>
    <w:tmpl w:val="05F859C4"/>
    <w:styleLink w:val="ImportedStyle6"/>
    <w:lvl w:ilvl="0" w:tplc="16BEE8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1CFD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5478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481FB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F24D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E6E9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7061A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8E50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56829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7B24688"/>
    <w:multiLevelType w:val="hybridMultilevel"/>
    <w:tmpl w:val="3BFCBC5E"/>
    <w:lvl w:ilvl="0" w:tplc="DF148EF4">
      <w:start w:val="1"/>
      <w:numFmt w:val="bullet"/>
      <w:lvlText w:val=""/>
      <w:lvlJc w:val="left"/>
      <w:pPr>
        <w:ind w:left="1440" w:hanging="360"/>
      </w:pPr>
      <w:rPr>
        <w:rFonts w:ascii="Symbol" w:hAnsi="Symbol"/>
      </w:rPr>
    </w:lvl>
    <w:lvl w:ilvl="1" w:tplc="9976AD16">
      <w:start w:val="1"/>
      <w:numFmt w:val="bullet"/>
      <w:lvlText w:val=""/>
      <w:lvlJc w:val="left"/>
      <w:pPr>
        <w:ind w:left="1440" w:hanging="360"/>
      </w:pPr>
      <w:rPr>
        <w:rFonts w:ascii="Symbol" w:hAnsi="Symbol"/>
      </w:rPr>
    </w:lvl>
    <w:lvl w:ilvl="2" w:tplc="D042F040">
      <w:start w:val="1"/>
      <w:numFmt w:val="bullet"/>
      <w:lvlText w:val=""/>
      <w:lvlJc w:val="left"/>
      <w:pPr>
        <w:ind w:left="1440" w:hanging="360"/>
      </w:pPr>
      <w:rPr>
        <w:rFonts w:ascii="Symbol" w:hAnsi="Symbol"/>
      </w:rPr>
    </w:lvl>
    <w:lvl w:ilvl="3" w:tplc="72EAFA3C">
      <w:start w:val="1"/>
      <w:numFmt w:val="bullet"/>
      <w:lvlText w:val=""/>
      <w:lvlJc w:val="left"/>
      <w:pPr>
        <w:ind w:left="1440" w:hanging="360"/>
      </w:pPr>
      <w:rPr>
        <w:rFonts w:ascii="Symbol" w:hAnsi="Symbol"/>
      </w:rPr>
    </w:lvl>
    <w:lvl w:ilvl="4" w:tplc="613CA9D2">
      <w:start w:val="1"/>
      <w:numFmt w:val="bullet"/>
      <w:lvlText w:val=""/>
      <w:lvlJc w:val="left"/>
      <w:pPr>
        <w:ind w:left="1440" w:hanging="360"/>
      </w:pPr>
      <w:rPr>
        <w:rFonts w:ascii="Symbol" w:hAnsi="Symbol"/>
      </w:rPr>
    </w:lvl>
    <w:lvl w:ilvl="5" w:tplc="54581440">
      <w:start w:val="1"/>
      <w:numFmt w:val="bullet"/>
      <w:lvlText w:val=""/>
      <w:lvlJc w:val="left"/>
      <w:pPr>
        <w:ind w:left="1440" w:hanging="360"/>
      </w:pPr>
      <w:rPr>
        <w:rFonts w:ascii="Symbol" w:hAnsi="Symbol"/>
      </w:rPr>
    </w:lvl>
    <w:lvl w:ilvl="6" w:tplc="2D441322">
      <w:start w:val="1"/>
      <w:numFmt w:val="bullet"/>
      <w:lvlText w:val=""/>
      <w:lvlJc w:val="left"/>
      <w:pPr>
        <w:ind w:left="1440" w:hanging="360"/>
      </w:pPr>
      <w:rPr>
        <w:rFonts w:ascii="Symbol" w:hAnsi="Symbol"/>
      </w:rPr>
    </w:lvl>
    <w:lvl w:ilvl="7" w:tplc="3F96B3B8">
      <w:start w:val="1"/>
      <w:numFmt w:val="bullet"/>
      <w:lvlText w:val=""/>
      <w:lvlJc w:val="left"/>
      <w:pPr>
        <w:ind w:left="1440" w:hanging="360"/>
      </w:pPr>
      <w:rPr>
        <w:rFonts w:ascii="Symbol" w:hAnsi="Symbol"/>
      </w:rPr>
    </w:lvl>
    <w:lvl w:ilvl="8" w:tplc="3B48C7E6">
      <w:start w:val="1"/>
      <w:numFmt w:val="bullet"/>
      <w:lvlText w:val=""/>
      <w:lvlJc w:val="left"/>
      <w:pPr>
        <w:ind w:left="1440" w:hanging="360"/>
      </w:pPr>
      <w:rPr>
        <w:rFonts w:ascii="Symbol" w:hAnsi="Symbol"/>
      </w:rPr>
    </w:lvl>
  </w:abstractNum>
  <w:abstractNum w:abstractNumId="12" w15:restartNumberingAfterBreak="0">
    <w:nsid w:val="496C7455"/>
    <w:multiLevelType w:val="hybridMultilevel"/>
    <w:tmpl w:val="811C8378"/>
    <w:lvl w:ilvl="0" w:tplc="FCBAF1BA">
      <w:start w:val="1"/>
      <w:numFmt w:val="bullet"/>
      <w:lvlText w:val=""/>
      <w:lvlJc w:val="left"/>
      <w:pPr>
        <w:ind w:left="1440" w:hanging="360"/>
      </w:pPr>
      <w:rPr>
        <w:rFonts w:ascii="Symbol" w:hAnsi="Symbol"/>
      </w:rPr>
    </w:lvl>
    <w:lvl w:ilvl="1" w:tplc="1A34A4DE">
      <w:start w:val="1"/>
      <w:numFmt w:val="bullet"/>
      <w:lvlText w:val=""/>
      <w:lvlJc w:val="left"/>
      <w:pPr>
        <w:ind w:left="1440" w:hanging="360"/>
      </w:pPr>
      <w:rPr>
        <w:rFonts w:ascii="Symbol" w:hAnsi="Symbol"/>
      </w:rPr>
    </w:lvl>
    <w:lvl w:ilvl="2" w:tplc="6FA0B75A">
      <w:start w:val="1"/>
      <w:numFmt w:val="bullet"/>
      <w:lvlText w:val=""/>
      <w:lvlJc w:val="left"/>
      <w:pPr>
        <w:ind w:left="1440" w:hanging="360"/>
      </w:pPr>
      <w:rPr>
        <w:rFonts w:ascii="Symbol" w:hAnsi="Symbol"/>
      </w:rPr>
    </w:lvl>
    <w:lvl w:ilvl="3" w:tplc="654812FC">
      <w:start w:val="1"/>
      <w:numFmt w:val="bullet"/>
      <w:lvlText w:val=""/>
      <w:lvlJc w:val="left"/>
      <w:pPr>
        <w:ind w:left="1440" w:hanging="360"/>
      </w:pPr>
      <w:rPr>
        <w:rFonts w:ascii="Symbol" w:hAnsi="Symbol"/>
      </w:rPr>
    </w:lvl>
    <w:lvl w:ilvl="4" w:tplc="BEC4FF9A">
      <w:start w:val="1"/>
      <w:numFmt w:val="bullet"/>
      <w:lvlText w:val=""/>
      <w:lvlJc w:val="left"/>
      <w:pPr>
        <w:ind w:left="1440" w:hanging="360"/>
      </w:pPr>
      <w:rPr>
        <w:rFonts w:ascii="Symbol" w:hAnsi="Symbol"/>
      </w:rPr>
    </w:lvl>
    <w:lvl w:ilvl="5" w:tplc="7CE283E0">
      <w:start w:val="1"/>
      <w:numFmt w:val="bullet"/>
      <w:lvlText w:val=""/>
      <w:lvlJc w:val="left"/>
      <w:pPr>
        <w:ind w:left="1440" w:hanging="360"/>
      </w:pPr>
      <w:rPr>
        <w:rFonts w:ascii="Symbol" w:hAnsi="Symbol"/>
      </w:rPr>
    </w:lvl>
    <w:lvl w:ilvl="6" w:tplc="A70A98E8">
      <w:start w:val="1"/>
      <w:numFmt w:val="bullet"/>
      <w:lvlText w:val=""/>
      <w:lvlJc w:val="left"/>
      <w:pPr>
        <w:ind w:left="1440" w:hanging="360"/>
      </w:pPr>
      <w:rPr>
        <w:rFonts w:ascii="Symbol" w:hAnsi="Symbol"/>
      </w:rPr>
    </w:lvl>
    <w:lvl w:ilvl="7" w:tplc="79B465DC">
      <w:start w:val="1"/>
      <w:numFmt w:val="bullet"/>
      <w:lvlText w:val=""/>
      <w:lvlJc w:val="left"/>
      <w:pPr>
        <w:ind w:left="1440" w:hanging="360"/>
      </w:pPr>
      <w:rPr>
        <w:rFonts w:ascii="Symbol" w:hAnsi="Symbol"/>
      </w:rPr>
    </w:lvl>
    <w:lvl w:ilvl="8" w:tplc="248A0374">
      <w:start w:val="1"/>
      <w:numFmt w:val="bullet"/>
      <w:lvlText w:val=""/>
      <w:lvlJc w:val="left"/>
      <w:pPr>
        <w:ind w:left="1440" w:hanging="360"/>
      </w:pPr>
      <w:rPr>
        <w:rFonts w:ascii="Symbol" w:hAnsi="Symbol"/>
      </w:rPr>
    </w:lvl>
  </w:abstractNum>
  <w:abstractNum w:abstractNumId="13" w15:restartNumberingAfterBreak="0">
    <w:nsid w:val="4A0912AF"/>
    <w:multiLevelType w:val="multilevel"/>
    <w:tmpl w:val="FEE06A5A"/>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720"/>
        </w:tabs>
        <w:ind w:left="72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start w:val="1"/>
      <w:numFmt w:val="bullet"/>
      <w:lvlText w:val=""/>
      <w:lvlJc w:val="left"/>
      <w:pPr>
        <w:tabs>
          <w:tab w:val="num" w:pos="720"/>
        </w:tabs>
        <w:ind w:left="720" w:hanging="360"/>
      </w:pPr>
      <w:rPr>
        <w:rFonts w:ascii="Wingdings" w:hAnsi="Wingdings" w:hint="default"/>
        <w:sz w:val="20"/>
      </w:rPr>
    </w:lvl>
    <w:lvl w:ilvl="5">
      <w:start w:val="1"/>
      <w:numFmt w:val="bullet"/>
      <w:lvlText w:val=""/>
      <w:lvlJc w:val="left"/>
      <w:pPr>
        <w:tabs>
          <w:tab w:val="num" w:pos="720"/>
        </w:tabs>
        <w:ind w:left="720" w:hanging="360"/>
      </w:pPr>
      <w:rPr>
        <w:rFonts w:ascii="Wingdings" w:hAnsi="Wingdings" w:hint="default"/>
        <w:sz w:val="20"/>
      </w:rPr>
    </w:lvl>
    <w:lvl w:ilvl="6">
      <w:start w:val="1"/>
      <w:numFmt w:val="bullet"/>
      <w:lvlText w:val=""/>
      <w:lvlJc w:val="left"/>
      <w:pPr>
        <w:tabs>
          <w:tab w:val="num" w:pos="720"/>
        </w:tabs>
        <w:ind w:left="720" w:hanging="360"/>
      </w:pPr>
      <w:rPr>
        <w:rFonts w:ascii="Wingdings" w:hAnsi="Wingdings" w:hint="default"/>
        <w:sz w:val="20"/>
      </w:rPr>
    </w:lvl>
    <w:lvl w:ilvl="7">
      <w:start w:val="1"/>
      <w:numFmt w:val="bullet"/>
      <w:lvlText w:val=""/>
      <w:lvlJc w:val="left"/>
      <w:pPr>
        <w:tabs>
          <w:tab w:val="num" w:pos="720"/>
        </w:tabs>
        <w:ind w:left="720" w:hanging="360"/>
      </w:pPr>
      <w:rPr>
        <w:rFonts w:ascii="Wingdings" w:hAnsi="Wingdings" w:hint="default"/>
        <w:sz w:val="20"/>
      </w:rPr>
    </w:lvl>
    <w:lvl w:ilvl="8">
      <w:start w:val="1"/>
      <w:numFmt w:val="bullet"/>
      <w:lvlText w:val=""/>
      <w:lvlJc w:val="left"/>
      <w:pPr>
        <w:tabs>
          <w:tab w:val="num" w:pos="720"/>
        </w:tabs>
        <w:ind w:left="720" w:hanging="360"/>
      </w:pPr>
      <w:rPr>
        <w:rFonts w:ascii="Wingdings" w:hAnsi="Wingdings" w:hint="default"/>
        <w:sz w:val="20"/>
      </w:rPr>
    </w:lvl>
  </w:abstractNum>
  <w:abstractNum w:abstractNumId="14" w15:restartNumberingAfterBreak="0">
    <w:nsid w:val="4BAC570B"/>
    <w:multiLevelType w:val="hybridMultilevel"/>
    <w:tmpl w:val="30EA0264"/>
    <w:lvl w:ilvl="0" w:tplc="F812500C">
      <w:start w:val="1"/>
      <w:numFmt w:val="bullet"/>
      <w:lvlText w:val=""/>
      <w:lvlJc w:val="left"/>
      <w:pPr>
        <w:ind w:left="1440" w:hanging="360"/>
      </w:pPr>
      <w:rPr>
        <w:rFonts w:ascii="Symbol" w:hAnsi="Symbol"/>
      </w:rPr>
    </w:lvl>
    <w:lvl w:ilvl="1" w:tplc="3FFE6250">
      <w:start w:val="1"/>
      <w:numFmt w:val="bullet"/>
      <w:lvlText w:val=""/>
      <w:lvlJc w:val="left"/>
      <w:pPr>
        <w:ind w:left="1440" w:hanging="360"/>
      </w:pPr>
      <w:rPr>
        <w:rFonts w:ascii="Symbol" w:hAnsi="Symbol"/>
      </w:rPr>
    </w:lvl>
    <w:lvl w:ilvl="2" w:tplc="2B9ED3C0">
      <w:start w:val="1"/>
      <w:numFmt w:val="bullet"/>
      <w:lvlText w:val=""/>
      <w:lvlJc w:val="left"/>
      <w:pPr>
        <w:ind w:left="1440" w:hanging="360"/>
      </w:pPr>
      <w:rPr>
        <w:rFonts w:ascii="Symbol" w:hAnsi="Symbol"/>
      </w:rPr>
    </w:lvl>
    <w:lvl w:ilvl="3" w:tplc="02E0A606">
      <w:start w:val="1"/>
      <w:numFmt w:val="bullet"/>
      <w:lvlText w:val=""/>
      <w:lvlJc w:val="left"/>
      <w:pPr>
        <w:ind w:left="1440" w:hanging="360"/>
      </w:pPr>
      <w:rPr>
        <w:rFonts w:ascii="Symbol" w:hAnsi="Symbol"/>
      </w:rPr>
    </w:lvl>
    <w:lvl w:ilvl="4" w:tplc="BD4CC260">
      <w:start w:val="1"/>
      <w:numFmt w:val="bullet"/>
      <w:lvlText w:val=""/>
      <w:lvlJc w:val="left"/>
      <w:pPr>
        <w:ind w:left="1440" w:hanging="360"/>
      </w:pPr>
      <w:rPr>
        <w:rFonts w:ascii="Symbol" w:hAnsi="Symbol"/>
      </w:rPr>
    </w:lvl>
    <w:lvl w:ilvl="5" w:tplc="8E723596">
      <w:start w:val="1"/>
      <w:numFmt w:val="bullet"/>
      <w:lvlText w:val=""/>
      <w:lvlJc w:val="left"/>
      <w:pPr>
        <w:ind w:left="1440" w:hanging="360"/>
      </w:pPr>
      <w:rPr>
        <w:rFonts w:ascii="Symbol" w:hAnsi="Symbol"/>
      </w:rPr>
    </w:lvl>
    <w:lvl w:ilvl="6" w:tplc="15641652">
      <w:start w:val="1"/>
      <w:numFmt w:val="bullet"/>
      <w:lvlText w:val=""/>
      <w:lvlJc w:val="left"/>
      <w:pPr>
        <w:ind w:left="1440" w:hanging="360"/>
      </w:pPr>
      <w:rPr>
        <w:rFonts w:ascii="Symbol" w:hAnsi="Symbol"/>
      </w:rPr>
    </w:lvl>
    <w:lvl w:ilvl="7" w:tplc="B550724A">
      <w:start w:val="1"/>
      <w:numFmt w:val="bullet"/>
      <w:lvlText w:val=""/>
      <w:lvlJc w:val="left"/>
      <w:pPr>
        <w:ind w:left="1440" w:hanging="360"/>
      </w:pPr>
      <w:rPr>
        <w:rFonts w:ascii="Symbol" w:hAnsi="Symbol"/>
      </w:rPr>
    </w:lvl>
    <w:lvl w:ilvl="8" w:tplc="2570A266">
      <w:start w:val="1"/>
      <w:numFmt w:val="bullet"/>
      <w:lvlText w:val=""/>
      <w:lvlJc w:val="left"/>
      <w:pPr>
        <w:ind w:left="1440" w:hanging="360"/>
      </w:pPr>
      <w:rPr>
        <w:rFonts w:ascii="Symbol" w:hAnsi="Symbol"/>
      </w:rPr>
    </w:lvl>
  </w:abstractNum>
  <w:abstractNum w:abstractNumId="15" w15:restartNumberingAfterBreak="0">
    <w:nsid w:val="4FF65B94"/>
    <w:multiLevelType w:val="hybridMultilevel"/>
    <w:tmpl w:val="10AAB07A"/>
    <w:styleLink w:val="ImportedStyle1"/>
    <w:lvl w:ilvl="0" w:tplc="D0CA6DC4">
      <w:start w:val="1"/>
      <w:numFmt w:val="upperRoman"/>
      <w:lvlText w:val="%1."/>
      <w:lvlJc w:val="left"/>
      <w:pPr>
        <w:ind w:left="684" w:hanging="684"/>
      </w:pPr>
      <w:rPr>
        <w:rFonts w:hAnsi="Arial Unicode MS"/>
        <w:caps w:val="0"/>
        <w:smallCaps w:val="0"/>
        <w:strike w:val="0"/>
        <w:dstrike w:val="0"/>
        <w:outline w:val="0"/>
        <w:emboss w:val="0"/>
        <w:imprint w:val="0"/>
        <w:spacing w:val="0"/>
        <w:w w:val="100"/>
        <w:kern w:val="0"/>
        <w:position w:val="0"/>
        <w:highlight w:val="none"/>
        <w:vertAlign w:val="baseline"/>
      </w:rPr>
    </w:lvl>
    <w:lvl w:ilvl="1" w:tplc="695EABCA">
      <w:start w:val="1"/>
      <w:numFmt w:val="lowerLetter"/>
      <w:lvlText w:val="%2."/>
      <w:lvlJc w:val="left"/>
      <w:pPr>
        <w:ind w:left="1062" w:hanging="342"/>
      </w:pPr>
      <w:rPr>
        <w:rFonts w:hAnsi="Arial Unicode MS"/>
        <w:caps w:val="0"/>
        <w:smallCaps w:val="0"/>
        <w:strike w:val="0"/>
        <w:dstrike w:val="0"/>
        <w:outline w:val="0"/>
        <w:emboss w:val="0"/>
        <w:imprint w:val="0"/>
        <w:spacing w:val="0"/>
        <w:w w:val="100"/>
        <w:kern w:val="0"/>
        <w:position w:val="0"/>
        <w:highlight w:val="none"/>
        <w:vertAlign w:val="baseline"/>
      </w:rPr>
    </w:lvl>
    <w:lvl w:ilvl="2" w:tplc="DF3EF190">
      <w:start w:val="1"/>
      <w:numFmt w:val="lowerRoman"/>
      <w:lvlText w:val="%3."/>
      <w:lvlJc w:val="left"/>
      <w:pPr>
        <w:ind w:left="1781" w:hanging="364"/>
      </w:pPr>
      <w:rPr>
        <w:rFonts w:hAnsi="Arial Unicode MS"/>
        <w:caps w:val="0"/>
        <w:smallCaps w:val="0"/>
        <w:strike w:val="0"/>
        <w:dstrike w:val="0"/>
        <w:outline w:val="0"/>
        <w:emboss w:val="0"/>
        <w:imprint w:val="0"/>
        <w:spacing w:val="0"/>
        <w:w w:val="100"/>
        <w:kern w:val="0"/>
        <w:position w:val="0"/>
        <w:highlight w:val="none"/>
        <w:vertAlign w:val="baseline"/>
      </w:rPr>
    </w:lvl>
    <w:lvl w:ilvl="3" w:tplc="CCC68594">
      <w:start w:val="1"/>
      <w:numFmt w:val="decimal"/>
      <w:lvlText w:val="%4."/>
      <w:lvlJc w:val="left"/>
      <w:pPr>
        <w:ind w:left="2502" w:hanging="342"/>
      </w:pPr>
      <w:rPr>
        <w:rFonts w:hAnsi="Arial Unicode MS"/>
        <w:caps w:val="0"/>
        <w:smallCaps w:val="0"/>
        <w:strike w:val="0"/>
        <w:dstrike w:val="0"/>
        <w:outline w:val="0"/>
        <w:emboss w:val="0"/>
        <w:imprint w:val="0"/>
        <w:spacing w:val="0"/>
        <w:w w:val="100"/>
        <w:kern w:val="0"/>
        <w:position w:val="0"/>
        <w:highlight w:val="none"/>
        <w:vertAlign w:val="baseline"/>
      </w:rPr>
    </w:lvl>
    <w:lvl w:ilvl="4" w:tplc="0E08AC22">
      <w:start w:val="1"/>
      <w:numFmt w:val="lowerLetter"/>
      <w:lvlText w:val="%5."/>
      <w:lvlJc w:val="left"/>
      <w:pPr>
        <w:ind w:left="322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38C8AF90">
      <w:start w:val="1"/>
      <w:numFmt w:val="lowerRoman"/>
      <w:lvlText w:val="%6."/>
      <w:lvlJc w:val="left"/>
      <w:pPr>
        <w:ind w:left="3941" w:hanging="364"/>
      </w:pPr>
      <w:rPr>
        <w:rFonts w:hAnsi="Arial Unicode MS"/>
        <w:caps w:val="0"/>
        <w:smallCaps w:val="0"/>
        <w:strike w:val="0"/>
        <w:dstrike w:val="0"/>
        <w:outline w:val="0"/>
        <w:emboss w:val="0"/>
        <w:imprint w:val="0"/>
        <w:spacing w:val="0"/>
        <w:w w:val="100"/>
        <w:kern w:val="0"/>
        <w:position w:val="0"/>
        <w:highlight w:val="none"/>
        <w:vertAlign w:val="baseline"/>
      </w:rPr>
    </w:lvl>
    <w:lvl w:ilvl="6" w:tplc="D5640998">
      <w:start w:val="1"/>
      <w:numFmt w:val="decimal"/>
      <w:lvlText w:val="%7."/>
      <w:lvlJc w:val="left"/>
      <w:pPr>
        <w:ind w:left="4662" w:hanging="342"/>
      </w:pPr>
      <w:rPr>
        <w:rFonts w:hAnsi="Arial Unicode MS"/>
        <w:caps w:val="0"/>
        <w:smallCaps w:val="0"/>
        <w:strike w:val="0"/>
        <w:dstrike w:val="0"/>
        <w:outline w:val="0"/>
        <w:emboss w:val="0"/>
        <w:imprint w:val="0"/>
        <w:spacing w:val="0"/>
        <w:w w:val="100"/>
        <w:kern w:val="0"/>
        <w:position w:val="0"/>
        <w:highlight w:val="none"/>
        <w:vertAlign w:val="baseline"/>
      </w:rPr>
    </w:lvl>
    <w:lvl w:ilvl="7" w:tplc="8CB232A6">
      <w:start w:val="1"/>
      <w:numFmt w:val="lowerLetter"/>
      <w:lvlText w:val="%8."/>
      <w:lvlJc w:val="left"/>
      <w:pPr>
        <w:ind w:left="5382" w:hanging="342"/>
      </w:pPr>
      <w:rPr>
        <w:rFonts w:hAnsi="Arial Unicode MS"/>
        <w:caps w:val="0"/>
        <w:smallCaps w:val="0"/>
        <w:strike w:val="0"/>
        <w:dstrike w:val="0"/>
        <w:outline w:val="0"/>
        <w:emboss w:val="0"/>
        <w:imprint w:val="0"/>
        <w:spacing w:val="0"/>
        <w:w w:val="100"/>
        <w:kern w:val="0"/>
        <w:position w:val="0"/>
        <w:highlight w:val="none"/>
        <w:vertAlign w:val="baseline"/>
      </w:rPr>
    </w:lvl>
    <w:lvl w:ilvl="8" w:tplc="5F84DEFC">
      <w:start w:val="1"/>
      <w:numFmt w:val="lowerRoman"/>
      <w:lvlText w:val="%9."/>
      <w:lvlJc w:val="left"/>
      <w:pPr>
        <w:ind w:left="6101" w:hanging="3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7400564"/>
    <w:multiLevelType w:val="hybridMultilevel"/>
    <w:tmpl w:val="00D89B6C"/>
    <w:lvl w:ilvl="0" w:tplc="10F8665C">
      <w:start w:val="1"/>
      <w:numFmt w:val="bullet"/>
      <w:lvlText w:val=""/>
      <w:lvlJc w:val="left"/>
      <w:pPr>
        <w:ind w:left="1440" w:hanging="360"/>
      </w:pPr>
      <w:rPr>
        <w:rFonts w:ascii="Symbol" w:hAnsi="Symbol"/>
      </w:rPr>
    </w:lvl>
    <w:lvl w:ilvl="1" w:tplc="723A7936">
      <w:start w:val="1"/>
      <w:numFmt w:val="bullet"/>
      <w:lvlText w:val=""/>
      <w:lvlJc w:val="left"/>
      <w:pPr>
        <w:ind w:left="1440" w:hanging="360"/>
      </w:pPr>
      <w:rPr>
        <w:rFonts w:ascii="Symbol" w:hAnsi="Symbol"/>
      </w:rPr>
    </w:lvl>
    <w:lvl w:ilvl="2" w:tplc="7CD446C2">
      <w:start w:val="1"/>
      <w:numFmt w:val="bullet"/>
      <w:lvlText w:val=""/>
      <w:lvlJc w:val="left"/>
      <w:pPr>
        <w:ind w:left="1440" w:hanging="360"/>
      </w:pPr>
      <w:rPr>
        <w:rFonts w:ascii="Symbol" w:hAnsi="Symbol"/>
      </w:rPr>
    </w:lvl>
    <w:lvl w:ilvl="3" w:tplc="0B32ECE8">
      <w:start w:val="1"/>
      <w:numFmt w:val="bullet"/>
      <w:lvlText w:val=""/>
      <w:lvlJc w:val="left"/>
      <w:pPr>
        <w:ind w:left="1440" w:hanging="360"/>
      </w:pPr>
      <w:rPr>
        <w:rFonts w:ascii="Symbol" w:hAnsi="Symbol"/>
      </w:rPr>
    </w:lvl>
    <w:lvl w:ilvl="4" w:tplc="37B6C88A">
      <w:start w:val="1"/>
      <w:numFmt w:val="bullet"/>
      <w:lvlText w:val=""/>
      <w:lvlJc w:val="left"/>
      <w:pPr>
        <w:ind w:left="1440" w:hanging="360"/>
      </w:pPr>
      <w:rPr>
        <w:rFonts w:ascii="Symbol" w:hAnsi="Symbol"/>
      </w:rPr>
    </w:lvl>
    <w:lvl w:ilvl="5" w:tplc="DB667D24">
      <w:start w:val="1"/>
      <w:numFmt w:val="bullet"/>
      <w:lvlText w:val=""/>
      <w:lvlJc w:val="left"/>
      <w:pPr>
        <w:ind w:left="1440" w:hanging="360"/>
      </w:pPr>
      <w:rPr>
        <w:rFonts w:ascii="Symbol" w:hAnsi="Symbol"/>
      </w:rPr>
    </w:lvl>
    <w:lvl w:ilvl="6" w:tplc="3C3A088C">
      <w:start w:val="1"/>
      <w:numFmt w:val="bullet"/>
      <w:lvlText w:val=""/>
      <w:lvlJc w:val="left"/>
      <w:pPr>
        <w:ind w:left="1440" w:hanging="360"/>
      </w:pPr>
      <w:rPr>
        <w:rFonts w:ascii="Symbol" w:hAnsi="Symbol"/>
      </w:rPr>
    </w:lvl>
    <w:lvl w:ilvl="7" w:tplc="249CFB3C">
      <w:start w:val="1"/>
      <w:numFmt w:val="bullet"/>
      <w:lvlText w:val=""/>
      <w:lvlJc w:val="left"/>
      <w:pPr>
        <w:ind w:left="1440" w:hanging="360"/>
      </w:pPr>
      <w:rPr>
        <w:rFonts w:ascii="Symbol" w:hAnsi="Symbol"/>
      </w:rPr>
    </w:lvl>
    <w:lvl w:ilvl="8" w:tplc="F056BEBE">
      <w:start w:val="1"/>
      <w:numFmt w:val="bullet"/>
      <w:lvlText w:val=""/>
      <w:lvlJc w:val="left"/>
      <w:pPr>
        <w:ind w:left="1440" w:hanging="360"/>
      </w:pPr>
      <w:rPr>
        <w:rFonts w:ascii="Symbol" w:hAnsi="Symbol"/>
      </w:rPr>
    </w:lvl>
  </w:abstractNum>
  <w:abstractNum w:abstractNumId="17" w15:restartNumberingAfterBreak="0">
    <w:nsid w:val="582D10D2"/>
    <w:multiLevelType w:val="multilevel"/>
    <w:tmpl w:val="7804BFD8"/>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32A57"/>
    <w:multiLevelType w:val="hybridMultilevel"/>
    <w:tmpl w:val="31CCCD3C"/>
    <w:styleLink w:val="ImportedStyle4"/>
    <w:lvl w:ilvl="0" w:tplc="EE283CF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C66F6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52F4F4">
      <w:start w:val="1"/>
      <w:numFmt w:val="lowerRoman"/>
      <w:lvlText w:val="%3."/>
      <w:lvlJc w:val="left"/>
      <w:pPr>
        <w:ind w:left="25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DBB0A06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30C5C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58B4DC">
      <w:start w:val="1"/>
      <w:numFmt w:val="lowerRoman"/>
      <w:lvlText w:val="%6."/>
      <w:lvlJc w:val="left"/>
      <w:pPr>
        <w:ind w:left="46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430CA8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3084CA">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186936">
      <w:start w:val="1"/>
      <w:numFmt w:val="lowerRoman"/>
      <w:lvlText w:val="%9."/>
      <w:lvlJc w:val="left"/>
      <w:pPr>
        <w:ind w:left="68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9EE5BCA"/>
    <w:multiLevelType w:val="hybridMultilevel"/>
    <w:tmpl w:val="2DE031F4"/>
    <w:lvl w:ilvl="0" w:tplc="AEE63FBE">
      <w:start w:val="1"/>
      <w:numFmt w:val="decimal"/>
      <w:lvlText w:val="%1)"/>
      <w:lvlJc w:val="left"/>
      <w:pPr>
        <w:ind w:left="1020" w:hanging="360"/>
      </w:pPr>
    </w:lvl>
    <w:lvl w:ilvl="1" w:tplc="D3D62E5A">
      <w:start w:val="1"/>
      <w:numFmt w:val="decimal"/>
      <w:lvlText w:val="%2)"/>
      <w:lvlJc w:val="left"/>
      <w:pPr>
        <w:ind w:left="1020" w:hanging="360"/>
      </w:pPr>
    </w:lvl>
    <w:lvl w:ilvl="2" w:tplc="8C482508">
      <w:start w:val="1"/>
      <w:numFmt w:val="decimal"/>
      <w:lvlText w:val="%3)"/>
      <w:lvlJc w:val="left"/>
      <w:pPr>
        <w:ind w:left="1020" w:hanging="360"/>
      </w:pPr>
    </w:lvl>
    <w:lvl w:ilvl="3" w:tplc="1D84CFC2">
      <w:start w:val="1"/>
      <w:numFmt w:val="decimal"/>
      <w:lvlText w:val="%4)"/>
      <w:lvlJc w:val="left"/>
      <w:pPr>
        <w:ind w:left="1020" w:hanging="360"/>
      </w:pPr>
    </w:lvl>
    <w:lvl w:ilvl="4" w:tplc="03E25FB0">
      <w:start w:val="1"/>
      <w:numFmt w:val="decimal"/>
      <w:lvlText w:val="%5)"/>
      <w:lvlJc w:val="left"/>
      <w:pPr>
        <w:ind w:left="1020" w:hanging="360"/>
      </w:pPr>
    </w:lvl>
    <w:lvl w:ilvl="5" w:tplc="5B8A36C4">
      <w:start w:val="1"/>
      <w:numFmt w:val="decimal"/>
      <w:lvlText w:val="%6)"/>
      <w:lvlJc w:val="left"/>
      <w:pPr>
        <w:ind w:left="1020" w:hanging="360"/>
      </w:pPr>
    </w:lvl>
    <w:lvl w:ilvl="6" w:tplc="8A7A1548">
      <w:start w:val="1"/>
      <w:numFmt w:val="decimal"/>
      <w:lvlText w:val="%7)"/>
      <w:lvlJc w:val="left"/>
      <w:pPr>
        <w:ind w:left="1020" w:hanging="360"/>
      </w:pPr>
    </w:lvl>
    <w:lvl w:ilvl="7" w:tplc="E0CA6AFE">
      <w:start w:val="1"/>
      <w:numFmt w:val="decimal"/>
      <w:lvlText w:val="%8)"/>
      <w:lvlJc w:val="left"/>
      <w:pPr>
        <w:ind w:left="1020" w:hanging="360"/>
      </w:pPr>
    </w:lvl>
    <w:lvl w:ilvl="8" w:tplc="08DE7452">
      <w:start w:val="1"/>
      <w:numFmt w:val="decimal"/>
      <w:lvlText w:val="%9)"/>
      <w:lvlJc w:val="left"/>
      <w:pPr>
        <w:ind w:left="1020" w:hanging="360"/>
      </w:pPr>
    </w:lvl>
  </w:abstractNum>
  <w:abstractNum w:abstractNumId="20" w15:restartNumberingAfterBreak="0">
    <w:nsid w:val="5FA469D8"/>
    <w:multiLevelType w:val="hybridMultilevel"/>
    <w:tmpl w:val="8D84A0D4"/>
    <w:styleLink w:val="ImportedStyle2"/>
    <w:lvl w:ilvl="0" w:tplc="7B70131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88CB7A">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4C77D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A09C6C">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BE9E3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4E40C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4C925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0ABA9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261A9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22565F8"/>
    <w:multiLevelType w:val="multilevel"/>
    <w:tmpl w:val="2958A0BC"/>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774503"/>
    <w:multiLevelType w:val="multilevel"/>
    <w:tmpl w:val="8C807CAC"/>
    <w:lvl w:ilvl="0">
      <w:start w:val="1"/>
      <w:numFmt w:val="bullet"/>
      <w:lvlText w:val=""/>
      <w:lvlJc w:val="left"/>
      <w:pPr>
        <w:tabs>
          <w:tab w:val="num" w:pos="36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8A30D7"/>
    <w:multiLevelType w:val="multilevel"/>
    <w:tmpl w:val="1AA2439C"/>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D20B03"/>
    <w:multiLevelType w:val="hybridMultilevel"/>
    <w:tmpl w:val="31A61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C3725"/>
    <w:multiLevelType w:val="multilevel"/>
    <w:tmpl w:val="72B04240"/>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7E3818"/>
    <w:multiLevelType w:val="multilevel"/>
    <w:tmpl w:val="C4E40BB8"/>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1242B"/>
    <w:multiLevelType w:val="hybridMultilevel"/>
    <w:tmpl w:val="64E298C8"/>
    <w:lvl w:ilvl="0" w:tplc="D752E50E">
      <w:start w:val="1"/>
      <w:numFmt w:val="bullet"/>
      <w:lvlText w:val=""/>
      <w:lvlJc w:val="left"/>
      <w:pPr>
        <w:ind w:left="1440" w:hanging="360"/>
      </w:pPr>
      <w:rPr>
        <w:rFonts w:ascii="Symbol" w:hAnsi="Symbol"/>
      </w:rPr>
    </w:lvl>
    <w:lvl w:ilvl="1" w:tplc="D108DFC2">
      <w:start w:val="1"/>
      <w:numFmt w:val="bullet"/>
      <w:lvlText w:val=""/>
      <w:lvlJc w:val="left"/>
      <w:pPr>
        <w:ind w:left="1440" w:hanging="360"/>
      </w:pPr>
      <w:rPr>
        <w:rFonts w:ascii="Symbol" w:hAnsi="Symbol"/>
      </w:rPr>
    </w:lvl>
    <w:lvl w:ilvl="2" w:tplc="91C231C6">
      <w:start w:val="1"/>
      <w:numFmt w:val="bullet"/>
      <w:lvlText w:val=""/>
      <w:lvlJc w:val="left"/>
      <w:pPr>
        <w:ind w:left="1440" w:hanging="360"/>
      </w:pPr>
      <w:rPr>
        <w:rFonts w:ascii="Symbol" w:hAnsi="Symbol"/>
      </w:rPr>
    </w:lvl>
    <w:lvl w:ilvl="3" w:tplc="E9F877BC">
      <w:start w:val="1"/>
      <w:numFmt w:val="bullet"/>
      <w:lvlText w:val=""/>
      <w:lvlJc w:val="left"/>
      <w:pPr>
        <w:ind w:left="1440" w:hanging="360"/>
      </w:pPr>
      <w:rPr>
        <w:rFonts w:ascii="Symbol" w:hAnsi="Symbol"/>
      </w:rPr>
    </w:lvl>
    <w:lvl w:ilvl="4" w:tplc="D7207C66">
      <w:start w:val="1"/>
      <w:numFmt w:val="bullet"/>
      <w:lvlText w:val=""/>
      <w:lvlJc w:val="left"/>
      <w:pPr>
        <w:ind w:left="1440" w:hanging="360"/>
      </w:pPr>
      <w:rPr>
        <w:rFonts w:ascii="Symbol" w:hAnsi="Symbol"/>
      </w:rPr>
    </w:lvl>
    <w:lvl w:ilvl="5" w:tplc="F146BF42">
      <w:start w:val="1"/>
      <w:numFmt w:val="bullet"/>
      <w:lvlText w:val=""/>
      <w:lvlJc w:val="left"/>
      <w:pPr>
        <w:ind w:left="1440" w:hanging="360"/>
      </w:pPr>
      <w:rPr>
        <w:rFonts w:ascii="Symbol" w:hAnsi="Symbol"/>
      </w:rPr>
    </w:lvl>
    <w:lvl w:ilvl="6" w:tplc="DF0ED1DC">
      <w:start w:val="1"/>
      <w:numFmt w:val="bullet"/>
      <w:lvlText w:val=""/>
      <w:lvlJc w:val="left"/>
      <w:pPr>
        <w:ind w:left="1440" w:hanging="360"/>
      </w:pPr>
      <w:rPr>
        <w:rFonts w:ascii="Symbol" w:hAnsi="Symbol"/>
      </w:rPr>
    </w:lvl>
    <w:lvl w:ilvl="7" w:tplc="90AA431A">
      <w:start w:val="1"/>
      <w:numFmt w:val="bullet"/>
      <w:lvlText w:val=""/>
      <w:lvlJc w:val="left"/>
      <w:pPr>
        <w:ind w:left="1440" w:hanging="360"/>
      </w:pPr>
      <w:rPr>
        <w:rFonts w:ascii="Symbol" w:hAnsi="Symbol"/>
      </w:rPr>
    </w:lvl>
    <w:lvl w:ilvl="8" w:tplc="C410571C">
      <w:start w:val="1"/>
      <w:numFmt w:val="bullet"/>
      <w:lvlText w:val=""/>
      <w:lvlJc w:val="left"/>
      <w:pPr>
        <w:ind w:left="1440" w:hanging="360"/>
      </w:pPr>
      <w:rPr>
        <w:rFonts w:ascii="Symbol" w:hAnsi="Symbol"/>
      </w:rPr>
    </w:lvl>
  </w:abstractNum>
  <w:abstractNum w:abstractNumId="28" w15:restartNumberingAfterBreak="0">
    <w:nsid w:val="79EC3510"/>
    <w:multiLevelType w:val="multilevel"/>
    <w:tmpl w:val="9CD63222"/>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C86758"/>
    <w:multiLevelType w:val="hybridMultilevel"/>
    <w:tmpl w:val="D28A9310"/>
    <w:styleLink w:val="ImportedStyle5"/>
    <w:lvl w:ilvl="0" w:tplc="3F38B20C">
      <w:start w:val="1"/>
      <w:numFmt w:val="decimal"/>
      <w:lvlText w:val="%1."/>
      <w:lvlJc w:val="left"/>
      <w:pPr>
        <w:ind w:left="7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E3D27B00">
      <w:start w:val="1"/>
      <w:numFmt w:val="lowerLetter"/>
      <w:lvlText w:val="%2."/>
      <w:lvlJc w:val="left"/>
      <w:pPr>
        <w:ind w:left="14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479ED9E2">
      <w:start w:val="1"/>
      <w:numFmt w:val="lowerRoman"/>
      <w:lvlText w:val="%3."/>
      <w:lvlJc w:val="left"/>
      <w:pPr>
        <w:ind w:left="2160" w:hanging="29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4FB0943E">
      <w:start w:val="1"/>
      <w:numFmt w:val="decimal"/>
      <w:lvlText w:val="%4."/>
      <w:lvlJc w:val="left"/>
      <w:pPr>
        <w:ind w:left="28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BCAA5A56">
      <w:start w:val="1"/>
      <w:numFmt w:val="lowerLetter"/>
      <w:lvlText w:val="%5."/>
      <w:lvlJc w:val="left"/>
      <w:pPr>
        <w:ind w:left="36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13CCFD94">
      <w:start w:val="1"/>
      <w:numFmt w:val="lowerRoman"/>
      <w:lvlText w:val="%6."/>
      <w:lvlJc w:val="left"/>
      <w:pPr>
        <w:ind w:left="4320" w:hanging="29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A0D0F5EA">
      <w:start w:val="1"/>
      <w:numFmt w:val="decimal"/>
      <w:lvlText w:val="%7."/>
      <w:lvlJc w:val="left"/>
      <w:pPr>
        <w:ind w:left="50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98E4E482">
      <w:start w:val="1"/>
      <w:numFmt w:val="lowerLetter"/>
      <w:lvlText w:val="%8."/>
      <w:lvlJc w:val="left"/>
      <w:pPr>
        <w:ind w:left="57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0B52BDCA">
      <w:start w:val="1"/>
      <w:numFmt w:val="lowerRoman"/>
      <w:lvlText w:val="%9."/>
      <w:lvlJc w:val="left"/>
      <w:pPr>
        <w:ind w:left="6480" w:hanging="29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num w:numId="1" w16cid:durableId="1687705512">
    <w:abstractNumId w:val="15"/>
  </w:num>
  <w:num w:numId="2" w16cid:durableId="1715884382">
    <w:abstractNumId w:val="20"/>
  </w:num>
  <w:num w:numId="3" w16cid:durableId="806750940">
    <w:abstractNumId w:val="18"/>
  </w:num>
  <w:num w:numId="4" w16cid:durableId="481195200">
    <w:abstractNumId w:val="29"/>
  </w:num>
  <w:num w:numId="5" w16cid:durableId="1786341747">
    <w:abstractNumId w:val="10"/>
  </w:num>
  <w:num w:numId="6" w16cid:durableId="2136293265">
    <w:abstractNumId w:val="24"/>
  </w:num>
  <w:num w:numId="7" w16cid:durableId="610357737">
    <w:abstractNumId w:val="11"/>
  </w:num>
  <w:num w:numId="8" w16cid:durableId="855339596">
    <w:abstractNumId w:val="27"/>
  </w:num>
  <w:num w:numId="9" w16cid:durableId="1842696859">
    <w:abstractNumId w:val="12"/>
  </w:num>
  <w:num w:numId="10" w16cid:durableId="2036076783">
    <w:abstractNumId w:val="16"/>
  </w:num>
  <w:num w:numId="11" w16cid:durableId="1376999415">
    <w:abstractNumId w:val="14"/>
  </w:num>
  <w:num w:numId="12" w16cid:durableId="563838833">
    <w:abstractNumId w:val="6"/>
  </w:num>
  <w:num w:numId="13" w16cid:durableId="1025058698">
    <w:abstractNumId w:val="13"/>
  </w:num>
  <w:num w:numId="14" w16cid:durableId="1435631905">
    <w:abstractNumId w:val="1"/>
  </w:num>
  <w:num w:numId="15" w16cid:durableId="2037389280">
    <w:abstractNumId w:val="25"/>
  </w:num>
  <w:num w:numId="16" w16cid:durableId="973219104">
    <w:abstractNumId w:val="7"/>
  </w:num>
  <w:num w:numId="17" w16cid:durableId="326058121">
    <w:abstractNumId w:val="26"/>
  </w:num>
  <w:num w:numId="18" w16cid:durableId="1277832235">
    <w:abstractNumId w:val="3"/>
  </w:num>
  <w:num w:numId="19" w16cid:durableId="485246102">
    <w:abstractNumId w:val="5"/>
  </w:num>
  <w:num w:numId="20" w16cid:durableId="1993636277">
    <w:abstractNumId w:val="28"/>
  </w:num>
  <w:num w:numId="21" w16cid:durableId="1458374395">
    <w:abstractNumId w:val="21"/>
  </w:num>
  <w:num w:numId="22" w16cid:durableId="393744778">
    <w:abstractNumId w:val="23"/>
  </w:num>
  <w:num w:numId="23" w16cid:durableId="1993097601">
    <w:abstractNumId w:val="4"/>
  </w:num>
  <w:num w:numId="24" w16cid:durableId="1364330528">
    <w:abstractNumId w:val="9"/>
  </w:num>
  <w:num w:numId="25" w16cid:durableId="421754623">
    <w:abstractNumId w:val="17"/>
  </w:num>
  <w:num w:numId="26" w16cid:durableId="1697460156">
    <w:abstractNumId w:val="22"/>
  </w:num>
  <w:num w:numId="27" w16cid:durableId="2005820732">
    <w:abstractNumId w:val="0"/>
  </w:num>
  <w:num w:numId="28" w16cid:durableId="1606691817">
    <w:abstractNumId w:val="2"/>
  </w:num>
  <w:num w:numId="29" w16cid:durableId="2099520474">
    <w:abstractNumId w:val="19"/>
  </w:num>
  <w:num w:numId="30" w16cid:durableId="47387593">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A0A"/>
    <w:rsid w:val="00000034"/>
    <w:rsid w:val="00000707"/>
    <w:rsid w:val="000009C8"/>
    <w:rsid w:val="000009FB"/>
    <w:rsid w:val="00000CC2"/>
    <w:rsid w:val="00000DF3"/>
    <w:rsid w:val="00000E2C"/>
    <w:rsid w:val="0000127D"/>
    <w:rsid w:val="00001355"/>
    <w:rsid w:val="0000145B"/>
    <w:rsid w:val="0000157F"/>
    <w:rsid w:val="000015E0"/>
    <w:rsid w:val="000016B0"/>
    <w:rsid w:val="00001811"/>
    <w:rsid w:val="00001B16"/>
    <w:rsid w:val="00001B6B"/>
    <w:rsid w:val="00001C0A"/>
    <w:rsid w:val="00001CAD"/>
    <w:rsid w:val="00001DD5"/>
    <w:rsid w:val="00001F33"/>
    <w:rsid w:val="00002034"/>
    <w:rsid w:val="0000226A"/>
    <w:rsid w:val="0000232A"/>
    <w:rsid w:val="00002345"/>
    <w:rsid w:val="0000244A"/>
    <w:rsid w:val="00002459"/>
    <w:rsid w:val="00002517"/>
    <w:rsid w:val="0000255B"/>
    <w:rsid w:val="00002587"/>
    <w:rsid w:val="000025BA"/>
    <w:rsid w:val="000025EC"/>
    <w:rsid w:val="00002711"/>
    <w:rsid w:val="0000296E"/>
    <w:rsid w:val="00002A4C"/>
    <w:rsid w:val="00002E1A"/>
    <w:rsid w:val="00002F0E"/>
    <w:rsid w:val="00002FDC"/>
    <w:rsid w:val="00003026"/>
    <w:rsid w:val="000032E0"/>
    <w:rsid w:val="0000337A"/>
    <w:rsid w:val="00003525"/>
    <w:rsid w:val="00003662"/>
    <w:rsid w:val="000036A7"/>
    <w:rsid w:val="00003B00"/>
    <w:rsid w:val="00003B13"/>
    <w:rsid w:val="00003E3A"/>
    <w:rsid w:val="00003E40"/>
    <w:rsid w:val="00004464"/>
    <w:rsid w:val="00004ABF"/>
    <w:rsid w:val="00004BA7"/>
    <w:rsid w:val="00004CAA"/>
    <w:rsid w:val="00004EFC"/>
    <w:rsid w:val="00004FC2"/>
    <w:rsid w:val="000050B5"/>
    <w:rsid w:val="000052CD"/>
    <w:rsid w:val="000055F3"/>
    <w:rsid w:val="00005600"/>
    <w:rsid w:val="00005CB1"/>
    <w:rsid w:val="000060D3"/>
    <w:rsid w:val="00006174"/>
    <w:rsid w:val="000062E5"/>
    <w:rsid w:val="0000649A"/>
    <w:rsid w:val="000067F1"/>
    <w:rsid w:val="00006835"/>
    <w:rsid w:val="000068FA"/>
    <w:rsid w:val="000069F4"/>
    <w:rsid w:val="00006A94"/>
    <w:rsid w:val="00006B0B"/>
    <w:rsid w:val="00006BF6"/>
    <w:rsid w:val="00006CF2"/>
    <w:rsid w:val="00006DBD"/>
    <w:rsid w:val="00006DF0"/>
    <w:rsid w:val="00006F24"/>
    <w:rsid w:val="00006FFE"/>
    <w:rsid w:val="00007132"/>
    <w:rsid w:val="00007358"/>
    <w:rsid w:val="00007484"/>
    <w:rsid w:val="00007573"/>
    <w:rsid w:val="000077F6"/>
    <w:rsid w:val="00007846"/>
    <w:rsid w:val="000078B5"/>
    <w:rsid w:val="000079CF"/>
    <w:rsid w:val="00007A63"/>
    <w:rsid w:val="00007D8C"/>
    <w:rsid w:val="00007F27"/>
    <w:rsid w:val="0001037E"/>
    <w:rsid w:val="0001042D"/>
    <w:rsid w:val="0001057A"/>
    <w:rsid w:val="0001064A"/>
    <w:rsid w:val="000106CC"/>
    <w:rsid w:val="000107AD"/>
    <w:rsid w:val="0001085D"/>
    <w:rsid w:val="00010958"/>
    <w:rsid w:val="00010A41"/>
    <w:rsid w:val="00010B40"/>
    <w:rsid w:val="00010C0B"/>
    <w:rsid w:val="00010E10"/>
    <w:rsid w:val="00010EF8"/>
    <w:rsid w:val="00011107"/>
    <w:rsid w:val="000112F1"/>
    <w:rsid w:val="000115F5"/>
    <w:rsid w:val="00011685"/>
    <w:rsid w:val="000116DC"/>
    <w:rsid w:val="000117AE"/>
    <w:rsid w:val="000117B3"/>
    <w:rsid w:val="000117F1"/>
    <w:rsid w:val="0001181F"/>
    <w:rsid w:val="00011834"/>
    <w:rsid w:val="00011AE3"/>
    <w:rsid w:val="00011BF5"/>
    <w:rsid w:val="00011CB0"/>
    <w:rsid w:val="00011EAC"/>
    <w:rsid w:val="00011EB6"/>
    <w:rsid w:val="00012006"/>
    <w:rsid w:val="00012077"/>
    <w:rsid w:val="000120EB"/>
    <w:rsid w:val="000122D3"/>
    <w:rsid w:val="00012539"/>
    <w:rsid w:val="0001258A"/>
    <w:rsid w:val="000125D2"/>
    <w:rsid w:val="00012786"/>
    <w:rsid w:val="00012883"/>
    <w:rsid w:val="00012913"/>
    <w:rsid w:val="00012B86"/>
    <w:rsid w:val="00012BD8"/>
    <w:rsid w:val="00012CCC"/>
    <w:rsid w:val="0001318B"/>
    <w:rsid w:val="00013671"/>
    <w:rsid w:val="00013950"/>
    <w:rsid w:val="00013A4A"/>
    <w:rsid w:val="00013C62"/>
    <w:rsid w:val="00013C8B"/>
    <w:rsid w:val="00013D40"/>
    <w:rsid w:val="00013E88"/>
    <w:rsid w:val="00013FEF"/>
    <w:rsid w:val="00014048"/>
    <w:rsid w:val="0001421E"/>
    <w:rsid w:val="0001431C"/>
    <w:rsid w:val="000143FA"/>
    <w:rsid w:val="000144A1"/>
    <w:rsid w:val="000144C5"/>
    <w:rsid w:val="000146B7"/>
    <w:rsid w:val="000147B5"/>
    <w:rsid w:val="00014808"/>
    <w:rsid w:val="000148B7"/>
    <w:rsid w:val="00014B29"/>
    <w:rsid w:val="00014B84"/>
    <w:rsid w:val="00014BB8"/>
    <w:rsid w:val="00014CAB"/>
    <w:rsid w:val="00014D86"/>
    <w:rsid w:val="00014EC7"/>
    <w:rsid w:val="00014FB2"/>
    <w:rsid w:val="000150B9"/>
    <w:rsid w:val="000150C0"/>
    <w:rsid w:val="00015567"/>
    <w:rsid w:val="0001557E"/>
    <w:rsid w:val="000156BC"/>
    <w:rsid w:val="000157CB"/>
    <w:rsid w:val="00015B09"/>
    <w:rsid w:val="00015B5D"/>
    <w:rsid w:val="00015B95"/>
    <w:rsid w:val="00015DC3"/>
    <w:rsid w:val="00016080"/>
    <w:rsid w:val="000162D4"/>
    <w:rsid w:val="00016748"/>
    <w:rsid w:val="00016F21"/>
    <w:rsid w:val="00017275"/>
    <w:rsid w:val="00017376"/>
    <w:rsid w:val="00017673"/>
    <w:rsid w:val="0001769D"/>
    <w:rsid w:val="00017838"/>
    <w:rsid w:val="0001796F"/>
    <w:rsid w:val="000179A1"/>
    <w:rsid w:val="00017BCB"/>
    <w:rsid w:val="00017DF0"/>
    <w:rsid w:val="00017E8B"/>
    <w:rsid w:val="000201A1"/>
    <w:rsid w:val="000204DA"/>
    <w:rsid w:val="0002059A"/>
    <w:rsid w:val="000205FA"/>
    <w:rsid w:val="000207EF"/>
    <w:rsid w:val="00021472"/>
    <w:rsid w:val="000215C7"/>
    <w:rsid w:val="00021A32"/>
    <w:rsid w:val="00021A36"/>
    <w:rsid w:val="00021BEA"/>
    <w:rsid w:val="00021CAC"/>
    <w:rsid w:val="00021F14"/>
    <w:rsid w:val="000221E9"/>
    <w:rsid w:val="00022223"/>
    <w:rsid w:val="00022284"/>
    <w:rsid w:val="0002258F"/>
    <w:rsid w:val="000225AC"/>
    <w:rsid w:val="00022704"/>
    <w:rsid w:val="00022942"/>
    <w:rsid w:val="00022C1E"/>
    <w:rsid w:val="00022ECB"/>
    <w:rsid w:val="00023009"/>
    <w:rsid w:val="0002337A"/>
    <w:rsid w:val="0002348E"/>
    <w:rsid w:val="000234FC"/>
    <w:rsid w:val="00023506"/>
    <w:rsid w:val="00023675"/>
    <w:rsid w:val="000238C0"/>
    <w:rsid w:val="000238F0"/>
    <w:rsid w:val="00023B90"/>
    <w:rsid w:val="00023D66"/>
    <w:rsid w:val="00023E76"/>
    <w:rsid w:val="00023F67"/>
    <w:rsid w:val="00023FB9"/>
    <w:rsid w:val="000245A5"/>
    <w:rsid w:val="000246AE"/>
    <w:rsid w:val="0002491F"/>
    <w:rsid w:val="00024BBE"/>
    <w:rsid w:val="00024DE5"/>
    <w:rsid w:val="00025186"/>
    <w:rsid w:val="000252F9"/>
    <w:rsid w:val="0002536A"/>
    <w:rsid w:val="00025458"/>
    <w:rsid w:val="000259EB"/>
    <w:rsid w:val="00025AAD"/>
    <w:rsid w:val="00025B70"/>
    <w:rsid w:val="00025DB8"/>
    <w:rsid w:val="00025E95"/>
    <w:rsid w:val="00025EC9"/>
    <w:rsid w:val="00025F0A"/>
    <w:rsid w:val="00025F9B"/>
    <w:rsid w:val="00026155"/>
    <w:rsid w:val="0002627B"/>
    <w:rsid w:val="000262E3"/>
    <w:rsid w:val="00026304"/>
    <w:rsid w:val="00026472"/>
    <w:rsid w:val="0002665A"/>
    <w:rsid w:val="0002684F"/>
    <w:rsid w:val="00026A3D"/>
    <w:rsid w:val="00026A7E"/>
    <w:rsid w:val="00026B46"/>
    <w:rsid w:val="00026E88"/>
    <w:rsid w:val="000273EC"/>
    <w:rsid w:val="00027450"/>
    <w:rsid w:val="0002753C"/>
    <w:rsid w:val="000277C8"/>
    <w:rsid w:val="000279DA"/>
    <w:rsid w:val="00027A5A"/>
    <w:rsid w:val="00027CA8"/>
    <w:rsid w:val="00027D8F"/>
    <w:rsid w:val="00027E5D"/>
    <w:rsid w:val="00027E7E"/>
    <w:rsid w:val="000300FA"/>
    <w:rsid w:val="0003028A"/>
    <w:rsid w:val="000302B4"/>
    <w:rsid w:val="000304F3"/>
    <w:rsid w:val="000305FC"/>
    <w:rsid w:val="00030D23"/>
    <w:rsid w:val="00030D42"/>
    <w:rsid w:val="0003129A"/>
    <w:rsid w:val="000315A0"/>
    <w:rsid w:val="0003160F"/>
    <w:rsid w:val="00031616"/>
    <w:rsid w:val="0003165F"/>
    <w:rsid w:val="000319BC"/>
    <w:rsid w:val="00031A48"/>
    <w:rsid w:val="00031C3E"/>
    <w:rsid w:val="00031C7B"/>
    <w:rsid w:val="00031EAF"/>
    <w:rsid w:val="00031EF5"/>
    <w:rsid w:val="00031FC4"/>
    <w:rsid w:val="000321AA"/>
    <w:rsid w:val="000321F0"/>
    <w:rsid w:val="00032214"/>
    <w:rsid w:val="0003258B"/>
    <w:rsid w:val="000325F8"/>
    <w:rsid w:val="00032712"/>
    <w:rsid w:val="00032761"/>
    <w:rsid w:val="000328C3"/>
    <w:rsid w:val="00032965"/>
    <w:rsid w:val="000329A7"/>
    <w:rsid w:val="00032A17"/>
    <w:rsid w:val="00032B57"/>
    <w:rsid w:val="0003300B"/>
    <w:rsid w:val="000331B8"/>
    <w:rsid w:val="00033356"/>
    <w:rsid w:val="00033546"/>
    <w:rsid w:val="0003357D"/>
    <w:rsid w:val="00033B79"/>
    <w:rsid w:val="00033D7E"/>
    <w:rsid w:val="00033D95"/>
    <w:rsid w:val="00033DC9"/>
    <w:rsid w:val="00033EB8"/>
    <w:rsid w:val="00033F33"/>
    <w:rsid w:val="0003419F"/>
    <w:rsid w:val="00034313"/>
    <w:rsid w:val="0003433C"/>
    <w:rsid w:val="000344DF"/>
    <w:rsid w:val="00034509"/>
    <w:rsid w:val="0003456A"/>
    <w:rsid w:val="000345C6"/>
    <w:rsid w:val="000345D2"/>
    <w:rsid w:val="000347DB"/>
    <w:rsid w:val="0003499D"/>
    <w:rsid w:val="00034D70"/>
    <w:rsid w:val="00034F1E"/>
    <w:rsid w:val="00034F7C"/>
    <w:rsid w:val="00035212"/>
    <w:rsid w:val="0003524A"/>
    <w:rsid w:val="0003544A"/>
    <w:rsid w:val="000356C7"/>
    <w:rsid w:val="0003574A"/>
    <w:rsid w:val="000357D4"/>
    <w:rsid w:val="00035DE7"/>
    <w:rsid w:val="00035E9B"/>
    <w:rsid w:val="00035F53"/>
    <w:rsid w:val="00036046"/>
    <w:rsid w:val="00036077"/>
    <w:rsid w:val="00036130"/>
    <w:rsid w:val="000363D0"/>
    <w:rsid w:val="000365BB"/>
    <w:rsid w:val="000368C0"/>
    <w:rsid w:val="00036B52"/>
    <w:rsid w:val="00036D1E"/>
    <w:rsid w:val="00036E5F"/>
    <w:rsid w:val="000371AD"/>
    <w:rsid w:val="000377E9"/>
    <w:rsid w:val="00037A51"/>
    <w:rsid w:val="00037DAD"/>
    <w:rsid w:val="0004009F"/>
    <w:rsid w:val="0004020C"/>
    <w:rsid w:val="00040257"/>
    <w:rsid w:val="000403B3"/>
    <w:rsid w:val="00040A04"/>
    <w:rsid w:val="00040C36"/>
    <w:rsid w:val="00040EA1"/>
    <w:rsid w:val="00041135"/>
    <w:rsid w:val="00041142"/>
    <w:rsid w:val="000413F0"/>
    <w:rsid w:val="0004149B"/>
    <w:rsid w:val="000415BA"/>
    <w:rsid w:val="000415E5"/>
    <w:rsid w:val="000416BA"/>
    <w:rsid w:val="00041950"/>
    <w:rsid w:val="00041ADD"/>
    <w:rsid w:val="00041B19"/>
    <w:rsid w:val="000421B4"/>
    <w:rsid w:val="00042444"/>
    <w:rsid w:val="000428A3"/>
    <w:rsid w:val="00042CF0"/>
    <w:rsid w:val="000430BA"/>
    <w:rsid w:val="000430C6"/>
    <w:rsid w:val="0004313B"/>
    <w:rsid w:val="0004351E"/>
    <w:rsid w:val="00043570"/>
    <w:rsid w:val="00043700"/>
    <w:rsid w:val="000438F8"/>
    <w:rsid w:val="00043935"/>
    <w:rsid w:val="00043A70"/>
    <w:rsid w:val="00043B3C"/>
    <w:rsid w:val="00043BEB"/>
    <w:rsid w:val="00043D94"/>
    <w:rsid w:val="00043FF8"/>
    <w:rsid w:val="00044050"/>
    <w:rsid w:val="000441B9"/>
    <w:rsid w:val="000441C0"/>
    <w:rsid w:val="0004432E"/>
    <w:rsid w:val="000443CD"/>
    <w:rsid w:val="000444EC"/>
    <w:rsid w:val="000447BA"/>
    <w:rsid w:val="000447C8"/>
    <w:rsid w:val="00044884"/>
    <w:rsid w:val="00044BAB"/>
    <w:rsid w:val="00044D4C"/>
    <w:rsid w:val="00044D5F"/>
    <w:rsid w:val="00044E98"/>
    <w:rsid w:val="00044F19"/>
    <w:rsid w:val="000450C7"/>
    <w:rsid w:val="000450E2"/>
    <w:rsid w:val="0004524A"/>
    <w:rsid w:val="000453EB"/>
    <w:rsid w:val="00045627"/>
    <w:rsid w:val="0004576D"/>
    <w:rsid w:val="00045B43"/>
    <w:rsid w:val="00045BA7"/>
    <w:rsid w:val="00045D6E"/>
    <w:rsid w:val="00045F25"/>
    <w:rsid w:val="00046094"/>
    <w:rsid w:val="00046371"/>
    <w:rsid w:val="0004649E"/>
    <w:rsid w:val="000465A1"/>
    <w:rsid w:val="000465C9"/>
    <w:rsid w:val="00046A2F"/>
    <w:rsid w:val="00046C62"/>
    <w:rsid w:val="00046E70"/>
    <w:rsid w:val="000470FB"/>
    <w:rsid w:val="00047916"/>
    <w:rsid w:val="0004793F"/>
    <w:rsid w:val="00047A71"/>
    <w:rsid w:val="00047B31"/>
    <w:rsid w:val="00050058"/>
    <w:rsid w:val="0005009F"/>
    <w:rsid w:val="00050203"/>
    <w:rsid w:val="00050246"/>
    <w:rsid w:val="0005037B"/>
    <w:rsid w:val="000503A1"/>
    <w:rsid w:val="000504D1"/>
    <w:rsid w:val="000505A1"/>
    <w:rsid w:val="000507DD"/>
    <w:rsid w:val="00050986"/>
    <w:rsid w:val="000509C9"/>
    <w:rsid w:val="000509ED"/>
    <w:rsid w:val="00050A43"/>
    <w:rsid w:val="00050A65"/>
    <w:rsid w:val="00050BF3"/>
    <w:rsid w:val="00050EEC"/>
    <w:rsid w:val="00051139"/>
    <w:rsid w:val="00051387"/>
    <w:rsid w:val="00051597"/>
    <w:rsid w:val="00051737"/>
    <w:rsid w:val="0005174B"/>
    <w:rsid w:val="0005175C"/>
    <w:rsid w:val="00051A26"/>
    <w:rsid w:val="00051A6C"/>
    <w:rsid w:val="00051ADA"/>
    <w:rsid w:val="00051D15"/>
    <w:rsid w:val="00051FBD"/>
    <w:rsid w:val="000524B8"/>
    <w:rsid w:val="0005266B"/>
    <w:rsid w:val="000526F5"/>
    <w:rsid w:val="000526F9"/>
    <w:rsid w:val="00052BBE"/>
    <w:rsid w:val="00052C04"/>
    <w:rsid w:val="00052D77"/>
    <w:rsid w:val="00052EE0"/>
    <w:rsid w:val="00052F49"/>
    <w:rsid w:val="0005311E"/>
    <w:rsid w:val="0005312E"/>
    <w:rsid w:val="000531F0"/>
    <w:rsid w:val="0005327C"/>
    <w:rsid w:val="000533F3"/>
    <w:rsid w:val="0005341A"/>
    <w:rsid w:val="00053437"/>
    <w:rsid w:val="0005345E"/>
    <w:rsid w:val="000535B1"/>
    <w:rsid w:val="00053970"/>
    <w:rsid w:val="00053C36"/>
    <w:rsid w:val="00053EF2"/>
    <w:rsid w:val="0005409D"/>
    <w:rsid w:val="00054510"/>
    <w:rsid w:val="000545ED"/>
    <w:rsid w:val="00054875"/>
    <w:rsid w:val="000548A6"/>
    <w:rsid w:val="0005490B"/>
    <w:rsid w:val="00054A86"/>
    <w:rsid w:val="00054A9F"/>
    <w:rsid w:val="00054E32"/>
    <w:rsid w:val="00054F4E"/>
    <w:rsid w:val="0005523F"/>
    <w:rsid w:val="00055424"/>
    <w:rsid w:val="0005543A"/>
    <w:rsid w:val="0005552F"/>
    <w:rsid w:val="0005573C"/>
    <w:rsid w:val="000559E2"/>
    <w:rsid w:val="000559F3"/>
    <w:rsid w:val="00055C13"/>
    <w:rsid w:val="00055D15"/>
    <w:rsid w:val="00055D9A"/>
    <w:rsid w:val="00055F01"/>
    <w:rsid w:val="0005615A"/>
    <w:rsid w:val="0005637D"/>
    <w:rsid w:val="0005658A"/>
    <w:rsid w:val="000568B5"/>
    <w:rsid w:val="00056A02"/>
    <w:rsid w:val="00056B0C"/>
    <w:rsid w:val="00056CEB"/>
    <w:rsid w:val="00056D68"/>
    <w:rsid w:val="00056DB7"/>
    <w:rsid w:val="00056E6F"/>
    <w:rsid w:val="00056F4A"/>
    <w:rsid w:val="000572DF"/>
    <w:rsid w:val="00057605"/>
    <w:rsid w:val="00057669"/>
    <w:rsid w:val="00057889"/>
    <w:rsid w:val="000579A7"/>
    <w:rsid w:val="00057AAB"/>
    <w:rsid w:val="00060095"/>
    <w:rsid w:val="000601D2"/>
    <w:rsid w:val="00060508"/>
    <w:rsid w:val="0006057D"/>
    <w:rsid w:val="0006072C"/>
    <w:rsid w:val="00060756"/>
    <w:rsid w:val="0006096A"/>
    <w:rsid w:val="00060AF0"/>
    <w:rsid w:val="00060D88"/>
    <w:rsid w:val="00060F20"/>
    <w:rsid w:val="00061036"/>
    <w:rsid w:val="000612A7"/>
    <w:rsid w:val="00061406"/>
    <w:rsid w:val="000614CF"/>
    <w:rsid w:val="00061535"/>
    <w:rsid w:val="00061854"/>
    <w:rsid w:val="000618B5"/>
    <w:rsid w:val="00061AF2"/>
    <w:rsid w:val="00061B33"/>
    <w:rsid w:val="00061B9C"/>
    <w:rsid w:val="000620B8"/>
    <w:rsid w:val="000622CB"/>
    <w:rsid w:val="0006234B"/>
    <w:rsid w:val="00062451"/>
    <w:rsid w:val="00062692"/>
    <w:rsid w:val="000626B8"/>
    <w:rsid w:val="00062719"/>
    <w:rsid w:val="0006293B"/>
    <w:rsid w:val="00062CFA"/>
    <w:rsid w:val="00062DE1"/>
    <w:rsid w:val="00062E4A"/>
    <w:rsid w:val="0006307C"/>
    <w:rsid w:val="000632DE"/>
    <w:rsid w:val="000632EE"/>
    <w:rsid w:val="00063354"/>
    <w:rsid w:val="000633DA"/>
    <w:rsid w:val="00063455"/>
    <w:rsid w:val="00063612"/>
    <w:rsid w:val="00063799"/>
    <w:rsid w:val="00063895"/>
    <w:rsid w:val="000639A0"/>
    <w:rsid w:val="000642F5"/>
    <w:rsid w:val="000643AB"/>
    <w:rsid w:val="00064414"/>
    <w:rsid w:val="000645CA"/>
    <w:rsid w:val="00064606"/>
    <w:rsid w:val="000646DA"/>
    <w:rsid w:val="00064731"/>
    <w:rsid w:val="000647A5"/>
    <w:rsid w:val="000649DC"/>
    <w:rsid w:val="000649E5"/>
    <w:rsid w:val="00064ACD"/>
    <w:rsid w:val="00064BA5"/>
    <w:rsid w:val="00064C5E"/>
    <w:rsid w:val="00064DA7"/>
    <w:rsid w:val="00064DB3"/>
    <w:rsid w:val="00064F9D"/>
    <w:rsid w:val="00065260"/>
    <w:rsid w:val="000653CC"/>
    <w:rsid w:val="0006542B"/>
    <w:rsid w:val="00065539"/>
    <w:rsid w:val="00065676"/>
    <w:rsid w:val="00065A5A"/>
    <w:rsid w:val="00065BE6"/>
    <w:rsid w:val="00065F08"/>
    <w:rsid w:val="00065F8C"/>
    <w:rsid w:val="00065FB6"/>
    <w:rsid w:val="0006619E"/>
    <w:rsid w:val="00066243"/>
    <w:rsid w:val="00066251"/>
    <w:rsid w:val="000662CD"/>
    <w:rsid w:val="000666D7"/>
    <w:rsid w:val="000666ED"/>
    <w:rsid w:val="00066923"/>
    <w:rsid w:val="00066A3E"/>
    <w:rsid w:val="00066AD1"/>
    <w:rsid w:val="00066B97"/>
    <w:rsid w:val="00066BD8"/>
    <w:rsid w:val="00066C65"/>
    <w:rsid w:val="00066C9D"/>
    <w:rsid w:val="00066D59"/>
    <w:rsid w:val="00066D5A"/>
    <w:rsid w:val="00066D8D"/>
    <w:rsid w:val="00066E60"/>
    <w:rsid w:val="0006708D"/>
    <w:rsid w:val="00067313"/>
    <w:rsid w:val="00067329"/>
    <w:rsid w:val="00067335"/>
    <w:rsid w:val="00067355"/>
    <w:rsid w:val="00067B97"/>
    <w:rsid w:val="00067BB2"/>
    <w:rsid w:val="00067CA5"/>
    <w:rsid w:val="00067E40"/>
    <w:rsid w:val="00067E51"/>
    <w:rsid w:val="00070001"/>
    <w:rsid w:val="0007021C"/>
    <w:rsid w:val="00070373"/>
    <w:rsid w:val="000703C4"/>
    <w:rsid w:val="000704EE"/>
    <w:rsid w:val="00070898"/>
    <w:rsid w:val="00070AC3"/>
    <w:rsid w:val="00070C31"/>
    <w:rsid w:val="00070EDE"/>
    <w:rsid w:val="0007128A"/>
    <w:rsid w:val="00071414"/>
    <w:rsid w:val="0007157F"/>
    <w:rsid w:val="000716F7"/>
    <w:rsid w:val="000717C8"/>
    <w:rsid w:val="000718B1"/>
    <w:rsid w:val="000718BC"/>
    <w:rsid w:val="00071A35"/>
    <w:rsid w:val="00071B84"/>
    <w:rsid w:val="00071D34"/>
    <w:rsid w:val="00071DA8"/>
    <w:rsid w:val="00071DE9"/>
    <w:rsid w:val="00071E23"/>
    <w:rsid w:val="00071E4A"/>
    <w:rsid w:val="00071E88"/>
    <w:rsid w:val="00071FAD"/>
    <w:rsid w:val="000721A9"/>
    <w:rsid w:val="000724DF"/>
    <w:rsid w:val="000725D6"/>
    <w:rsid w:val="00072615"/>
    <w:rsid w:val="00072ADE"/>
    <w:rsid w:val="00072D74"/>
    <w:rsid w:val="00072DC7"/>
    <w:rsid w:val="00072E8F"/>
    <w:rsid w:val="00072E9C"/>
    <w:rsid w:val="00072EA6"/>
    <w:rsid w:val="00072F64"/>
    <w:rsid w:val="000730ED"/>
    <w:rsid w:val="000734C1"/>
    <w:rsid w:val="000734CB"/>
    <w:rsid w:val="000736BE"/>
    <w:rsid w:val="0007373A"/>
    <w:rsid w:val="00073878"/>
    <w:rsid w:val="0007399E"/>
    <w:rsid w:val="00073C07"/>
    <w:rsid w:val="00073F29"/>
    <w:rsid w:val="000743F5"/>
    <w:rsid w:val="00074540"/>
    <w:rsid w:val="00074729"/>
    <w:rsid w:val="0007488E"/>
    <w:rsid w:val="00074957"/>
    <w:rsid w:val="000749F2"/>
    <w:rsid w:val="00074B05"/>
    <w:rsid w:val="00074B13"/>
    <w:rsid w:val="00074D2E"/>
    <w:rsid w:val="00074D47"/>
    <w:rsid w:val="00074F8A"/>
    <w:rsid w:val="0007501D"/>
    <w:rsid w:val="0007549B"/>
    <w:rsid w:val="0007558F"/>
    <w:rsid w:val="0007566E"/>
    <w:rsid w:val="0007570D"/>
    <w:rsid w:val="00075BD3"/>
    <w:rsid w:val="00075CAF"/>
    <w:rsid w:val="00075DCA"/>
    <w:rsid w:val="00075F57"/>
    <w:rsid w:val="00075F80"/>
    <w:rsid w:val="00076035"/>
    <w:rsid w:val="0007629F"/>
    <w:rsid w:val="000762C9"/>
    <w:rsid w:val="00076411"/>
    <w:rsid w:val="00076552"/>
    <w:rsid w:val="00076780"/>
    <w:rsid w:val="00076805"/>
    <w:rsid w:val="00076A9B"/>
    <w:rsid w:val="00076B51"/>
    <w:rsid w:val="00076EDC"/>
    <w:rsid w:val="00076F01"/>
    <w:rsid w:val="000771EB"/>
    <w:rsid w:val="00077204"/>
    <w:rsid w:val="00077240"/>
    <w:rsid w:val="000774FA"/>
    <w:rsid w:val="000776D2"/>
    <w:rsid w:val="0007788E"/>
    <w:rsid w:val="00077930"/>
    <w:rsid w:val="0007795D"/>
    <w:rsid w:val="00077B54"/>
    <w:rsid w:val="00077CDF"/>
    <w:rsid w:val="000801E5"/>
    <w:rsid w:val="00080356"/>
    <w:rsid w:val="000805C2"/>
    <w:rsid w:val="000807BB"/>
    <w:rsid w:val="0008080E"/>
    <w:rsid w:val="00080837"/>
    <w:rsid w:val="00080972"/>
    <w:rsid w:val="00080A3E"/>
    <w:rsid w:val="00080C5F"/>
    <w:rsid w:val="00081243"/>
    <w:rsid w:val="000812BD"/>
    <w:rsid w:val="0008135C"/>
    <w:rsid w:val="00081642"/>
    <w:rsid w:val="000816A8"/>
    <w:rsid w:val="000816EB"/>
    <w:rsid w:val="0008189F"/>
    <w:rsid w:val="00081B85"/>
    <w:rsid w:val="00081BEB"/>
    <w:rsid w:val="00081ED0"/>
    <w:rsid w:val="00081F27"/>
    <w:rsid w:val="000820A4"/>
    <w:rsid w:val="0008213C"/>
    <w:rsid w:val="0008241A"/>
    <w:rsid w:val="00082806"/>
    <w:rsid w:val="0008292B"/>
    <w:rsid w:val="00082B32"/>
    <w:rsid w:val="00083045"/>
    <w:rsid w:val="000831AB"/>
    <w:rsid w:val="000831CD"/>
    <w:rsid w:val="00083225"/>
    <w:rsid w:val="00083426"/>
    <w:rsid w:val="000834E1"/>
    <w:rsid w:val="000835C8"/>
    <w:rsid w:val="000836F8"/>
    <w:rsid w:val="000838D4"/>
    <w:rsid w:val="00083971"/>
    <w:rsid w:val="00083AD8"/>
    <w:rsid w:val="00083B24"/>
    <w:rsid w:val="00083C72"/>
    <w:rsid w:val="00084072"/>
    <w:rsid w:val="00084261"/>
    <w:rsid w:val="00084386"/>
    <w:rsid w:val="000844EF"/>
    <w:rsid w:val="000847AD"/>
    <w:rsid w:val="000847BD"/>
    <w:rsid w:val="00084869"/>
    <w:rsid w:val="000848BD"/>
    <w:rsid w:val="00084A82"/>
    <w:rsid w:val="00084AE1"/>
    <w:rsid w:val="00084B11"/>
    <w:rsid w:val="00084B9D"/>
    <w:rsid w:val="00084C0B"/>
    <w:rsid w:val="00084D07"/>
    <w:rsid w:val="00084E6F"/>
    <w:rsid w:val="00085589"/>
    <w:rsid w:val="00085872"/>
    <w:rsid w:val="00085A95"/>
    <w:rsid w:val="00085E64"/>
    <w:rsid w:val="00085F89"/>
    <w:rsid w:val="000860B3"/>
    <w:rsid w:val="00086104"/>
    <w:rsid w:val="0008654F"/>
    <w:rsid w:val="00086667"/>
    <w:rsid w:val="000866BC"/>
    <w:rsid w:val="000867DC"/>
    <w:rsid w:val="00086B22"/>
    <w:rsid w:val="00086C2A"/>
    <w:rsid w:val="00086E65"/>
    <w:rsid w:val="0008709D"/>
    <w:rsid w:val="00087207"/>
    <w:rsid w:val="00087322"/>
    <w:rsid w:val="00087374"/>
    <w:rsid w:val="000874E7"/>
    <w:rsid w:val="00087638"/>
    <w:rsid w:val="000876B6"/>
    <w:rsid w:val="000876C4"/>
    <w:rsid w:val="000879E4"/>
    <w:rsid w:val="00087AE3"/>
    <w:rsid w:val="00087B0A"/>
    <w:rsid w:val="00087B7B"/>
    <w:rsid w:val="00087D0A"/>
    <w:rsid w:val="00087EDD"/>
    <w:rsid w:val="000902CD"/>
    <w:rsid w:val="0009032E"/>
    <w:rsid w:val="000909C3"/>
    <w:rsid w:val="00090A26"/>
    <w:rsid w:val="00090A6F"/>
    <w:rsid w:val="00090B22"/>
    <w:rsid w:val="00090C2A"/>
    <w:rsid w:val="00090F05"/>
    <w:rsid w:val="00090F68"/>
    <w:rsid w:val="00090FEC"/>
    <w:rsid w:val="000910E0"/>
    <w:rsid w:val="00091219"/>
    <w:rsid w:val="000914C4"/>
    <w:rsid w:val="000915BB"/>
    <w:rsid w:val="000915F8"/>
    <w:rsid w:val="000916EA"/>
    <w:rsid w:val="0009176F"/>
    <w:rsid w:val="000918A0"/>
    <w:rsid w:val="000918CD"/>
    <w:rsid w:val="0009192A"/>
    <w:rsid w:val="0009196A"/>
    <w:rsid w:val="000919B1"/>
    <w:rsid w:val="00091A76"/>
    <w:rsid w:val="00091D4B"/>
    <w:rsid w:val="00091DB5"/>
    <w:rsid w:val="00091E5E"/>
    <w:rsid w:val="00091EA0"/>
    <w:rsid w:val="00091FC4"/>
    <w:rsid w:val="00092499"/>
    <w:rsid w:val="000925E0"/>
    <w:rsid w:val="0009268B"/>
    <w:rsid w:val="000926F7"/>
    <w:rsid w:val="00092D8B"/>
    <w:rsid w:val="00092E6A"/>
    <w:rsid w:val="00092EE7"/>
    <w:rsid w:val="0009308E"/>
    <w:rsid w:val="000931F2"/>
    <w:rsid w:val="000932DC"/>
    <w:rsid w:val="000935C4"/>
    <w:rsid w:val="00093791"/>
    <w:rsid w:val="000938BA"/>
    <w:rsid w:val="000938C7"/>
    <w:rsid w:val="00093975"/>
    <w:rsid w:val="00093AED"/>
    <w:rsid w:val="00093BEB"/>
    <w:rsid w:val="00093D01"/>
    <w:rsid w:val="00093F80"/>
    <w:rsid w:val="0009412B"/>
    <w:rsid w:val="0009414C"/>
    <w:rsid w:val="000941C8"/>
    <w:rsid w:val="000941F7"/>
    <w:rsid w:val="0009420A"/>
    <w:rsid w:val="0009440B"/>
    <w:rsid w:val="00094514"/>
    <w:rsid w:val="00094552"/>
    <w:rsid w:val="00094819"/>
    <w:rsid w:val="0009495E"/>
    <w:rsid w:val="00094BA4"/>
    <w:rsid w:val="00094DBD"/>
    <w:rsid w:val="00094E43"/>
    <w:rsid w:val="0009509E"/>
    <w:rsid w:val="00095119"/>
    <w:rsid w:val="000953CC"/>
    <w:rsid w:val="00095491"/>
    <w:rsid w:val="0009549C"/>
    <w:rsid w:val="000958D1"/>
    <w:rsid w:val="00095A54"/>
    <w:rsid w:val="00095D9F"/>
    <w:rsid w:val="00095F4B"/>
    <w:rsid w:val="00096093"/>
    <w:rsid w:val="0009620C"/>
    <w:rsid w:val="000964E2"/>
    <w:rsid w:val="00096577"/>
    <w:rsid w:val="00096A4C"/>
    <w:rsid w:val="00096B55"/>
    <w:rsid w:val="00096BA0"/>
    <w:rsid w:val="00096DBC"/>
    <w:rsid w:val="00096DC2"/>
    <w:rsid w:val="00096F1B"/>
    <w:rsid w:val="0009755E"/>
    <w:rsid w:val="000975BF"/>
    <w:rsid w:val="0009775C"/>
    <w:rsid w:val="00097820"/>
    <w:rsid w:val="00097C91"/>
    <w:rsid w:val="000A042E"/>
    <w:rsid w:val="000A068C"/>
    <w:rsid w:val="000A0784"/>
    <w:rsid w:val="000A0867"/>
    <w:rsid w:val="000A0EC5"/>
    <w:rsid w:val="000A109C"/>
    <w:rsid w:val="000A1261"/>
    <w:rsid w:val="000A12FA"/>
    <w:rsid w:val="000A156C"/>
    <w:rsid w:val="000A16E2"/>
    <w:rsid w:val="000A183E"/>
    <w:rsid w:val="000A1B0D"/>
    <w:rsid w:val="000A1D1A"/>
    <w:rsid w:val="000A1DC5"/>
    <w:rsid w:val="000A1FCD"/>
    <w:rsid w:val="000A27D6"/>
    <w:rsid w:val="000A286D"/>
    <w:rsid w:val="000A2A28"/>
    <w:rsid w:val="000A2C4E"/>
    <w:rsid w:val="000A2D21"/>
    <w:rsid w:val="000A2D9B"/>
    <w:rsid w:val="000A3478"/>
    <w:rsid w:val="000A3524"/>
    <w:rsid w:val="000A3772"/>
    <w:rsid w:val="000A3851"/>
    <w:rsid w:val="000A3CAF"/>
    <w:rsid w:val="000A3CC7"/>
    <w:rsid w:val="000A3CFA"/>
    <w:rsid w:val="000A3E0E"/>
    <w:rsid w:val="000A3ED4"/>
    <w:rsid w:val="000A414F"/>
    <w:rsid w:val="000A4300"/>
    <w:rsid w:val="000A452C"/>
    <w:rsid w:val="000A4671"/>
    <w:rsid w:val="000A4A58"/>
    <w:rsid w:val="000A4ECC"/>
    <w:rsid w:val="000A4F5F"/>
    <w:rsid w:val="000A53E6"/>
    <w:rsid w:val="000A5734"/>
    <w:rsid w:val="000A58A6"/>
    <w:rsid w:val="000A58FD"/>
    <w:rsid w:val="000A59E2"/>
    <w:rsid w:val="000A5A8B"/>
    <w:rsid w:val="000A5AED"/>
    <w:rsid w:val="000A5BC2"/>
    <w:rsid w:val="000A5CAA"/>
    <w:rsid w:val="000A5CC5"/>
    <w:rsid w:val="000A5E9D"/>
    <w:rsid w:val="000A60C5"/>
    <w:rsid w:val="000A6173"/>
    <w:rsid w:val="000A63CA"/>
    <w:rsid w:val="000A67DE"/>
    <w:rsid w:val="000A68E0"/>
    <w:rsid w:val="000A6A35"/>
    <w:rsid w:val="000A724F"/>
    <w:rsid w:val="000A74E2"/>
    <w:rsid w:val="000A758F"/>
    <w:rsid w:val="000A768C"/>
    <w:rsid w:val="000A78EE"/>
    <w:rsid w:val="000A78FF"/>
    <w:rsid w:val="000A7E07"/>
    <w:rsid w:val="000A7F82"/>
    <w:rsid w:val="000B0013"/>
    <w:rsid w:val="000B009F"/>
    <w:rsid w:val="000B0449"/>
    <w:rsid w:val="000B07DB"/>
    <w:rsid w:val="000B0868"/>
    <w:rsid w:val="000B08FD"/>
    <w:rsid w:val="000B0A6A"/>
    <w:rsid w:val="000B0BD8"/>
    <w:rsid w:val="000B0D69"/>
    <w:rsid w:val="000B0DB5"/>
    <w:rsid w:val="000B0FA9"/>
    <w:rsid w:val="000B1092"/>
    <w:rsid w:val="000B10C2"/>
    <w:rsid w:val="000B12E2"/>
    <w:rsid w:val="000B142A"/>
    <w:rsid w:val="000B148F"/>
    <w:rsid w:val="000B1688"/>
    <w:rsid w:val="000B16C9"/>
    <w:rsid w:val="000B1703"/>
    <w:rsid w:val="000B1772"/>
    <w:rsid w:val="000B1873"/>
    <w:rsid w:val="000B1AD6"/>
    <w:rsid w:val="000B1AF6"/>
    <w:rsid w:val="000B1B5E"/>
    <w:rsid w:val="000B1D02"/>
    <w:rsid w:val="000B1EAF"/>
    <w:rsid w:val="000B1F0C"/>
    <w:rsid w:val="000B2188"/>
    <w:rsid w:val="000B2218"/>
    <w:rsid w:val="000B226A"/>
    <w:rsid w:val="000B227F"/>
    <w:rsid w:val="000B23E5"/>
    <w:rsid w:val="000B24D9"/>
    <w:rsid w:val="000B2533"/>
    <w:rsid w:val="000B25DE"/>
    <w:rsid w:val="000B26DC"/>
    <w:rsid w:val="000B278D"/>
    <w:rsid w:val="000B28FF"/>
    <w:rsid w:val="000B2994"/>
    <w:rsid w:val="000B2E43"/>
    <w:rsid w:val="000B2EAE"/>
    <w:rsid w:val="000B2F15"/>
    <w:rsid w:val="000B2F19"/>
    <w:rsid w:val="000B30D7"/>
    <w:rsid w:val="000B321D"/>
    <w:rsid w:val="000B3421"/>
    <w:rsid w:val="000B35BE"/>
    <w:rsid w:val="000B3999"/>
    <w:rsid w:val="000B3BD2"/>
    <w:rsid w:val="000B3C73"/>
    <w:rsid w:val="000B4074"/>
    <w:rsid w:val="000B40B0"/>
    <w:rsid w:val="000B42A3"/>
    <w:rsid w:val="000B4793"/>
    <w:rsid w:val="000B483A"/>
    <w:rsid w:val="000B4885"/>
    <w:rsid w:val="000B49E2"/>
    <w:rsid w:val="000B49FD"/>
    <w:rsid w:val="000B4C6A"/>
    <w:rsid w:val="000B4C82"/>
    <w:rsid w:val="000B4D0F"/>
    <w:rsid w:val="000B4D22"/>
    <w:rsid w:val="000B50C1"/>
    <w:rsid w:val="000B5124"/>
    <w:rsid w:val="000B52EA"/>
    <w:rsid w:val="000B53E9"/>
    <w:rsid w:val="000B55FB"/>
    <w:rsid w:val="000B5923"/>
    <w:rsid w:val="000B606A"/>
    <w:rsid w:val="000B60EE"/>
    <w:rsid w:val="000B61B7"/>
    <w:rsid w:val="000B6490"/>
    <w:rsid w:val="000B649C"/>
    <w:rsid w:val="000B65B1"/>
    <w:rsid w:val="000B6939"/>
    <w:rsid w:val="000B6A94"/>
    <w:rsid w:val="000B6B74"/>
    <w:rsid w:val="000B6D13"/>
    <w:rsid w:val="000B6F16"/>
    <w:rsid w:val="000B6FED"/>
    <w:rsid w:val="000B72B8"/>
    <w:rsid w:val="000B7618"/>
    <w:rsid w:val="000B7660"/>
    <w:rsid w:val="000B7966"/>
    <w:rsid w:val="000B7A22"/>
    <w:rsid w:val="000B7AED"/>
    <w:rsid w:val="000B7C59"/>
    <w:rsid w:val="000B7D10"/>
    <w:rsid w:val="000B7E3F"/>
    <w:rsid w:val="000B7EC9"/>
    <w:rsid w:val="000C00C0"/>
    <w:rsid w:val="000C01F2"/>
    <w:rsid w:val="000C05C2"/>
    <w:rsid w:val="000C071A"/>
    <w:rsid w:val="000C0C1C"/>
    <w:rsid w:val="000C0D95"/>
    <w:rsid w:val="000C0E19"/>
    <w:rsid w:val="000C0E60"/>
    <w:rsid w:val="000C1599"/>
    <w:rsid w:val="000C1746"/>
    <w:rsid w:val="000C19D2"/>
    <w:rsid w:val="000C1A45"/>
    <w:rsid w:val="000C1F0C"/>
    <w:rsid w:val="000C20FF"/>
    <w:rsid w:val="000C23FB"/>
    <w:rsid w:val="000C25E7"/>
    <w:rsid w:val="000C26EF"/>
    <w:rsid w:val="000C2708"/>
    <w:rsid w:val="000C27DC"/>
    <w:rsid w:val="000C280D"/>
    <w:rsid w:val="000C2967"/>
    <w:rsid w:val="000C2B09"/>
    <w:rsid w:val="000C2BA6"/>
    <w:rsid w:val="000C2D48"/>
    <w:rsid w:val="000C2F22"/>
    <w:rsid w:val="000C3174"/>
    <w:rsid w:val="000C3249"/>
    <w:rsid w:val="000C3313"/>
    <w:rsid w:val="000C369B"/>
    <w:rsid w:val="000C3778"/>
    <w:rsid w:val="000C39F1"/>
    <w:rsid w:val="000C3BA4"/>
    <w:rsid w:val="000C3BD0"/>
    <w:rsid w:val="000C3C5B"/>
    <w:rsid w:val="000C3C65"/>
    <w:rsid w:val="000C3DB6"/>
    <w:rsid w:val="000C3F58"/>
    <w:rsid w:val="000C4274"/>
    <w:rsid w:val="000C43C8"/>
    <w:rsid w:val="000C44DD"/>
    <w:rsid w:val="000C4588"/>
    <w:rsid w:val="000C46BA"/>
    <w:rsid w:val="000C475F"/>
    <w:rsid w:val="000C4778"/>
    <w:rsid w:val="000C481C"/>
    <w:rsid w:val="000C4A8B"/>
    <w:rsid w:val="000C4ABC"/>
    <w:rsid w:val="000C4DE2"/>
    <w:rsid w:val="000C4F33"/>
    <w:rsid w:val="000C52D7"/>
    <w:rsid w:val="000C5508"/>
    <w:rsid w:val="000C5541"/>
    <w:rsid w:val="000C5756"/>
    <w:rsid w:val="000C58DB"/>
    <w:rsid w:val="000C597A"/>
    <w:rsid w:val="000C5B3A"/>
    <w:rsid w:val="000C5BC1"/>
    <w:rsid w:val="000C5D6E"/>
    <w:rsid w:val="000C6129"/>
    <w:rsid w:val="000C627F"/>
    <w:rsid w:val="000C641A"/>
    <w:rsid w:val="000C643A"/>
    <w:rsid w:val="000C6509"/>
    <w:rsid w:val="000C6524"/>
    <w:rsid w:val="000C6A09"/>
    <w:rsid w:val="000C6BB8"/>
    <w:rsid w:val="000C6C78"/>
    <w:rsid w:val="000C6D1D"/>
    <w:rsid w:val="000C6EE3"/>
    <w:rsid w:val="000C6EFF"/>
    <w:rsid w:val="000C70FD"/>
    <w:rsid w:val="000C7239"/>
    <w:rsid w:val="000C7461"/>
    <w:rsid w:val="000C7808"/>
    <w:rsid w:val="000C7999"/>
    <w:rsid w:val="000D0087"/>
    <w:rsid w:val="000D02B8"/>
    <w:rsid w:val="000D03C1"/>
    <w:rsid w:val="000D0812"/>
    <w:rsid w:val="000D0A89"/>
    <w:rsid w:val="000D0ABF"/>
    <w:rsid w:val="000D0CDA"/>
    <w:rsid w:val="000D0D07"/>
    <w:rsid w:val="000D0D73"/>
    <w:rsid w:val="000D0FF7"/>
    <w:rsid w:val="000D109A"/>
    <w:rsid w:val="000D10E3"/>
    <w:rsid w:val="000D11BC"/>
    <w:rsid w:val="000D12D2"/>
    <w:rsid w:val="000D13D7"/>
    <w:rsid w:val="000D156C"/>
    <w:rsid w:val="000D1694"/>
    <w:rsid w:val="000D1824"/>
    <w:rsid w:val="000D19D9"/>
    <w:rsid w:val="000D1ACF"/>
    <w:rsid w:val="000D1B23"/>
    <w:rsid w:val="000D1CFC"/>
    <w:rsid w:val="000D1D5B"/>
    <w:rsid w:val="000D1DBD"/>
    <w:rsid w:val="000D212B"/>
    <w:rsid w:val="000D22E5"/>
    <w:rsid w:val="000D28F6"/>
    <w:rsid w:val="000D2A63"/>
    <w:rsid w:val="000D2B2E"/>
    <w:rsid w:val="000D2E69"/>
    <w:rsid w:val="000D2FC2"/>
    <w:rsid w:val="000D321D"/>
    <w:rsid w:val="000D3257"/>
    <w:rsid w:val="000D33BC"/>
    <w:rsid w:val="000D3507"/>
    <w:rsid w:val="000D36BF"/>
    <w:rsid w:val="000D36D1"/>
    <w:rsid w:val="000D389D"/>
    <w:rsid w:val="000D3A92"/>
    <w:rsid w:val="000D3B97"/>
    <w:rsid w:val="000D3EC5"/>
    <w:rsid w:val="000D3F59"/>
    <w:rsid w:val="000D40EB"/>
    <w:rsid w:val="000D4171"/>
    <w:rsid w:val="000D449A"/>
    <w:rsid w:val="000D4504"/>
    <w:rsid w:val="000D455C"/>
    <w:rsid w:val="000D45C1"/>
    <w:rsid w:val="000D4AD8"/>
    <w:rsid w:val="000D4B98"/>
    <w:rsid w:val="000D4F51"/>
    <w:rsid w:val="000D51B6"/>
    <w:rsid w:val="000D53D6"/>
    <w:rsid w:val="000D553A"/>
    <w:rsid w:val="000D5617"/>
    <w:rsid w:val="000D56A1"/>
    <w:rsid w:val="000D5822"/>
    <w:rsid w:val="000D5B96"/>
    <w:rsid w:val="000D5BB7"/>
    <w:rsid w:val="000D5C19"/>
    <w:rsid w:val="000D5F61"/>
    <w:rsid w:val="000D63ED"/>
    <w:rsid w:val="000D697E"/>
    <w:rsid w:val="000D6B34"/>
    <w:rsid w:val="000D6BC3"/>
    <w:rsid w:val="000D6BF7"/>
    <w:rsid w:val="000D6C69"/>
    <w:rsid w:val="000D6CA6"/>
    <w:rsid w:val="000D6DD9"/>
    <w:rsid w:val="000D715D"/>
    <w:rsid w:val="000D75F8"/>
    <w:rsid w:val="000D773B"/>
    <w:rsid w:val="000D797E"/>
    <w:rsid w:val="000E018E"/>
    <w:rsid w:val="000E01A6"/>
    <w:rsid w:val="000E01B5"/>
    <w:rsid w:val="000E02C4"/>
    <w:rsid w:val="000E0352"/>
    <w:rsid w:val="000E04E9"/>
    <w:rsid w:val="000E06AC"/>
    <w:rsid w:val="000E08BA"/>
    <w:rsid w:val="000E08DB"/>
    <w:rsid w:val="000E09B8"/>
    <w:rsid w:val="000E0A9A"/>
    <w:rsid w:val="000E0B4B"/>
    <w:rsid w:val="000E0CDD"/>
    <w:rsid w:val="000E0D42"/>
    <w:rsid w:val="000E0DA2"/>
    <w:rsid w:val="000E0DBC"/>
    <w:rsid w:val="000E0DC9"/>
    <w:rsid w:val="000E0F91"/>
    <w:rsid w:val="000E0FBD"/>
    <w:rsid w:val="000E10EB"/>
    <w:rsid w:val="000E1312"/>
    <w:rsid w:val="000E167B"/>
    <w:rsid w:val="000E16D3"/>
    <w:rsid w:val="000E1703"/>
    <w:rsid w:val="000E180E"/>
    <w:rsid w:val="000E1AF9"/>
    <w:rsid w:val="000E1DE9"/>
    <w:rsid w:val="000E1E38"/>
    <w:rsid w:val="000E1E47"/>
    <w:rsid w:val="000E1E59"/>
    <w:rsid w:val="000E1E8D"/>
    <w:rsid w:val="000E1EDA"/>
    <w:rsid w:val="000E2215"/>
    <w:rsid w:val="000E222A"/>
    <w:rsid w:val="000E22E6"/>
    <w:rsid w:val="000E241B"/>
    <w:rsid w:val="000E24A7"/>
    <w:rsid w:val="000E25B7"/>
    <w:rsid w:val="000E26E8"/>
    <w:rsid w:val="000E273C"/>
    <w:rsid w:val="000E2958"/>
    <w:rsid w:val="000E2A42"/>
    <w:rsid w:val="000E2A7A"/>
    <w:rsid w:val="000E2B10"/>
    <w:rsid w:val="000E2C45"/>
    <w:rsid w:val="000E2D7B"/>
    <w:rsid w:val="000E2DCE"/>
    <w:rsid w:val="000E307A"/>
    <w:rsid w:val="000E30F5"/>
    <w:rsid w:val="000E31C9"/>
    <w:rsid w:val="000E3395"/>
    <w:rsid w:val="000E357B"/>
    <w:rsid w:val="000E3710"/>
    <w:rsid w:val="000E3B65"/>
    <w:rsid w:val="000E3B7B"/>
    <w:rsid w:val="000E3D30"/>
    <w:rsid w:val="000E3DF9"/>
    <w:rsid w:val="000E3E95"/>
    <w:rsid w:val="000E4292"/>
    <w:rsid w:val="000E4546"/>
    <w:rsid w:val="000E4560"/>
    <w:rsid w:val="000E456C"/>
    <w:rsid w:val="000E4686"/>
    <w:rsid w:val="000E472C"/>
    <w:rsid w:val="000E4C7F"/>
    <w:rsid w:val="000E513D"/>
    <w:rsid w:val="000E5489"/>
    <w:rsid w:val="000E571D"/>
    <w:rsid w:val="000E581D"/>
    <w:rsid w:val="000E5925"/>
    <w:rsid w:val="000E5A40"/>
    <w:rsid w:val="000E5B73"/>
    <w:rsid w:val="000E5DA3"/>
    <w:rsid w:val="000E5E4D"/>
    <w:rsid w:val="000E5FD4"/>
    <w:rsid w:val="000E6070"/>
    <w:rsid w:val="000E62D1"/>
    <w:rsid w:val="000E6379"/>
    <w:rsid w:val="000E6432"/>
    <w:rsid w:val="000E649C"/>
    <w:rsid w:val="000E64E0"/>
    <w:rsid w:val="000E67F4"/>
    <w:rsid w:val="000E70D9"/>
    <w:rsid w:val="000E7127"/>
    <w:rsid w:val="000E716C"/>
    <w:rsid w:val="000E74C8"/>
    <w:rsid w:val="000E74CE"/>
    <w:rsid w:val="000E760F"/>
    <w:rsid w:val="000E779D"/>
    <w:rsid w:val="000E77D4"/>
    <w:rsid w:val="000E788F"/>
    <w:rsid w:val="000E7BF2"/>
    <w:rsid w:val="000E7CC6"/>
    <w:rsid w:val="000E7D53"/>
    <w:rsid w:val="000F0076"/>
    <w:rsid w:val="000F020E"/>
    <w:rsid w:val="000F02AB"/>
    <w:rsid w:val="000F02BF"/>
    <w:rsid w:val="000F0484"/>
    <w:rsid w:val="000F0611"/>
    <w:rsid w:val="000F07A0"/>
    <w:rsid w:val="000F07AF"/>
    <w:rsid w:val="000F0BB9"/>
    <w:rsid w:val="000F0BD4"/>
    <w:rsid w:val="000F10E4"/>
    <w:rsid w:val="000F11C3"/>
    <w:rsid w:val="000F1285"/>
    <w:rsid w:val="000F12C9"/>
    <w:rsid w:val="000F1631"/>
    <w:rsid w:val="000F16E5"/>
    <w:rsid w:val="000F16FD"/>
    <w:rsid w:val="000F1973"/>
    <w:rsid w:val="000F1E1E"/>
    <w:rsid w:val="000F1ED4"/>
    <w:rsid w:val="000F21A4"/>
    <w:rsid w:val="000F21CF"/>
    <w:rsid w:val="000F2327"/>
    <w:rsid w:val="000F2430"/>
    <w:rsid w:val="000F2446"/>
    <w:rsid w:val="000F26D4"/>
    <w:rsid w:val="000F27D4"/>
    <w:rsid w:val="000F296D"/>
    <w:rsid w:val="000F29C1"/>
    <w:rsid w:val="000F2A7D"/>
    <w:rsid w:val="000F2B30"/>
    <w:rsid w:val="000F2D08"/>
    <w:rsid w:val="000F2E62"/>
    <w:rsid w:val="000F2E90"/>
    <w:rsid w:val="000F34E5"/>
    <w:rsid w:val="000F3625"/>
    <w:rsid w:val="000F3711"/>
    <w:rsid w:val="000F377D"/>
    <w:rsid w:val="000F37AC"/>
    <w:rsid w:val="000F37B3"/>
    <w:rsid w:val="000F3884"/>
    <w:rsid w:val="000F38B2"/>
    <w:rsid w:val="000F39BE"/>
    <w:rsid w:val="000F3BE4"/>
    <w:rsid w:val="000F3BF9"/>
    <w:rsid w:val="000F3C64"/>
    <w:rsid w:val="000F3FF2"/>
    <w:rsid w:val="000F4094"/>
    <w:rsid w:val="000F4184"/>
    <w:rsid w:val="000F420E"/>
    <w:rsid w:val="000F437C"/>
    <w:rsid w:val="000F43A0"/>
    <w:rsid w:val="000F43B4"/>
    <w:rsid w:val="000F43BB"/>
    <w:rsid w:val="000F4554"/>
    <w:rsid w:val="000F46F4"/>
    <w:rsid w:val="000F4735"/>
    <w:rsid w:val="000F4A9F"/>
    <w:rsid w:val="000F4BEB"/>
    <w:rsid w:val="000F4DC2"/>
    <w:rsid w:val="000F4EA2"/>
    <w:rsid w:val="000F4EE2"/>
    <w:rsid w:val="000F4F72"/>
    <w:rsid w:val="000F5102"/>
    <w:rsid w:val="000F555E"/>
    <w:rsid w:val="000F55E1"/>
    <w:rsid w:val="000F56E0"/>
    <w:rsid w:val="000F57E7"/>
    <w:rsid w:val="000F5AF1"/>
    <w:rsid w:val="000F5BFA"/>
    <w:rsid w:val="000F5C7B"/>
    <w:rsid w:val="000F5D3F"/>
    <w:rsid w:val="000F5D40"/>
    <w:rsid w:val="000F5F24"/>
    <w:rsid w:val="000F60B8"/>
    <w:rsid w:val="000F60F6"/>
    <w:rsid w:val="000F6336"/>
    <w:rsid w:val="000F63CD"/>
    <w:rsid w:val="000F63FB"/>
    <w:rsid w:val="000F6434"/>
    <w:rsid w:val="000F675F"/>
    <w:rsid w:val="000F685A"/>
    <w:rsid w:val="000F6992"/>
    <w:rsid w:val="000F6B04"/>
    <w:rsid w:val="000F6B4F"/>
    <w:rsid w:val="000F6D7D"/>
    <w:rsid w:val="000F6F4B"/>
    <w:rsid w:val="000F6F53"/>
    <w:rsid w:val="000F71C3"/>
    <w:rsid w:val="000F7408"/>
    <w:rsid w:val="000F74CC"/>
    <w:rsid w:val="000F7818"/>
    <w:rsid w:val="000F782C"/>
    <w:rsid w:val="000F786A"/>
    <w:rsid w:val="000F7872"/>
    <w:rsid w:val="000F79DD"/>
    <w:rsid w:val="000F7B26"/>
    <w:rsid w:val="00100075"/>
    <w:rsid w:val="0010052B"/>
    <w:rsid w:val="001005B7"/>
    <w:rsid w:val="0010064A"/>
    <w:rsid w:val="0010089D"/>
    <w:rsid w:val="00100C07"/>
    <w:rsid w:val="00100CB3"/>
    <w:rsid w:val="00100E0B"/>
    <w:rsid w:val="00100E1F"/>
    <w:rsid w:val="00100EC0"/>
    <w:rsid w:val="00100EE2"/>
    <w:rsid w:val="00100FBC"/>
    <w:rsid w:val="00100FC4"/>
    <w:rsid w:val="00101409"/>
    <w:rsid w:val="00101580"/>
    <w:rsid w:val="001015DC"/>
    <w:rsid w:val="001018ED"/>
    <w:rsid w:val="0010196F"/>
    <w:rsid w:val="00101B70"/>
    <w:rsid w:val="00101C23"/>
    <w:rsid w:val="00101C89"/>
    <w:rsid w:val="00101F4F"/>
    <w:rsid w:val="00101F72"/>
    <w:rsid w:val="001022AF"/>
    <w:rsid w:val="001022E6"/>
    <w:rsid w:val="0010236C"/>
    <w:rsid w:val="00102652"/>
    <w:rsid w:val="00102C51"/>
    <w:rsid w:val="00102D2F"/>
    <w:rsid w:val="001032FD"/>
    <w:rsid w:val="00103354"/>
    <w:rsid w:val="00103410"/>
    <w:rsid w:val="00103490"/>
    <w:rsid w:val="001034F1"/>
    <w:rsid w:val="00103594"/>
    <w:rsid w:val="00103609"/>
    <w:rsid w:val="00103619"/>
    <w:rsid w:val="001036B5"/>
    <w:rsid w:val="001036BD"/>
    <w:rsid w:val="00103774"/>
    <w:rsid w:val="001038DE"/>
    <w:rsid w:val="00103BF2"/>
    <w:rsid w:val="00103C01"/>
    <w:rsid w:val="00104398"/>
    <w:rsid w:val="0010452A"/>
    <w:rsid w:val="00104572"/>
    <w:rsid w:val="0010475E"/>
    <w:rsid w:val="001048B0"/>
    <w:rsid w:val="00104A60"/>
    <w:rsid w:val="00104A67"/>
    <w:rsid w:val="00104B04"/>
    <w:rsid w:val="00104B0D"/>
    <w:rsid w:val="00104F1B"/>
    <w:rsid w:val="001052E1"/>
    <w:rsid w:val="0010557B"/>
    <w:rsid w:val="00105DED"/>
    <w:rsid w:val="00105E1F"/>
    <w:rsid w:val="00106202"/>
    <w:rsid w:val="0010621C"/>
    <w:rsid w:val="001062A4"/>
    <w:rsid w:val="00106445"/>
    <w:rsid w:val="0010652C"/>
    <w:rsid w:val="00106613"/>
    <w:rsid w:val="00106729"/>
    <w:rsid w:val="001068B0"/>
    <w:rsid w:val="00106909"/>
    <w:rsid w:val="00106911"/>
    <w:rsid w:val="00106928"/>
    <w:rsid w:val="00106A1D"/>
    <w:rsid w:val="00106A4C"/>
    <w:rsid w:val="00106C7A"/>
    <w:rsid w:val="00106CF5"/>
    <w:rsid w:val="00106E9D"/>
    <w:rsid w:val="00106ED5"/>
    <w:rsid w:val="00107030"/>
    <w:rsid w:val="001073E0"/>
    <w:rsid w:val="001074B8"/>
    <w:rsid w:val="001075BC"/>
    <w:rsid w:val="00107AC0"/>
    <w:rsid w:val="00107B9D"/>
    <w:rsid w:val="00107BDB"/>
    <w:rsid w:val="00107C7A"/>
    <w:rsid w:val="0011014F"/>
    <w:rsid w:val="00110391"/>
    <w:rsid w:val="0011059E"/>
    <w:rsid w:val="00110761"/>
    <w:rsid w:val="001107AA"/>
    <w:rsid w:val="001107EA"/>
    <w:rsid w:val="0011097E"/>
    <w:rsid w:val="00110C7F"/>
    <w:rsid w:val="00110D69"/>
    <w:rsid w:val="00110D89"/>
    <w:rsid w:val="00110F81"/>
    <w:rsid w:val="001110E3"/>
    <w:rsid w:val="00111110"/>
    <w:rsid w:val="001111E8"/>
    <w:rsid w:val="001113B8"/>
    <w:rsid w:val="00111477"/>
    <w:rsid w:val="00111A28"/>
    <w:rsid w:val="00111F35"/>
    <w:rsid w:val="00111F46"/>
    <w:rsid w:val="00112054"/>
    <w:rsid w:val="001120F8"/>
    <w:rsid w:val="00112147"/>
    <w:rsid w:val="001122CF"/>
    <w:rsid w:val="00112535"/>
    <w:rsid w:val="0011273C"/>
    <w:rsid w:val="00112767"/>
    <w:rsid w:val="00112806"/>
    <w:rsid w:val="0011290E"/>
    <w:rsid w:val="00112925"/>
    <w:rsid w:val="00112928"/>
    <w:rsid w:val="00112A0F"/>
    <w:rsid w:val="00112AE6"/>
    <w:rsid w:val="00112BEA"/>
    <w:rsid w:val="00112C8F"/>
    <w:rsid w:val="00112D8D"/>
    <w:rsid w:val="00112E6B"/>
    <w:rsid w:val="00112E82"/>
    <w:rsid w:val="00112EDC"/>
    <w:rsid w:val="00112F8A"/>
    <w:rsid w:val="00112F8E"/>
    <w:rsid w:val="00113097"/>
    <w:rsid w:val="001134AB"/>
    <w:rsid w:val="0011366E"/>
    <w:rsid w:val="00113919"/>
    <w:rsid w:val="00113C15"/>
    <w:rsid w:val="00113C48"/>
    <w:rsid w:val="00113CA2"/>
    <w:rsid w:val="00113CC3"/>
    <w:rsid w:val="00113FA8"/>
    <w:rsid w:val="00114366"/>
    <w:rsid w:val="00114404"/>
    <w:rsid w:val="001144E6"/>
    <w:rsid w:val="00114737"/>
    <w:rsid w:val="00114792"/>
    <w:rsid w:val="00114880"/>
    <w:rsid w:val="00114930"/>
    <w:rsid w:val="001149FC"/>
    <w:rsid w:val="00114B0B"/>
    <w:rsid w:val="00114B97"/>
    <w:rsid w:val="00114CA0"/>
    <w:rsid w:val="00114EA0"/>
    <w:rsid w:val="0011514E"/>
    <w:rsid w:val="00115580"/>
    <w:rsid w:val="001155CA"/>
    <w:rsid w:val="0011563C"/>
    <w:rsid w:val="0011570E"/>
    <w:rsid w:val="001157DC"/>
    <w:rsid w:val="001158FB"/>
    <w:rsid w:val="00115A79"/>
    <w:rsid w:val="00115B91"/>
    <w:rsid w:val="00115F89"/>
    <w:rsid w:val="0011610F"/>
    <w:rsid w:val="0011620F"/>
    <w:rsid w:val="0011623D"/>
    <w:rsid w:val="00116934"/>
    <w:rsid w:val="00116A50"/>
    <w:rsid w:val="00116D47"/>
    <w:rsid w:val="00116DD7"/>
    <w:rsid w:val="00116EC5"/>
    <w:rsid w:val="00116FE6"/>
    <w:rsid w:val="00116FEA"/>
    <w:rsid w:val="0011704F"/>
    <w:rsid w:val="0011766A"/>
    <w:rsid w:val="00117688"/>
    <w:rsid w:val="00117842"/>
    <w:rsid w:val="0011789A"/>
    <w:rsid w:val="00117954"/>
    <w:rsid w:val="00117AB9"/>
    <w:rsid w:val="00117DCC"/>
    <w:rsid w:val="00117E4A"/>
    <w:rsid w:val="00117ECB"/>
    <w:rsid w:val="001204AF"/>
    <w:rsid w:val="00120551"/>
    <w:rsid w:val="00120682"/>
    <w:rsid w:val="001206BC"/>
    <w:rsid w:val="00120A66"/>
    <w:rsid w:val="00120AE2"/>
    <w:rsid w:val="00120C60"/>
    <w:rsid w:val="00120FF6"/>
    <w:rsid w:val="0012157A"/>
    <w:rsid w:val="00121881"/>
    <w:rsid w:val="0012232E"/>
    <w:rsid w:val="001224D8"/>
    <w:rsid w:val="00122714"/>
    <w:rsid w:val="001227E0"/>
    <w:rsid w:val="001228B3"/>
    <w:rsid w:val="001228F3"/>
    <w:rsid w:val="00122B36"/>
    <w:rsid w:val="00122C3C"/>
    <w:rsid w:val="00122C4C"/>
    <w:rsid w:val="00122DA4"/>
    <w:rsid w:val="00123059"/>
    <w:rsid w:val="00123076"/>
    <w:rsid w:val="001231A4"/>
    <w:rsid w:val="0012353E"/>
    <w:rsid w:val="001235AE"/>
    <w:rsid w:val="00123641"/>
    <w:rsid w:val="00123705"/>
    <w:rsid w:val="0012371A"/>
    <w:rsid w:val="00123856"/>
    <w:rsid w:val="00124392"/>
    <w:rsid w:val="001243A3"/>
    <w:rsid w:val="0012451C"/>
    <w:rsid w:val="001247A4"/>
    <w:rsid w:val="00124819"/>
    <w:rsid w:val="0012489E"/>
    <w:rsid w:val="00124A9A"/>
    <w:rsid w:val="00124C26"/>
    <w:rsid w:val="00124C91"/>
    <w:rsid w:val="00124F72"/>
    <w:rsid w:val="00124FEC"/>
    <w:rsid w:val="00125021"/>
    <w:rsid w:val="0012518F"/>
    <w:rsid w:val="001254B1"/>
    <w:rsid w:val="001256A7"/>
    <w:rsid w:val="001257B9"/>
    <w:rsid w:val="0012585B"/>
    <w:rsid w:val="001259E7"/>
    <w:rsid w:val="00125A24"/>
    <w:rsid w:val="00125A42"/>
    <w:rsid w:val="00125B0B"/>
    <w:rsid w:val="00125DB5"/>
    <w:rsid w:val="00125F02"/>
    <w:rsid w:val="00125F9B"/>
    <w:rsid w:val="0012607B"/>
    <w:rsid w:val="00126744"/>
    <w:rsid w:val="00126799"/>
    <w:rsid w:val="001268D8"/>
    <w:rsid w:val="00126E66"/>
    <w:rsid w:val="001273DC"/>
    <w:rsid w:val="0012741F"/>
    <w:rsid w:val="00127634"/>
    <w:rsid w:val="00127794"/>
    <w:rsid w:val="001277A8"/>
    <w:rsid w:val="001279D0"/>
    <w:rsid w:val="00127A11"/>
    <w:rsid w:val="00127B82"/>
    <w:rsid w:val="00127E8D"/>
    <w:rsid w:val="00130149"/>
    <w:rsid w:val="0013018F"/>
    <w:rsid w:val="00130287"/>
    <w:rsid w:val="0013048A"/>
    <w:rsid w:val="00130652"/>
    <w:rsid w:val="0013090C"/>
    <w:rsid w:val="00130C57"/>
    <w:rsid w:val="00130ED8"/>
    <w:rsid w:val="00131047"/>
    <w:rsid w:val="0013128C"/>
    <w:rsid w:val="001312D4"/>
    <w:rsid w:val="001317EE"/>
    <w:rsid w:val="001319E9"/>
    <w:rsid w:val="00131B62"/>
    <w:rsid w:val="00131C62"/>
    <w:rsid w:val="00131C71"/>
    <w:rsid w:val="00131D67"/>
    <w:rsid w:val="00131DFE"/>
    <w:rsid w:val="00131EB6"/>
    <w:rsid w:val="00132000"/>
    <w:rsid w:val="00132003"/>
    <w:rsid w:val="0013236A"/>
    <w:rsid w:val="001323D7"/>
    <w:rsid w:val="001326D6"/>
    <w:rsid w:val="001328D7"/>
    <w:rsid w:val="00132BA4"/>
    <w:rsid w:val="00133079"/>
    <w:rsid w:val="0013310D"/>
    <w:rsid w:val="0013316E"/>
    <w:rsid w:val="0013337A"/>
    <w:rsid w:val="001335A9"/>
    <w:rsid w:val="001336AE"/>
    <w:rsid w:val="001336D5"/>
    <w:rsid w:val="0013373A"/>
    <w:rsid w:val="0013382C"/>
    <w:rsid w:val="00133A59"/>
    <w:rsid w:val="00133DC5"/>
    <w:rsid w:val="00133FBA"/>
    <w:rsid w:val="00133FCE"/>
    <w:rsid w:val="00134296"/>
    <w:rsid w:val="001342FA"/>
    <w:rsid w:val="00134347"/>
    <w:rsid w:val="00134458"/>
    <w:rsid w:val="00134590"/>
    <w:rsid w:val="001345E2"/>
    <w:rsid w:val="00134627"/>
    <w:rsid w:val="0013472E"/>
    <w:rsid w:val="00134BC3"/>
    <w:rsid w:val="00134E95"/>
    <w:rsid w:val="00135501"/>
    <w:rsid w:val="0013569F"/>
    <w:rsid w:val="001357A2"/>
    <w:rsid w:val="00135927"/>
    <w:rsid w:val="00135A37"/>
    <w:rsid w:val="00135AC8"/>
    <w:rsid w:val="00135B0A"/>
    <w:rsid w:val="00135DA8"/>
    <w:rsid w:val="001361C8"/>
    <w:rsid w:val="001361EB"/>
    <w:rsid w:val="0013630E"/>
    <w:rsid w:val="001363A8"/>
    <w:rsid w:val="001363FA"/>
    <w:rsid w:val="0013643A"/>
    <w:rsid w:val="001364AD"/>
    <w:rsid w:val="001365CA"/>
    <w:rsid w:val="00136A47"/>
    <w:rsid w:val="00136AE5"/>
    <w:rsid w:val="00136D66"/>
    <w:rsid w:val="00136D6E"/>
    <w:rsid w:val="00136D9D"/>
    <w:rsid w:val="00136FE2"/>
    <w:rsid w:val="0013720A"/>
    <w:rsid w:val="001372E5"/>
    <w:rsid w:val="001374E9"/>
    <w:rsid w:val="001375D4"/>
    <w:rsid w:val="00137A48"/>
    <w:rsid w:val="00137ADE"/>
    <w:rsid w:val="00137BB4"/>
    <w:rsid w:val="00137E10"/>
    <w:rsid w:val="00140086"/>
    <w:rsid w:val="001401C9"/>
    <w:rsid w:val="00140250"/>
    <w:rsid w:val="001402CC"/>
    <w:rsid w:val="001403FA"/>
    <w:rsid w:val="001404D6"/>
    <w:rsid w:val="00140A75"/>
    <w:rsid w:val="00140B32"/>
    <w:rsid w:val="00140CEC"/>
    <w:rsid w:val="00140F79"/>
    <w:rsid w:val="00140FF8"/>
    <w:rsid w:val="00141054"/>
    <w:rsid w:val="0014138D"/>
    <w:rsid w:val="001413C0"/>
    <w:rsid w:val="0014145A"/>
    <w:rsid w:val="00141474"/>
    <w:rsid w:val="001414F8"/>
    <w:rsid w:val="0014155A"/>
    <w:rsid w:val="0014192A"/>
    <w:rsid w:val="00141D76"/>
    <w:rsid w:val="00141FF6"/>
    <w:rsid w:val="00142050"/>
    <w:rsid w:val="0014213B"/>
    <w:rsid w:val="0014213C"/>
    <w:rsid w:val="00142198"/>
    <w:rsid w:val="001421C3"/>
    <w:rsid w:val="0014275D"/>
    <w:rsid w:val="00142884"/>
    <w:rsid w:val="001429DA"/>
    <w:rsid w:val="00142D1D"/>
    <w:rsid w:val="00142D86"/>
    <w:rsid w:val="00143326"/>
    <w:rsid w:val="00143332"/>
    <w:rsid w:val="00143665"/>
    <w:rsid w:val="001436B6"/>
    <w:rsid w:val="00143C99"/>
    <w:rsid w:val="001441C3"/>
    <w:rsid w:val="001442DB"/>
    <w:rsid w:val="0014431C"/>
    <w:rsid w:val="001444F1"/>
    <w:rsid w:val="00144595"/>
    <w:rsid w:val="001446B3"/>
    <w:rsid w:val="00144B28"/>
    <w:rsid w:val="00144C42"/>
    <w:rsid w:val="00144DBE"/>
    <w:rsid w:val="00144DC6"/>
    <w:rsid w:val="00144DE2"/>
    <w:rsid w:val="0014517E"/>
    <w:rsid w:val="0014523A"/>
    <w:rsid w:val="001452E5"/>
    <w:rsid w:val="001453EE"/>
    <w:rsid w:val="0014544F"/>
    <w:rsid w:val="00145802"/>
    <w:rsid w:val="0014585B"/>
    <w:rsid w:val="00145886"/>
    <w:rsid w:val="00145ABE"/>
    <w:rsid w:val="00145E2C"/>
    <w:rsid w:val="001460BF"/>
    <w:rsid w:val="00146159"/>
    <w:rsid w:val="00146225"/>
    <w:rsid w:val="00146406"/>
    <w:rsid w:val="00146C6F"/>
    <w:rsid w:val="00146CA1"/>
    <w:rsid w:val="00146D93"/>
    <w:rsid w:val="00146F59"/>
    <w:rsid w:val="00146F5A"/>
    <w:rsid w:val="00147074"/>
    <w:rsid w:val="001471BD"/>
    <w:rsid w:val="001471C7"/>
    <w:rsid w:val="001471E3"/>
    <w:rsid w:val="00147424"/>
    <w:rsid w:val="001475FC"/>
    <w:rsid w:val="001476A2"/>
    <w:rsid w:val="001478DA"/>
    <w:rsid w:val="00147A11"/>
    <w:rsid w:val="00147C72"/>
    <w:rsid w:val="00147DB6"/>
    <w:rsid w:val="00147F8D"/>
    <w:rsid w:val="00150099"/>
    <w:rsid w:val="001500D6"/>
    <w:rsid w:val="00150254"/>
    <w:rsid w:val="001505E5"/>
    <w:rsid w:val="00150610"/>
    <w:rsid w:val="00150656"/>
    <w:rsid w:val="00150AA0"/>
    <w:rsid w:val="00150B32"/>
    <w:rsid w:val="00150E16"/>
    <w:rsid w:val="00150EED"/>
    <w:rsid w:val="00150F7E"/>
    <w:rsid w:val="00150FF8"/>
    <w:rsid w:val="0015108F"/>
    <w:rsid w:val="0015115A"/>
    <w:rsid w:val="0015118B"/>
    <w:rsid w:val="00151506"/>
    <w:rsid w:val="001517D7"/>
    <w:rsid w:val="0015190D"/>
    <w:rsid w:val="0015242A"/>
    <w:rsid w:val="00152518"/>
    <w:rsid w:val="001529F4"/>
    <w:rsid w:val="00152B1C"/>
    <w:rsid w:val="00152BF7"/>
    <w:rsid w:val="00152C27"/>
    <w:rsid w:val="00152C7B"/>
    <w:rsid w:val="00152CE5"/>
    <w:rsid w:val="00152CF2"/>
    <w:rsid w:val="00152D10"/>
    <w:rsid w:val="00152D89"/>
    <w:rsid w:val="00152F9C"/>
    <w:rsid w:val="00152FAA"/>
    <w:rsid w:val="00153335"/>
    <w:rsid w:val="00153600"/>
    <w:rsid w:val="00153960"/>
    <w:rsid w:val="00153DDD"/>
    <w:rsid w:val="00153E91"/>
    <w:rsid w:val="00153F16"/>
    <w:rsid w:val="00154017"/>
    <w:rsid w:val="001540DD"/>
    <w:rsid w:val="00154196"/>
    <w:rsid w:val="00154218"/>
    <w:rsid w:val="0015445B"/>
    <w:rsid w:val="001544AE"/>
    <w:rsid w:val="001547BF"/>
    <w:rsid w:val="00154872"/>
    <w:rsid w:val="00154931"/>
    <w:rsid w:val="00154C57"/>
    <w:rsid w:val="00154CBA"/>
    <w:rsid w:val="00154E41"/>
    <w:rsid w:val="00154EE5"/>
    <w:rsid w:val="00155017"/>
    <w:rsid w:val="001550A4"/>
    <w:rsid w:val="00155207"/>
    <w:rsid w:val="00155573"/>
    <w:rsid w:val="001555B2"/>
    <w:rsid w:val="001555E8"/>
    <w:rsid w:val="00155833"/>
    <w:rsid w:val="0015595B"/>
    <w:rsid w:val="00155B95"/>
    <w:rsid w:val="00155EB5"/>
    <w:rsid w:val="0015621D"/>
    <w:rsid w:val="00156276"/>
    <w:rsid w:val="0015639E"/>
    <w:rsid w:val="00156552"/>
    <w:rsid w:val="00156BF8"/>
    <w:rsid w:val="00156D3A"/>
    <w:rsid w:val="00156D57"/>
    <w:rsid w:val="00156D85"/>
    <w:rsid w:val="00156F25"/>
    <w:rsid w:val="00156FA5"/>
    <w:rsid w:val="0015701C"/>
    <w:rsid w:val="0015703C"/>
    <w:rsid w:val="0015717F"/>
    <w:rsid w:val="0015727A"/>
    <w:rsid w:val="00157610"/>
    <w:rsid w:val="00157720"/>
    <w:rsid w:val="00157938"/>
    <w:rsid w:val="00157A6D"/>
    <w:rsid w:val="00157AB3"/>
    <w:rsid w:val="00157CC4"/>
    <w:rsid w:val="00157CE1"/>
    <w:rsid w:val="00157D24"/>
    <w:rsid w:val="00157DC5"/>
    <w:rsid w:val="00157E85"/>
    <w:rsid w:val="00157F13"/>
    <w:rsid w:val="00157F8A"/>
    <w:rsid w:val="00160131"/>
    <w:rsid w:val="0016028F"/>
    <w:rsid w:val="001604CF"/>
    <w:rsid w:val="00160514"/>
    <w:rsid w:val="00160573"/>
    <w:rsid w:val="00160AAE"/>
    <w:rsid w:val="00160AD5"/>
    <w:rsid w:val="00160B14"/>
    <w:rsid w:val="00160CCB"/>
    <w:rsid w:val="00160CFC"/>
    <w:rsid w:val="001610F8"/>
    <w:rsid w:val="001611E6"/>
    <w:rsid w:val="00161253"/>
    <w:rsid w:val="001615E8"/>
    <w:rsid w:val="0016160C"/>
    <w:rsid w:val="0016160D"/>
    <w:rsid w:val="00161840"/>
    <w:rsid w:val="00161B7E"/>
    <w:rsid w:val="00161CF0"/>
    <w:rsid w:val="00161F1A"/>
    <w:rsid w:val="00162075"/>
    <w:rsid w:val="001620F7"/>
    <w:rsid w:val="00162351"/>
    <w:rsid w:val="0016246C"/>
    <w:rsid w:val="00162479"/>
    <w:rsid w:val="001628A1"/>
    <w:rsid w:val="001628CE"/>
    <w:rsid w:val="00162905"/>
    <w:rsid w:val="00162A7A"/>
    <w:rsid w:val="00162B56"/>
    <w:rsid w:val="00162C29"/>
    <w:rsid w:val="00162FB0"/>
    <w:rsid w:val="00163062"/>
    <w:rsid w:val="001632FD"/>
    <w:rsid w:val="0016347C"/>
    <w:rsid w:val="00163485"/>
    <w:rsid w:val="001637DD"/>
    <w:rsid w:val="001639E5"/>
    <w:rsid w:val="00163AFE"/>
    <w:rsid w:val="00163B8C"/>
    <w:rsid w:val="00163BC0"/>
    <w:rsid w:val="00163D56"/>
    <w:rsid w:val="00163D5A"/>
    <w:rsid w:val="00164028"/>
    <w:rsid w:val="00164116"/>
    <w:rsid w:val="00164285"/>
    <w:rsid w:val="00164441"/>
    <w:rsid w:val="0016447A"/>
    <w:rsid w:val="00164488"/>
    <w:rsid w:val="0016462A"/>
    <w:rsid w:val="001649BB"/>
    <w:rsid w:val="001649D3"/>
    <w:rsid w:val="00164A7A"/>
    <w:rsid w:val="00164A80"/>
    <w:rsid w:val="00164D4C"/>
    <w:rsid w:val="00164E2B"/>
    <w:rsid w:val="001651C7"/>
    <w:rsid w:val="00165433"/>
    <w:rsid w:val="001655BF"/>
    <w:rsid w:val="00165882"/>
    <w:rsid w:val="00165957"/>
    <w:rsid w:val="001659ED"/>
    <w:rsid w:val="00165AE2"/>
    <w:rsid w:val="00165C02"/>
    <w:rsid w:val="00165D13"/>
    <w:rsid w:val="00165D87"/>
    <w:rsid w:val="00166177"/>
    <w:rsid w:val="001661B1"/>
    <w:rsid w:val="0016629A"/>
    <w:rsid w:val="001662C4"/>
    <w:rsid w:val="001662CB"/>
    <w:rsid w:val="0016642C"/>
    <w:rsid w:val="00166878"/>
    <w:rsid w:val="001668FF"/>
    <w:rsid w:val="00166BD4"/>
    <w:rsid w:val="00166C89"/>
    <w:rsid w:val="00166DE2"/>
    <w:rsid w:val="00167217"/>
    <w:rsid w:val="00167503"/>
    <w:rsid w:val="00167747"/>
    <w:rsid w:val="00167786"/>
    <w:rsid w:val="00167818"/>
    <w:rsid w:val="00167A89"/>
    <w:rsid w:val="00167B5C"/>
    <w:rsid w:val="00167BC9"/>
    <w:rsid w:val="00167C38"/>
    <w:rsid w:val="00167C72"/>
    <w:rsid w:val="00167FBC"/>
    <w:rsid w:val="00170005"/>
    <w:rsid w:val="0017016C"/>
    <w:rsid w:val="00170205"/>
    <w:rsid w:val="00170271"/>
    <w:rsid w:val="0017056D"/>
    <w:rsid w:val="0017057E"/>
    <w:rsid w:val="001705BD"/>
    <w:rsid w:val="0017073F"/>
    <w:rsid w:val="00170C3D"/>
    <w:rsid w:val="00170C6F"/>
    <w:rsid w:val="00170F7B"/>
    <w:rsid w:val="001711C2"/>
    <w:rsid w:val="00171241"/>
    <w:rsid w:val="00171510"/>
    <w:rsid w:val="001715FA"/>
    <w:rsid w:val="001716AD"/>
    <w:rsid w:val="00171854"/>
    <w:rsid w:val="0017198F"/>
    <w:rsid w:val="00171F97"/>
    <w:rsid w:val="00172013"/>
    <w:rsid w:val="00172068"/>
    <w:rsid w:val="00172183"/>
    <w:rsid w:val="001724C9"/>
    <w:rsid w:val="001724F2"/>
    <w:rsid w:val="001724F9"/>
    <w:rsid w:val="001726F6"/>
    <w:rsid w:val="00172905"/>
    <w:rsid w:val="00172AA3"/>
    <w:rsid w:val="00172AB7"/>
    <w:rsid w:val="00172F96"/>
    <w:rsid w:val="0017324E"/>
    <w:rsid w:val="001732A6"/>
    <w:rsid w:val="00173372"/>
    <w:rsid w:val="00173380"/>
    <w:rsid w:val="0017356A"/>
    <w:rsid w:val="00173594"/>
    <w:rsid w:val="00173BBA"/>
    <w:rsid w:val="001740C5"/>
    <w:rsid w:val="001745FC"/>
    <w:rsid w:val="00174770"/>
    <w:rsid w:val="001749F0"/>
    <w:rsid w:val="001749F6"/>
    <w:rsid w:val="00174C6C"/>
    <w:rsid w:val="0017540D"/>
    <w:rsid w:val="0017553E"/>
    <w:rsid w:val="00175554"/>
    <w:rsid w:val="00175618"/>
    <w:rsid w:val="00175868"/>
    <w:rsid w:val="001758A9"/>
    <w:rsid w:val="00175A17"/>
    <w:rsid w:val="00175C47"/>
    <w:rsid w:val="00175DC8"/>
    <w:rsid w:val="00175DF2"/>
    <w:rsid w:val="00175DFC"/>
    <w:rsid w:val="00175E69"/>
    <w:rsid w:val="0017606F"/>
    <w:rsid w:val="00176160"/>
    <w:rsid w:val="001761A9"/>
    <w:rsid w:val="001761D7"/>
    <w:rsid w:val="001762BA"/>
    <w:rsid w:val="001764C3"/>
    <w:rsid w:val="00176546"/>
    <w:rsid w:val="00176642"/>
    <w:rsid w:val="001766DC"/>
    <w:rsid w:val="0017688D"/>
    <w:rsid w:val="001768E8"/>
    <w:rsid w:val="0017699A"/>
    <w:rsid w:val="00176A31"/>
    <w:rsid w:val="00176CDE"/>
    <w:rsid w:val="00176E19"/>
    <w:rsid w:val="00176EAE"/>
    <w:rsid w:val="001770D3"/>
    <w:rsid w:val="00177227"/>
    <w:rsid w:val="00177561"/>
    <w:rsid w:val="00177587"/>
    <w:rsid w:val="00177B6F"/>
    <w:rsid w:val="00177C48"/>
    <w:rsid w:val="00177D1C"/>
    <w:rsid w:val="00177D4B"/>
    <w:rsid w:val="00177D82"/>
    <w:rsid w:val="00177D90"/>
    <w:rsid w:val="00177DFE"/>
    <w:rsid w:val="00177EF7"/>
    <w:rsid w:val="00177F06"/>
    <w:rsid w:val="0018027A"/>
    <w:rsid w:val="001803BB"/>
    <w:rsid w:val="0018058B"/>
    <w:rsid w:val="00180594"/>
    <w:rsid w:val="001806C3"/>
    <w:rsid w:val="00180750"/>
    <w:rsid w:val="00180B65"/>
    <w:rsid w:val="00180C14"/>
    <w:rsid w:val="00180C53"/>
    <w:rsid w:val="00180CCD"/>
    <w:rsid w:val="00180D28"/>
    <w:rsid w:val="00180E90"/>
    <w:rsid w:val="00180FDA"/>
    <w:rsid w:val="00181063"/>
    <w:rsid w:val="001810D8"/>
    <w:rsid w:val="001812A7"/>
    <w:rsid w:val="001812AD"/>
    <w:rsid w:val="001813DC"/>
    <w:rsid w:val="00181809"/>
    <w:rsid w:val="00181857"/>
    <w:rsid w:val="00181868"/>
    <w:rsid w:val="001818F2"/>
    <w:rsid w:val="0018194B"/>
    <w:rsid w:val="00181A8C"/>
    <w:rsid w:val="0018222A"/>
    <w:rsid w:val="001822DE"/>
    <w:rsid w:val="001823B9"/>
    <w:rsid w:val="001823D1"/>
    <w:rsid w:val="001824DC"/>
    <w:rsid w:val="00182790"/>
    <w:rsid w:val="00182807"/>
    <w:rsid w:val="00182971"/>
    <w:rsid w:val="001829F4"/>
    <w:rsid w:val="00182B0E"/>
    <w:rsid w:val="00182BCA"/>
    <w:rsid w:val="00182BDD"/>
    <w:rsid w:val="00182CA5"/>
    <w:rsid w:val="00182D0C"/>
    <w:rsid w:val="00182EB2"/>
    <w:rsid w:val="00182FC8"/>
    <w:rsid w:val="00183196"/>
    <w:rsid w:val="0018326F"/>
    <w:rsid w:val="00183314"/>
    <w:rsid w:val="00183328"/>
    <w:rsid w:val="0018348B"/>
    <w:rsid w:val="0018376D"/>
    <w:rsid w:val="0018387C"/>
    <w:rsid w:val="00183E15"/>
    <w:rsid w:val="0018416F"/>
    <w:rsid w:val="001841EB"/>
    <w:rsid w:val="001845D3"/>
    <w:rsid w:val="00184724"/>
    <w:rsid w:val="0018477F"/>
    <w:rsid w:val="00184C56"/>
    <w:rsid w:val="00184D94"/>
    <w:rsid w:val="00184FFB"/>
    <w:rsid w:val="00185038"/>
    <w:rsid w:val="001851E2"/>
    <w:rsid w:val="00185200"/>
    <w:rsid w:val="001853FF"/>
    <w:rsid w:val="001854F8"/>
    <w:rsid w:val="00185566"/>
    <w:rsid w:val="001855AF"/>
    <w:rsid w:val="001857DE"/>
    <w:rsid w:val="001859F3"/>
    <w:rsid w:val="00185A0C"/>
    <w:rsid w:val="00185A27"/>
    <w:rsid w:val="00185FBC"/>
    <w:rsid w:val="001862B1"/>
    <w:rsid w:val="0018659A"/>
    <w:rsid w:val="001866C5"/>
    <w:rsid w:val="00186754"/>
    <w:rsid w:val="0018685A"/>
    <w:rsid w:val="00186AAA"/>
    <w:rsid w:val="00186B55"/>
    <w:rsid w:val="00186BDC"/>
    <w:rsid w:val="00186BF0"/>
    <w:rsid w:val="00186C5E"/>
    <w:rsid w:val="001870E1"/>
    <w:rsid w:val="00187548"/>
    <w:rsid w:val="0018774F"/>
    <w:rsid w:val="00187A5E"/>
    <w:rsid w:val="00187B92"/>
    <w:rsid w:val="00187C91"/>
    <w:rsid w:val="00187D49"/>
    <w:rsid w:val="00187DE0"/>
    <w:rsid w:val="00187E56"/>
    <w:rsid w:val="00187EA7"/>
    <w:rsid w:val="001902E7"/>
    <w:rsid w:val="0019032E"/>
    <w:rsid w:val="00190336"/>
    <w:rsid w:val="00190443"/>
    <w:rsid w:val="00190447"/>
    <w:rsid w:val="0019075D"/>
    <w:rsid w:val="00190A21"/>
    <w:rsid w:val="00190C86"/>
    <w:rsid w:val="00190DD1"/>
    <w:rsid w:val="001914B7"/>
    <w:rsid w:val="001914BD"/>
    <w:rsid w:val="001914C3"/>
    <w:rsid w:val="001915BE"/>
    <w:rsid w:val="001919F5"/>
    <w:rsid w:val="00191A79"/>
    <w:rsid w:val="00191BBA"/>
    <w:rsid w:val="00191EE9"/>
    <w:rsid w:val="001920EB"/>
    <w:rsid w:val="001921EB"/>
    <w:rsid w:val="001923FD"/>
    <w:rsid w:val="001926D5"/>
    <w:rsid w:val="001927C6"/>
    <w:rsid w:val="001928CB"/>
    <w:rsid w:val="00192B7F"/>
    <w:rsid w:val="00192F2B"/>
    <w:rsid w:val="00192F6C"/>
    <w:rsid w:val="00193022"/>
    <w:rsid w:val="001930D3"/>
    <w:rsid w:val="001932F2"/>
    <w:rsid w:val="001933F2"/>
    <w:rsid w:val="001933F8"/>
    <w:rsid w:val="001934CF"/>
    <w:rsid w:val="0019371D"/>
    <w:rsid w:val="00193A01"/>
    <w:rsid w:val="00193A91"/>
    <w:rsid w:val="00193D10"/>
    <w:rsid w:val="00193DB3"/>
    <w:rsid w:val="00193F18"/>
    <w:rsid w:val="00193FCC"/>
    <w:rsid w:val="00194054"/>
    <w:rsid w:val="0019412A"/>
    <w:rsid w:val="001941B2"/>
    <w:rsid w:val="0019424E"/>
    <w:rsid w:val="001947A8"/>
    <w:rsid w:val="0019486F"/>
    <w:rsid w:val="0019490B"/>
    <w:rsid w:val="001949BE"/>
    <w:rsid w:val="001949CA"/>
    <w:rsid w:val="001949DE"/>
    <w:rsid w:val="00194C6E"/>
    <w:rsid w:val="00194EAB"/>
    <w:rsid w:val="00194ECB"/>
    <w:rsid w:val="00194F74"/>
    <w:rsid w:val="00195072"/>
    <w:rsid w:val="001951BF"/>
    <w:rsid w:val="0019531E"/>
    <w:rsid w:val="00195509"/>
    <w:rsid w:val="00195524"/>
    <w:rsid w:val="0019552F"/>
    <w:rsid w:val="0019576F"/>
    <w:rsid w:val="001957D2"/>
    <w:rsid w:val="00195A5B"/>
    <w:rsid w:val="00195FCC"/>
    <w:rsid w:val="00195FE6"/>
    <w:rsid w:val="00196064"/>
    <w:rsid w:val="001962CE"/>
    <w:rsid w:val="0019632B"/>
    <w:rsid w:val="00196346"/>
    <w:rsid w:val="0019670C"/>
    <w:rsid w:val="00196714"/>
    <w:rsid w:val="00196895"/>
    <w:rsid w:val="00196967"/>
    <w:rsid w:val="00196BCF"/>
    <w:rsid w:val="00196CCA"/>
    <w:rsid w:val="00196D03"/>
    <w:rsid w:val="00196DC5"/>
    <w:rsid w:val="00196F9C"/>
    <w:rsid w:val="001972BA"/>
    <w:rsid w:val="0019741A"/>
    <w:rsid w:val="00197496"/>
    <w:rsid w:val="00197600"/>
    <w:rsid w:val="00197779"/>
    <w:rsid w:val="001977B8"/>
    <w:rsid w:val="00197B9C"/>
    <w:rsid w:val="00197D4B"/>
    <w:rsid w:val="00197EBE"/>
    <w:rsid w:val="00197F0E"/>
    <w:rsid w:val="001A004D"/>
    <w:rsid w:val="001A0193"/>
    <w:rsid w:val="001A01BB"/>
    <w:rsid w:val="001A030D"/>
    <w:rsid w:val="001A03E1"/>
    <w:rsid w:val="001A046A"/>
    <w:rsid w:val="001A05DE"/>
    <w:rsid w:val="001A089A"/>
    <w:rsid w:val="001A0981"/>
    <w:rsid w:val="001A09C4"/>
    <w:rsid w:val="001A0B5D"/>
    <w:rsid w:val="001A0F2A"/>
    <w:rsid w:val="001A0FD0"/>
    <w:rsid w:val="001A0FE2"/>
    <w:rsid w:val="001A1153"/>
    <w:rsid w:val="001A117C"/>
    <w:rsid w:val="001A16FA"/>
    <w:rsid w:val="001A1A78"/>
    <w:rsid w:val="001A1C1A"/>
    <w:rsid w:val="001A1D44"/>
    <w:rsid w:val="001A1F09"/>
    <w:rsid w:val="001A1F72"/>
    <w:rsid w:val="001A1F7F"/>
    <w:rsid w:val="001A22BF"/>
    <w:rsid w:val="001A23F5"/>
    <w:rsid w:val="001A24E3"/>
    <w:rsid w:val="001A275C"/>
    <w:rsid w:val="001A281F"/>
    <w:rsid w:val="001A282B"/>
    <w:rsid w:val="001A28F7"/>
    <w:rsid w:val="001A290C"/>
    <w:rsid w:val="001A2C17"/>
    <w:rsid w:val="001A2D55"/>
    <w:rsid w:val="001A2E88"/>
    <w:rsid w:val="001A2ED7"/>
    <w:rsid w:val="001A2F40"/>
    <w:rsid w:val="001A3068"/>
    <w:rsid w:val="001A32C1"/>
    <w:rsid w:val="001A3371"/>
    <w:rsid w:val="001A354A"/>
    <w:rsid w:val="001A3578"/>
    <w:rsid w:val="001A36EE"/>
    <w:rsid w:val="001A376D"/>
    <w:rsid w:val="001A379D"/>
    <w:rsid w:val="001A37CC"/>
    <w:rsid w:val="001A3824"/>
    <w:rsid w:val="001A3939"/>
    <w:rsid w:val="001A39D8"/>
    <w:rsid w:val="001A3B45"/>
    <w:rsid w:val="001A3BA1"/>
    <w:rsid w:val="001A3E67"/>
    <w:rsid w:val="001A3EEC"/>
    <w:rsid w:val="001A4398"/>
    <w:rsid w:val="001A463F"/>
    <w:rsid w:val="001A484D"/>
    <w:rsid w:val="001A4974"/>
    <w:rsid w:val="001A49C5"/>
    <w:rsid w:val="001A4B1D"/>
    <w:rsid w:val="001A5456"/>
    <w:rsid w:val="001A5462"/>
    <w:rsid w:val="001A55D4"/>
    <w:rsid w:val="001A5690"/>
    <w:rsid w:val="001A56A9"/>
    <w:rsid w:val="001A5830"/>
    <w:rsid w:val="001A599B"/>
    <w:rsid w:val="001A59B9"/>
    <w:rsid w:val="001A5A6D"/>
    <w:rsid w:val="001A5CDF"/>
    <w:rsid w:val="001A5E05"/>
    <w:rsid w:val="001A5EF1"/>
    <w:rsid w:val="001A6189"/>
    <w:rsid w:val="001A62A0"/>
    <w:rsid w:val="001A62E9"/>
    <w:rsid w:val="001A6306"/>
    <w:rsid w:val="001A6464"/>
    <w:rsid w:val="001A652B"/>
    <w:rsid w:val="001A66DA"/>
    <w:rsid w:val="001A67A5"/>
    <w:rsid w:val="001A6834"/>
    <w:rsid w:val="001A6FAC"/>
    <w:rsid w:val="001A70C5"/>
    <w:rsid w:val="001A70D1"/>
    <w:rsid w:val="001A7400"/>
    <w:rsid w:val="001A74E7"/>
    <w:rsid w:val="001A7631"/>
    <w:rsid w:val="001A77E4"/>
    <w:rsid w:val="001A7806"/>
    <w:rsid w:val="001A78B4"/>
    <w:rsid w:val="001A79A8"/>
    <w:rsid w:val="001A79CE"/>
    <w:rsid w:val="001A7D10"/>
    <w:rsid w:val="001A7EAB"/>
    <w:rsid w:val="001A7FFB"/>
    <w:rsid w:val="001B00F1"/>
    <w:rsid w:val="001B0156"/>
    <w:rsid w:val="001B0395"/>
    <w:rsid w:val="001B0439"/>
    <w:rsid w:val="001B0483"/>
    <w:rsid w:val="001B0679"/>
    <w:rsid w:val="001B07D3"/>
    <w:rsid w:val="001B07DA"/>
    <w:rsid w:val="001B0919"/>
    <w:rsid w:val="001B0AC9"/>
    <w:rsid w:val="001B0CA0"/>
    <w:rsid w:val="001B0D26"/>
    <w:rsid w:val="001B0FBC"/>
    <w:rsid w:val="001B13A2"/>
    <w:rsid w:val="001B13BA"/>
    <w:rsid w:val="001B15BD"/>
    <w:rsid w:val="001B1846"/>
    <w:rsid w:val="001B1A0B"/>
    <w:rsid w:val="001B1A29"/>
    <w:rsid w:val="001B1D92"/>
    <w:rsid w:val="001B1DAB"/>
    <w:rsid w:val="001B20D5"/>
    <w:rsid w:val="001B21F9"/>
    <w:rsid w:val="001B23A2"/>
    <w:rsid w:val="001B2623"/>
    <w:rsid w:val="001B27E9"/>
    <w:rsid w:val="001B29F4"/>
    <w:rsid w:val="001B2B4A"/>
    <w:rsid w:val="001B3058"/>
    <w:rsid w:val="001B31A8"/>
    <w:rsid w:val="001B333E"/>
    <w:rsid w:val="001B333F"/>
    <w:rsid w:val="001B334B"/>
    <w:rsid w:val="001B33EB"/>
    <w:rsid w:val="001B345C"/>
    <w:rsid w:val="001B36A2"/>
    <w:rsid w:val="001B3905"/>
    <w:rsid w:val="001B3A72"/>
    <w:rsid w:val="001B3AA9"/>
    <w:rsid w:val="001B3C6A"/>
    <w:rsid w:val="001B3E98"/>
    <w:rsid w:val="001B412F"/>
    <w:rsid w:val="001B41E1"/>
    <w:rsid w:val="001B422F"/>
    <w:rsid w:val="001B426C"/>
    <w:rsid w:val="001B459D"/>
    <w:rsid w:val="001B49BF"/>
    <w:rsid w:val="001B4AEC"/>
    <w:rsid w:val="001B4B37"/>
    <w:rsid w:val="001B4BB6"/>
    <w:rsid w:val="001B4C84"/>
    <w:rsid w:val="001B4ED5"/>
    <w:rsid w:val="001B5065"/>
    <w:rsid w:val="001B526C"/>
    <w:rsid w:val="001B5491"/>
    <w:rsid w:val="001B55CD"/>
    <w:rsid w:val="001B55D0"/>
    <w:rsid w:val="001B563A"/>
    <w:rsid w:val="001B58E0"/>
    <w:rsid w:val="001B5AD1"/>
    <w:rsid w:val="001B5BF3"/>
    <w:rsid w:val="001B5D04"/>
    <w:rsid w:val="001B5EB5"/>
    <w:rsid w:val="001B6346"/>
    <w:rsid w:val="001B6503"/>
    <w:rsid w:val="001B687F"/>
    <w:rsid w:val="001B6A51"/>
    <w:rsid w:val="001B6B06"/>
    <w:rsid w:val="001B6BCE"/>
    <w:rsid w:val="001B6D03"/>
    <w:rsid w:val="001B6FF5"/>
    <w:rsid w:val="001B7049"/>
    <w:rsid w:val="001B70F8"/>
    <w:rsid w:val="001B711E"/>
    <w:rsid w:val="001B719B"/>
    <w:rsid w:val="001B7355"/>
    <w:rsid w:val="001B7683"/>
    <w:rsid w:val="001B79CA"/>
    <w:rsid w:val="001B7D51"/>
    <w:rsid w:val="001B7D66"/>
    <w:rsid w:val="001B7D92"/>
    <w:rsid w:val="001B7E2C"/>
    <w:rsid w:val="001B7F13"/>
    <w:rsid w:val="001C0054"/>
    <w:rsid w:val="001C0184"/>
    <w:rsid w:val="001C0410"/>
    <w:rsid w:val="001C04AD"/>
    <w:rsid w:val="001C0521"/>
    <w:rsid w:val="001C080E"/>
    <w:rsid w:val="001C085C"/>
    <w:rsid w:val="001C092A"/>
    <w:rsid w:val="001C0998"/>
    <w:rsid w:val="001C0B16"/>
    <w:rsid w:val="001C1191"/>
    <w:rsid w:val="001C1358"/>
    <w:rsid w:val="001C139D"/>
    <w:rsid w:val="001C13C8"/>
    <w:rsid w:val="001C1409"/>
    <w:rsid w:val="001C1477"/>
    <w:rsid w:val="001C15AB"/>
    <w:rsid w:val="001C162D"/>
    <w:rsid w:val="001C1635"/>
    <w:rsid w:val="001C16FC"/>
    <w:rsid w:val="001C18B0"/>
    <w:rsid w:val="001C199C"/>
    <w:rsid w:val="001C1DE7"/>
    <w:rsid w:val="001C1F92"/>
    <w:rsid w:val="001C2236"/>
    <w:rsid w:val="001C2241"/>
    <w:rsid w:val="001C2296"/>
    <w:rsid w:val="001C27B0"/>
    <w:rsid w:val="001C285F"/>
    <w:rsid w:val="001C28C6"/>
    <w:rsid w:val="001C2ADC"/>
    <w:rsid w:val="001C2DF5"/>
    <w:rsid w:val="001C320C"/>
    <w:rsid w:val="001C3284"/>
    <w:rsid w:val="001C3520"/>
    <w:rsid w:val="001C356D"/>
    <w:rsid w:val="001C3641"/>
    <w:rsid w:val="001C3745"/>
    <w:rsid w:val="001C3B38"/>
    <w:rsid w:val="001C3C4C"/>
    <w:rsid w:val="001C3C86"/>
    <w:rsid w:val="001C3CF0"/>
    <w:rsid w:val="001C3F44"/>
    <w:rsid w:val="001C4020"/>
    <w:rsid w:val="001C456C"/>
    <w:rsid w:val="001C4589"/>
    <w:rsid w:val="001C45F6"/>
    <w:rsid w:val="001C46A6"/>
    <w:rsid w:val="001C46D8"/>
    <w:rsid w:val="001C4763"/>
    <w:rsid w:val="001C489C"/>
    <w:rsid w:val="001C48F3"/>
    <w:rsid w:val="001C4953"/>
    <w:rsid w:val="001C4BF1"/>
    <w:rsid w:val="001C4D05"/>
    <w:rsid w:val="001C4F7A"/>
    <w:rsid w:val="001C4FAE"/>
    <w:rsid w:val="001C5079"/>
    <w:rsid w:val="001C51BD"/>
    <w:rsid w:val="001C52AD"/>
    <w:rsid w:val="001C539F"/>
    <w:rsid w:val="001C542C"/>
    <w:rsid w:val="001C5563"/>
    <w:rsid w:val="001C5668"/>
    <w:rsid w:val="001C59C1"/>
    <w:rsid w:val="001C5D4B"/>
    <w:rsid w:val="001C5D99"/>
    <w:rsid w:val="001C5DA8"/>
    <w:rsid w:val="001C600A"/>
    <w:rsid w:val="001C6050"/>
    <w:rsid w:val="001C60C3"/>
    <w:rsid w:val="001C6199"/>
    <w:rsid w:val="001C62A9"/>
    <w:rsid w:val="001C635A"/>
    <w:rsid w:val="001C6367"/>
    <w:rsid w:val="001C6715"/>
    <w:rsid w:val="001C6C2B"/>
    <w:rsid w:val="001C6DBA"/>
    <w:rsid w:val="001C6FA3"/>
    <w:rsid w:val="001C7154"/>
    <w:rsid w:val="001C72A0"/>
    <w:rsid w:val="001C7417"/>
    <w:rsid w:val="001C75CA"/>
    <w:rsid w:val="001C76F5"/>
    <w:rsid w:val="001C792C"/>
    <w:rsid w:val="001C798B"/>
    <w:rsid w:val="001C7A36"/>
    <w:rsid w:val="001C7AF5"/>
    <w:rsid w:val="001C7B16"/>
    <w:rsid w:val="001C7BA3"/>
    <w:rsid w:val="001C7F38"/>
    <w:rsid w:val="001C7F5C"/>
    <w:rsid w:val="001D0161"/>
    <w:rsid w:val="001D0163"/>
    <w:rsid w:val="001D0533"/>
    <w:rsid w:val="001D05E2"/>
    <w:rsid w:val="001D06D1"/>
    <w:rsid w:val="001D0D25"/>
    <w:rsid w:val="001D0DD8"/>
    <w:rsid w:val="001D1099"/>
    <w:rsid w:val="001D11BB"/>
    <w:rsid w:val="001D129F"/>
    <w:rsid w:val="001D1575"/>
    <w:rsid w:val="001D15F1"/>
    <w:rsid w:val="001D17D7"/>
    <w:rsid w:val="001D19C2"/>
    <w:rsid w:val="001D25C7"/>
    <w:rsid w:val="001D28C1"/>
    <w:rsid w:val="001D28C4"/>
    <w:rsid w:val="001D294F"/>
    <w:rsid w:val="001D2E35"/>
    <w:rsid w:val="001D2EF9"/>
    <w:rsid w:val="001D303F"/>
    <w:rsid w:val="001D335F"/>
    <w:rsid w:val="001D33A4"/>
    <w:rsid w:val="001D360A"/>
    <w:rsid w:val="001D36AD"/>
    <w:rsid w:val="001D381C"/>
    <w:rsid w:val="001D3851"/>
    <w:rsid w:val="001D3CB8"/>
    <w:rsid w:val="001D3CD1"/>
    <w:rsid w:val="001D3FEE"/>
    <w:rsid w:val="001D4250"/>
    <w:rsid w:val="001D4341"/>
    <w:rsid w:val="001D4470"/>
    <w:rsid w:val="001D4510"/>
    <w:rsid w:val="001D451A"/>
    <w:rsid w:val="001D4639"/>
    <w:rsid w:val="001D46B2"/>
    <w:rsid w:val="001D480F"/>
    <w:rsid w:val="001D48E2"/>
    <w:rsid w:val="001D4972"/>
    <w:rsid w:val="001D4A29"/>
    <w:rsid w:val="001D4DA8"/>
    <w:rsid w:val="001D4E57"/>
    <w:rsid w:val="001D4EB4"/>
    <w:rsid w:val="001D5500"/>
    <w:rsid w:val="001D5594"/>
    <w:rsid w:val="001D56D1"/>
    <w:rsid w:val="001D56FE"/>
    <w:rsid w:val="001D5A98"/>
    <w:rsid w:val="001D5C72"/>
    <w:rsid w:val="001D6020"/>
    <w:rsid w:val="001D6057"/>
    <w:rsid w:val="001D649E"/>
    <w:rsid w:val="001D673A"/>
    <w:rsid w:val="001D6A26"/>
    <w:rsid w:val="001D6A94"/>
    <w:rsid w:val="001D6AF7"/>
    <w:rsid w:val="001D6D8C"/>
    <w:rsid w:val="001D7197"/>
    <w:rsid w:val="001D73F2"/>
    <w:rsid w:val="001D7637"/>
    <w:rsid w:val="001D76D6"/>
    <w:rsid w:val="001D78D6"/>
    <w:rsid w:val="001D7AB2"/>
    <w:rsid w:val="001D7D64"/>
    <w:rsid w:val="001D7DC8"/>
    <w:rsid w:val="001E002D"/>
    <w:rsid w:val="001E0112"/>
    <w:rsid w:val="001E0282"/>
    <w:rsid w:val="001E0AC0"/>
    <w:rsid w:val="001E0C4B"/>
    <w:rsid w:val="001E0E24"/>
    <w:rsid w:val="001E13A4"/>
    <w:rsid w:val="001E13DF"/>
    <w:rsid w:val="001E14C0"/>
    <w:rsid w:val="001E1679"/>
    <w:rsid w:val="001E1754"/>
    <w:rsid w:val="001E17BD"/>
    <w:rsid w:val="001E1876"/>
    <w:rsid w:val="001E19C4"/>
    <w:rsid w:val="001E1AB6"/>
    <w:rsid w:val="001E1E49"/>
    <w:rsid w:val="001E1FC6"/>
    <w:rsid w:val="001E1FF1"/>
    <w:rsid w:val="001E205E"/>
    <w:rsid w:val="001E21F9"/>
    <w:rsid w:val="001E2230"/>
    <w:rsid w:val="001E2483"/>
    <w:rsid w:val="001E24F4"/>
    <w:rsid w:val="001E2736"/>
    <w:rsid w:val="001E27D6"/>
    <w:rsid w:val="001E2853"/>
    <w:rsid w:val="001E2CEC"/>
    <w:rsid w:val="001E2D81"/>
    <w:rsid w:val="001E30E5"/>
    <w:rsid w:val="001E3372"/>
    <w:rsid w:val="001E3407"/>
    <w:rsid w:val="001E34E4"/>
    <w:rsid w:val="001E3685"/>
    <w:rsid w:val="001E391C"/>
    <w:rsid w:val="001E3937"/>
    <w:rsid w:val="001E3CF6"/>
    <w:rsid w:val="001E4005"/>
    <w:rsid w:val="001E4187"/>
    <w:rsid w:val="001E4376"/>
    <w:rsid w:val="001E490E"/>
    <w:rsid w:val="001E494A"/>
    <w:rsid w:val="001E49E5"/>
    <w:rsid w:val="001E4BEC"/>
    <w:rsid w:val="001E4E19"/>
    <w:rsid w:val="001E502F"/>
    <w:rsid w:val="001E51E6"/>
    <w:rsid w:val="001E522C"/>
    <w:rsid w:val="001E524E"/>
    <w:rsid w:val="001E5257"/>
    <w:rsid w:val="001E53F5"/>
    <w:rsid w:val="001E5500"/>
    <w:rsid w:val="001E550B"/>
    <w:rsid w:val="001E562D"/>
    <w:rsid w:val="001E5645"/>
    <w:rsid w:val="001E56B4"/>
    <w:rsid w:val="001E56EE"/>
    <w:rsid w:val="001E5804"/>
    <w:rsid w:val="001E5A7E"/>
    <w:rsid w:val="001E5D4F"/>
    <w:rsid w:val="001E5E0E"/>
    <w:rsid w:val="001E5E83"/>
    <w:rsid w:val="001E5FC4"/>
    <w:rsid w:val="001E62A0"/>
    <w:rsid w:val="001E62AC"/>
    <w:rsid w:val="001E6392"/>
    <w:rsid w:val="001E64AD"/>
    <w:rsid w:val="001E6878"/>
    <w:rsid w:val="001E68B0"/>
    <w:rsid w:val="001E6A85"/>
    <w:rsid w:val="001E6BE1"/>
    <w:rsid w:val="001E6D5A"/>
    <w:rsid w:val="001E6EA5"/>
    <w:rsid w:val="001E71AC"/>
    <w:rsid w:val="001E7225"/>
    <w:rsid w:val="001E728B"/>
    <w:rsid w:val="001E72AB"/>
    <w:rsid w:val="001E7468"/>
    <w:rsid w:val="001E781A"/>
    <w:rsid w:val="001E7A80"/>
    <w:rsid w:val="001E7AD7"/>
    <w:rsid w:val="001E7EBF"/>
    <w:rsid w:val="001E7F89"/>
    <w:rsid w:val="001F000B"/>
    <w:rsid w:val="001F00C2"/>
    <w:rsid w:val="001F01C6"/>
    <w:rsid w:val="001F0261"/>
    <w:rsid w:val="001F02A2"/>
    <w:rsid w:val="001F03C2"/>
    <w:rsid w:val="001F050A"/>
    <w:rsid w:val="001F07DB"/>
    <w:rsid w:val="001F096B"/>
    <w:rsid w:val="001F09D8"/>
    <w:rsid w:val="001F0C98"/>
    <w:rsid w:val="001F1060"/>
    <w:rsid w:val="001F1273"/>
    <w:rsid w:val="001F14AB"/>
    <w:rsid w:val="001F1603"/>
    <w:rsid w:val="001F17A6"/>
    <w:rsid w:val="001F1A4E"/>
    <w:rsid w:val="001F1B9A"/>
    <w:rsid w:val="001F1F43"/>
    <w:rsid w:val="001F214A"/>
    <w:rsid w:val="001F2297"/>
    <w:rsid w:val="001F22FB"/>
    <w:rsid w:val="001F230F"/>
    <w:rsid w:val="001F2325"/>
    <w:rsid w:val="001F235E"/>
    <w:rsid w:val="001F2433"/>
    <w:rsid w:val="001F29C1"/>
    <w:rsid w:val="001F2B00"/>
    <w:rsid w:val="001F2BC0"/>
    <w:rsid w:val="001F2CD5"/>
    <w:rsid w:val="001F2D18"/>
    <w:rsid w:val="001F2F31"/>
    <w:rsid w:val="001F319F"/>
    <w:rsid w:val="001F31E3"/>
    <w:rsid w:val="001F32C2"/>
    <w:rsid w:val="001F3351"/>
    <w:rsid w:val="001F3363"/>
    <w:rsid w:val="001F3458"/>
    <w:rsid w:val="001F346F"/>
    <w:rsid w:val="001F359E"/>
    <w:rsid w:val="001F3CD9"/>
    <w:rsid w:val="001F3E11"/>
    <w:rsid w:val="001F3E4E"/>
    <w:rsid w:val="001F3F1F"/>
    <w:rsid w:val="001F3FA6"/>
    <w:rsid w:val="001F3FC3"/>
    <w:rsid w:val="001F40ED"/>
    <w:rsid w:val="001F4105"/>
    <w:rsid w:val="001F41D0"/>
    <w:rsid w:val="001F4224"/>
    <w:rsid w:val="001F428F"/>
    <w:rsid w:val="001F43CC"/>
    <w:rsid w:val="001F455B"/>
    <w:rsid w:val="001F4666"/>
    <w:rsid w:val="001F4764"/>
    <w:rsid w:val="001F4A53"/>
    <w:rsid w:val="001F4ADE"/>
    <w:rsid w:val="001F4CFA"/>
    <w:rsid w:val="001F4D7F"/>
    <w:rsid w:val="001F534E"/>
    <w:rsid w:val="001F54E1"/>
    <w:rsid w:val="001F55F1"/>
    <w:rsid w:val="001F561E"/>
    <w:rsid w:val="001F56A6"/>
    <w:rsid w:val="001F588F"/>
    <w:rsid w:val="001F5945"/>
    <w:rsid w:val="001F59D6"/>
    <w:rsid w:val="001F5B0A"/>
    <w:rsid w:val="001F5CB2"/>
    <w:rsid w:val="001F5CCB"/>
    <w:rsid w:val="001F5CFC"/>
    <w:rsid w:val="001F5DC9"/>
    <w:rsid w:val="001F5FA5"/>
    <w:rsid w:val="001F60A9"/>
    <w:rsid w:val="001F6650"/>
    <w:rsid w:val="001F6790"/>
    <w:rsid w:val="001F6870"/>
    <w:rsid w:val="001F6B6F"/>
    <w:rsid w:val="001F6D75"/>
    <w:rsid w:val="001F6DC9"/>
    <w:rsid w:val="001F6E41"/>
    <w:rsid w:val="001F6EB9"/>
    <w:rsid w:val="001F6F65"/>
    <w:rsid w:val="001F6FFF"/>
    <w:rsid w:val="001F70FB"/>
    <w:rsid w:val="001F72C3"/>
    <w:rsid w:val="001F7637"/>
    <w:rsid w:val="001F76C5"/>
    <w:rsid w:val="001F7AE4"/>
    <w:rsid w:val="001F7CD8"/>
    <w:rsid w:val="001F7CFA"/>
    <w:rsid w:val="001F7D62"/>
    <w:rsid w:val="001F7EAB"/>
    <w:rsid w:val="00200207"/>
    <w:rsid w:val="00200285"/>
    <w:rsid w:val="002002CD"/>
    <w:rsid w:val="00200389"/>
    <w:rsid w:val="00200CF7"/>
    <w:rsid w:val="00200FC4"/>
    <w:rsid w:val="0020101D"/>
    <w:rsid w:val="002012EB"/>
    <w:rsid w:val="00201749"/>
    <w:rsid w:val="002019EB"/>
    <w:rsid w:val="00201BC8"/>
    <w:rsid w:val="00201C61"/>
    <w:rsid w:val="00201CCB"/>
    <w:rsid w:val="00201FD8"/>
    <w:rsid w:val="002020DC"/>
    <w:rsid w:val="0020214C"/>
    <w:rsid w:val="002021C3"/>
    <w:rsid w:val="0020225F"/>
    <w:rsid w:val="00202292"/>
    <w:rsid w:val="002022B4"/>
    <w:rsid w:val="00202300"/>
    <w:rsid w:val="00202379"/>
    <w:rsid w:val="002023A1"/>
    <w:rsid w:val="00202A3A"/>
    <w:rsid w:val="00202F96"/>
    <w:rsid w:val="0020303F"/>
    <w:rsid w:val="00203304"/>
    <w:rsid w:val="0020343E"/>
    <w:rsid w:val="00203499"/>
    <w:rsid w:val="002035A1"/>
    <w:rsid w:val="0020367C"/>
    <w:rsid w:val="002036FA"/>
    <w:rsid w:val="0020372A"/>
    <w:rsid w:val="00203812"/>
    <w:rsid w:val="00203943"/>
    <w:rsid w:val="00203992"/>
    <w:rsid w:val="002039F3"/>
    <w:rsid w:val="00203A97"/>
    <w:rsid w:val="00203AEF"/>
    <w:rsid w:val="00203CC1"/>
    <w:rsid w:val="002041D0"/>
    <w:rsid w:val="0020422B"/>
    <w:rsid w:val="0020427D"/>
    <w:rsid w:val="00204348"/>
    <w:rsid w:val="0020438C"/>
    <w:rsid w:val="0020452D"/>
    <w:rsid w:val="00204AA7"/>
    <w:rsid w:val="00204B47"/>
    <w:rsid w:val="00204F2E"/>
    <w:rsid w:val="00205004"/>
    <w:rsid w:val="00205135"/>
    <w:rsid w:val="0020516F"/>
    <w:rsid w:val="002053A6"/>
    <w:rsid w:val="00205578"/>
    <w:rsid w:val="00205617"/>
    <w:rsid w:val="00205650"/>
    <w:rsid w:val="00205D5F"/>
    <w:rsid w:val="00205E1E"/>
    <w:rsid w:val="002061B2"/>
    <w:rsid w:val="00206572"/>
    <w:rsid w:val="00206B04"/>
    <w:rsid w:val="00206DDB"/>
    <w:rsid w:val="00206EFE"/>
    <w:rsid w:val="00207175"/>
    <w:rsid w:val="00207371"/>
    <w:rsid w:val="002074CF"/>
    <w:rsid w:val="00207C01"/>
    <w:rsid w:val="00207CD0"/>
    <w:rsid w:val="00207D00"/>
    <w:rsid w:val="00207E30"/>
    <w:rsid w:val="00207EF8"/>
    <w:rsid w:val="00207F59"/>
    <w:rsid w:val="00207F7B"/>
    <w:rsid w:val="00210139"/>
    <w:rsid w:val="00210277"/>
    <w:rsid w:val="00210368"/>
    <w:rsid w:val="002104AC"/>
    <w:rsid w:val="002109B0"/>
    <w:rsid w:val="00210A97"/>
    <w:rsid w:val="00210DD6"/>
    <w:rsid w:val="00210E49"/>
    <w:rsid w:val="00210FA3"/>
    <w:rsid w:val="00211075"/>
    <w:rsid w:val="002112F4"/>
    <w:rsid w:val="00211426"/>
    <w:rsid w:val="002119AC"/>
    <w:rsid w:val="00211AAE"/>
    <w:rsid w:val="00211AB7"/>
    <w:rsid w:val="00211D3A"/>
    <w:rsid w:val="00211FDA"/>
    <w:rsid w:val="00212079"/>
    <w:rsid w:val="0021218E"/>
    <w:rsid w:val="002121A4"/>
    <w:rsid w:val="002121BF"/>
    <w:rsid w:val="0021231F"/>
    <w:rsid w:val="00212396"/>
    <w:rsid w:val="0021254B"/>
    <w:rsid w:val="00212765"/>
    <w:rsid w:val="00212979"/>
    <w:rsid w:val="002129E6"/>
    <w:rsid w:val="00212CE3"/>
    <w:rsid w:val="002131A8"/>
    <w:rsid w:val="00213200"/>
    <w:rsid w:val="002132AF"/>
    <w:rsid w:val="002133E5"/>
    <w:rsid w:val="00213565"/>
    <w:rsid w:val="002135A5"/>
    <w:rsid w:val="002135E2"/>
    <w:rsid w:val="00213800"/>
    <w:rsid w:val="00213A94"/>
    <w:rsid w:val="00213C95"/>
    <w:rsid w:val="00214062"/>
    <w:rsid w:val="00214376"/>
    <w:rsid w:val="002143BA"/>
    <w:rsid w:val="0021471D"/>
    <w:rsid w:val="0021471F"/>
    <w:rsid w:val="002148B8"/>
    <w:rsid w:val="00214A60"/>
    <w:rsid w:val="00214B59"/>
    <w:rsid w:val="002150BC"/>
    <w:rsid w:val="002152FC"/>
    <w:rsid w:val="00215670"/>
    <w:rsid w:val="0021569B"/>
    <w:rsid w:val="002156DC"/>
    <w:rsid w:val="0021573B"/>
    <w:rsid w:val="002157CE"/>
    <w:rsid w:val="00215878"/>
    <w:rsid w:val="002159C2"/>
    <w:rsid w:val="002159D7"/>
    <w:rsid w:val="00215A95"/>
    <w:rsid w:val="00215C23"/>
    <w:rsid w:val="0021601F"/>
    <w:rsid w:val="00216030"/>
    <w:rsid w:val="00216032"/>
    <w:rsid w:val="0021607A"/>
    <w:rsid w:val="002161BD"/>
    <w:rsid w:val="002164D9"/>
    <w:rsid w:val="00216519"/>
    <w:rsid w:val="0021655D"/>
    <w:rsid w:val="00216935"/>
    <w:rsid w:val="00216A0A"/>
    <w:rsid w:val="00216CB8"/>
    <w:rsid w:val="00216D05"/>
    <w:rsid w:val="00216D5C"/>
    <w:rsid w:val="00216E64"/>
    <w:rsid w:val="00216FC1"/>
    <w:rsid w:val="00217012"/>
    <w:rsid w:val="0021711E"/>
    <w:rsid w:val="00217456"/>
    <w:rsid w:val="002175CB"/>
    <w:rsid w:val="002175F6"/>
    <w:rsid w:val="00217726"/>
    <w:rsid w:val="00217794"/>
    <w:rsid w:val="00217BE9"/>
    <w:rsid w:val="00217D72"/>
    <w:rsid w:val="0022006B"/>
    <w:rsid w:val="00220167"/>
    <w:rsid w:val="00220324"/>
    <w:rsid w:val="002206C7"/>
    <w:rsid w:val="00220732"/>
    <w:rsid w:val="002207C3"/>
    <w:rsid w:val="002208AD"/>
    <w:rsid w:val="002209A3"/>
    <w:rsid w:val="00220AEB"/>
    <w:rsid w:val="00220AF5"/>
    <w:rsid w:val="00220B1B"/>
    <w:rsid w:val="00220B40"/>
    <w:rsid w:val="00220BF9"/>
    <w:rsid w:val="00220C7B"/>
    <w:rsid w:val="00220F0F"/>
    <w:rsid w:val="00220F4C"/>
    <w:rsid w:val="00220F57"/>
    <w:rsid w:val="00220F74"/>
    <w:rsid w:val="00220FE6"/>
    <w:rsid w:val="0022127C"/>
    <w:rsid w:val="00221500"/>
    <w:rsid w:val="00221617"/>
    <w:rsid w:val="002217D5"/>
    <w:rsid w:val="0022193C"/>
    <w:rsid w:val="00221955"/>
    <w:rsid w:val="002219CB"/>
    <w:rsid w:val="00221A60"/>
    <w:rsid w:val="00221CBD"/>
    <w:rsid w:val="00221E4B"/>
    <w:rsid w:val="00221F06"/>
    <w:rsid w:val="00221FE5"/>
    <w:rsid w:val="002222F0"/>
    <w:rsid w:val="002223AC"/>
    <w:rsid w:val="00222475"/>
    <w:rsid w:val="002225AD"/>
    <w:rsid w:val="002228F4"/>
    <w:rsid w:val="00222E7D"/>
    <w:rsid w:val="002230E3"/>
    <w:rsid w:val="002230FF"/>
    <w:rsid w:val="00223151"/>
    <w:rsid w:val="00223424"/>
    <w:rsid w:val="002237FA"/>
    <w:rsid w:val="0022381A"/>
    <w:rsid w:val="00223936"/>
    <w:rsid w:val="002239C9"/>
    <w:rsid w:val="00223A9D"/>
    <w:rsid w:val="00223D23"/>
    <w:rsid w:val="00223E1C"/>
    <w:rsid w:val="00223E26"/>
    <w:rsid w:val="0022403C"/>
    <w:rsid w:val="0022406A"/>
    <w:rsid w:val="002240B3"/>
    <w:rsid w:val="002240D8"/>
    <w:rsid w:val="0022439E"/>
    <w:rsid w:val="00224406"/>
    <w:rsid w:val="00224561"/>
    <w:rsid w:val="0022472A"/>
    <w:rsid w:val="00224767"/>
    <w:rsid w:val="002247F4"/>
    <w:rsid w:val="0022487E"/>
    <w:rsid w:val="00224A07"/>
    <w:rsid w:val="00224A49"/>
    <w:rsid w:val="00224CFD"/>
    <w:rsid w:val="00225023"/>
    <w:rsid w:val="00225158"/>
    <w:rsid w:val="0022524B"/>
    <w:rsid w:val="002255F4"/>
    <w:rsid w:val="002255F8"/>
    <w:rsid w:val="0022560F"/>
    <w:rsid w:val="00225643"/>
    <w:rsid w:val="002257F8"/>
    <w:rsid w:val="00225AEC"/>
    <w:rsid w:val="00225BE6"/>
    <w:rsid w:val="00225C97"/>
    <w:rsid w:val="00226042"/>
    <w:rsid w:val="002267F8"/>
    <w:rsid w:val="00226DD5"/>
    <w:rsid w:val="00226DE8"/>
    <w:rsid w:val="00227016"/>
    <w:rsid w:val="0022701E"/>
    <w:rsid w:val="00227071"/>
    <w:rsid w:val="0022707F"/>
    <w:rsid w:val="00227139"/>
    <w:rsid w:val="002273C4"/>
    <w:rsid w:val="002273D4"/>
    <w:rsid w:val="0022764C"/>
    <w:rsid w:val="0022765F"/>
    <w:rsid w:val="00227AC7"/>
    <w:rsid w:val="00227AEA"/>
    <w:rsid w:val="00227B63"/>
    <w:rsid w:val="00227C12"/>
    <w:rsid w:val="00230461"/>
    <w:rsid w:val="00231022"/>
    <w:rsid w:val="002310E2"/>
    <w:rsid w:val="002313D2"/>
    <w:rsid w:val="00231661"/>
    <w:rsid w:val="002317BB"/>
    <w:rsid w:val="0023193F"/>
    <w:rsid w:val="00231A05"/>
    <w:rsid w:val="00231AFC"/>
    <w:rsid w:val="00231C6C"/>
    <w:rsid w:val="00231CBF"/>
    <w:rsid w:val="00231E98"/>
    <w:rsid w:val="00232145"/>
    <w:rsid w:val="00232328"/>
    <w:rsid w:val="002326FA"/>
    <w:rsid w:val="002327F5"/>
    <w:rsid w:val="0023284D"/>
    <w:rsid w:val="002328F8"/>
    <w:rsid w:val="00232C2A"/>
    <w:rsid w:val="00232EB5"/>
    <w:rsid w:val="00232F4B"/>
    <w:rsid w:val="00233317"/>
    <w:rsid w:val="0023345B"/>
    <w:rsid w:val="0023364B"/>
    <w:rsid w:val="002337CB"/>
    <w:rsid w:val="00233F75"/>
    <w:rsid w:val="00233FAB"/>
    <w:rsid w:val="002341AB"/>
    <w:rsid w:val="002347FD"/>
    <w:rsid w:val="00234846"/>
    <w:rsid w:val="002348FC"/>
    <w:rsid w:val="00234B6D"/>
    <w:rsid w:val="00234C58"/>
    <w:rsid w:val="00234D71"/>
    <w:rsid w:val="00234E4A"/>
    <w:rsid w:val="002351F6"/>
    <w:rsid w:val="002354FA"/>
    <w:rsid w:val="00235516"/>
    <w:rsid w:val="00235576"/>
    <w:rsid w:val="002357F3"/>
    <w:rsid w:val="002358FB"/>
    <w:rsid w:val="00235AC1"/>
    <w:rsid w:val="00235AF1"/>
    <w:rsid w:val="00235B83"/>
    <w:rsid w:val="00235CDF"/>
    <w:rsid w:val="00235CFB"/>
    <w:rsid w:val="00235D38"/>
    <w:rsid w:val="002366FB"/>
    <w:rsid w:val="00236A87"/>
    <w:rsid w:val="00236B3B"/>
    <w:rsid w:val="00236B76"/>
    <w:rsid w:val="00236C25"/>
    <w:rsid w:val="00236D94"/>
    <w:rsid w:val="00236E02"/>
    <w:rsid w:val="00237047"/>
    <w:rsid w:val="0023706F"/>
    <w:rsid w:val="0023717D"/>
    <w:rsid w:val="002371A7"/>
    <w:rsid w:val="0023729C"/>
    <w:rsid w:val="00237325"/>
    <w:rsid w:val="0023750A"/>
    <w:rsid w:val="00237517"/>
    <w:rsid w:val="0023757E"/>
    <w:rsid w:val="00237673"/>
    <w:rsid w:val="002378D6"/>
    <w:rsid w:val="00237A90"/>
    <w:rsid w:val="00237B7A"/>
    <w:rsid w:val="00237BD4"/>
    <w:rsid w:val="00237C6A"/>
    <w:rsid w:val="00237C87"/>
    <w:rsid w:val="00237CED"/>
    <w:rsid w:val="00237D33"/>
    <w:rsid w:val="00237E48"/>
    <w:rsid w:val="00237EBB"/>
    <w:rsid w:val="0024003E"/>
    <w:rsid w:val="00240088"/>
    <w:rsid w:val="002400B8"/>
    <w:rsid w:val="002401B2"/>
    <w:rsid w:val="0024037F"/>
    <w:rsid w:val="0024043D"/>
    <w:rsid w:val="00240872"/>
    <w:rsid w:val="00240ABB"/>
    <w:rsid w:val="00240CE9"/>
    <w:rsid w:val="00240D3A"/>
    <w:rsid w:val="00240E11"/>
    <w:rsid w:val="00240E26"/>
    <w:rsid w:val="00240E49"/>
    <w:rsid w:val="0024124C"/>
    <w:rsid w:val="00241308"/>
    <w:rsid w:val="0024136B"/>
    <w:rsid w:val="00241A22"/>
    <w:rsid w:val="00241AEE"/>
    <w:rsid w:val="0024220D"/>
    <w:rsid w:val="00242210"/>
    <w:rsid w:val="0024222F"/>
    <w:rsid w:val="00242244"/>
    <w:rsid w:val="002422B1"/>
    <w:rsid w:val="0024233E"/>
    <w:rsid w:val="002425C3"/>
    <w:rsid w:val="002425CD"/>
    <w:rsid w:val="002426D5"/>
    <w:rsid w:val="0024277B"/>
    <w:rsid w:val="0024292A"/>
    <w:rsid w:val="0024297B"/>
    <w:rsid w:val="00242A0B"/>
    <w:rsid w:val="00242AF2"/>
    <w:rsid w:val="00242F64"/>
    <w:rsid w:val="002431F0"/>
    <w:rsid w:val="00243325"/>
    <w:rsid w:val="00243388"/>
    <w:rsid w:val="00243402"/>
    <w:rsid w:val="00243580"/>
    <w:rsid w:val="00243644"/>
    <w:rsid w:val="002439E1"/>
    <w:rsid w:val="00243B65"/>
    <w:rsid w:val="00243D06"/>
    <w:rsid w:val="00243D0C"/>
    <w:rsid w:val="0024404E"/>
    <w:rsid w:val="002441DF"/>
    <w:rsid w:val="00244571"/>
    <w:rsid w:val="00244751"/>
    <w:rsid w:val="00244B98"/>
    <w:rsid w:val="00244C4C"/>
    <w:rsid w:val="00244C82"/>
    <w:rsid w:val="00244E53"/>
    <w:rsid w:val="00245044"/>
    <w:rsid w:val="002451E6"/>
    <w:rsid w:val="00245308"/>
    <w:rsid w:val="00245486"/>
    <w:rsid w:val="0024570C"/>
    <w:rsid w:val="00245893"/>
    <w:rsid w:val="002458DB"/>
    <w:rsid w:val="00245A77"/>
    <w:rsid w:val="00245D57"/>
    <w:rsid w:val="00245DA8"/>
    <w:rsid w:val="00245DF8"/>
    <w:rsid w:val="00245E03"/>
    <w:rsid w:val="00245F99"/>
    <w:rsid w:val="00246085"/>
    <w:rsid w:val="002460A9"/>
    <w:rsid w:val="002460D9"/>
    <w:rsid w:val="00246B82"/>
    <w:rsid w:val="00247063"/>
    <w:rsid w:val="002470C4"/>
    <w:rsid w:val="0024723A"/>
    <w:rsid w:val="002479B8"/>
    <w:rsid w:val="002507AF"/>
    <w:rsid w:val="00250872"/>
    <w:rsid w:val="00250A8A"/>
    <w:rsid w:val="00250D2E"/>
    <w:rsid w:val="00250E10"/>
    <w:rsid w:val="0025109B"/>
    <w:rsid w:val="00251180"/>
    <w:rsid w:val="002511BC"/>
    <w:rsid w:val="002512CC"/>
    <w:rsid w:val="002513E4"/>
    <w:rsid w:val="0025179A"/>
    <w:rsid w:val="002518C7"/>
    <w:rsid w:val="00251A60"/>
    <w:rsid w:val="00251D34"/>
    <w:rsid w:val="00251DB2"/>
    <w:rsid w:val="00251E88"/>
    <w:rsid w:val="00251F6F"/>
    <w:rsid w:val="002521FF"/>
    <w:rsid w:val="00252494"/>
    <w:rsid w:val="00252619"/>
    <w:rsid w:val="00252971"/>
    <w:rsid w:val="002532E2"/>
    <w:rsid w:val="002533CF"/>
    <w:rsid w:val="0025347C"/>
    <w:rsid w:val="0025365C"/>
    <w:rsid w:val="002539DD"/>
    <w:rsid w:val="00253A61"/>
    <w:rsid w:val="00253BC8"/>
    <w:rsid w:val="00253C89"/>
    <w:rsid w:val="00253D4F"/>
    <w:rsid w:val="00253DBB"/>
    <w:rsid w:val="002542C8"/>
    <w:rsid w:val="002546B1"/>
    <w:rsid w:val="002546EF"/>
    <w:rsid w:val="002548E9"/>
    <w:rsid w:val="00254B7E"/>
    <w:rsid w:val="00254BD1"/>
    <w:rsid w:val="00254C58"/>
    <w:rsid w:val="0025565C"/>
    <w:rsid w:val="002558F4"/>
    <w:rsid w:val="00255B26"/>
    <w:rsid w:val="00255BD5"/>
    <w:rsid w:val="00255CA9"/>
    <w:rsid w:val="00255E95"/>
    <w:rsid w:val="00255F79"/>
    <w:rsid w:val="0025650F"/>
    <w:rsid w:val="002566C4"/>
    <w:rsid w:val="0025675C"/>
    <w:rsid w:val="0025686E"/>
    <w:rsid w:val="002568AC"/>
    <w:rsid w:val="002569B6"/>
    <w:rsid w:val="00256B7D"/>
    <w:rsid w:val="00256C48"/>
    <w:rsid w:val="00256D71"/>
    <w:rsid w:val="00256DDF"/>
    <w:rsid w:val="00256FCC"/>
    <w:rsid w:val="00257033"/>
    <w:rsid w:val="0025714F"/>
    <w:rsid w:val="00257415"/>
    <w:rsid w:val="00257884"/>
    <w:rsid w:val="00257A40"/>
    <w:rsid w:val="00257B36"/>
    <w:rsid w:val="00257C43"/>
    <w:rsid w:val="00257D42"/>
    <w:rsid w:val="00257DB0"/>
    <w:rsid w:val="00257FCA"/>
    <w:rsid w:val="0026013C"/>
    <w:rsid w:val="00260209"/>
    <w:rsid w:val="00260245"/>
    <w:rsid w:val="00260340"/>
    <w:rsid w:val="0026056E"/>
    <w:rsid w:val="002605F7"/>
    <w:rsid w:val="002607A9"/>
    <w:rsid w:val="00260810"/>
    <w:rsid w:val="00260B02"/>
    <w:rsid w:val="00260C2A"/>
    <w:rsid w:val="00260C55"/>
    <w:rsid w:val="00260D6D"/>
    <w:rsid w:val="00260F48"/>
    <w:rsid w:val="002610F0"/>
    <w:rsid w:val="0026119E"/>
    <w:rsid w:val="002611A4"/>
    <w:rsid w:val="00261276"/>
    <w:rsid w:val="00261320"/>
    <w:rsid w:val="002614D1"/>
    <w:rsid w:val="00261517"/>
    <w:rsid w:val="002615FF"/>
    <w:rsid w:val="00261651"/>
    <w:rsid w:val="002616B0"/>
    <w:rsid w:val="00261ABB"/>
    <w:rsid w:val="00261CF7"/>
    <w:rsid w:val="00261DC9"/>
    <w:rsid w:val="00261E37"/>
    <w:rsid w:val="00261EA4"/>
    <w:rsid w:val="002620EF"/>
    <w:rsid w:val="00262360"/>
    <w:rsid w:val="00262425"/>
    <w:rsid w:val="0026243C"/>
    <w:rsid w:val="00262445"/>
    <w:rsid w:val="0026244C"/>
    <w:rsid w:val="00262479"/>
    <w:rsid w:val="00262576"/>
    <w:rsid w:val="00262607"/>
    <w:rsid w:val="00262992"/>
    <w:rsid w:val="00262C12"/>
    <w:rsid w:val="00262D87"/>
    <w:rsid w:val="00262E0A"/>
    <w:rsid w:val="00262FA6"/>
    <w:rsid w:val="0026300C"/>
    <w:rsid w:val="00263124"/>
    <w:rsid w:val="00263256"/>
    <w:rsid w:val="002632FB"/>
    <w:rsid w:val="002633E9"/>
    <w:rsid w:val="00263426"/>
    <w:rsid w:val="00263595"/>
    <w:rsid w:val="002637F8"/>
    <w:rsid w:val="00263A8F"/>
    <w:rsid w:val="00263B2B"/>
    <w:rsid w:val="00263B82"/>
    <w:rsid w:val="00263D08"/>
    <w:rsid w:val="00263D50"/>
    <w:rsid w:val="00263D5E"/>
    <w:rsid w:val="00263F0C"/>
    <w:rsid w:val="0026405D"/>
    <w:rsid w:val="0026432F"/>
    <w:rsid w:val="00264952"/>
    <w:rsid w:val="00264A84"/>
    <w:rsid w:val="00264CA2"/>
    <w:rsid w:val="00264E62"/>
    <w:rsid w:val="00265133"/>
    <w:rsid w:val="002651AB"/>
    <w:rsid w:val="0026536C"/>
    <w:rsid w:val="00265571"/>
    <w:rsid w:val="002658DC"/>
    <w:rsid w:val="00265932"/>
    <w:rsid w:val="00265A05"/>
    <w:rsid w:val="00265DF1"/>
    <w:rsid w:val="00265E80"/>
    <w:rsid w:val="0026608F"/>
    <w:rsid w:val="002661AC"/>
    <w:rsid w:val="00266364"/>
    <w:rsid w:val="00266397"/>
    <w:rsid w:val="002664B3"/>
    <w:rsid w:val="00266677"/>
    <w:rsid w:val="0026692A"/>
    <w:rsid w:val="00266B3C"/>
    <w:rsid w:val="00266B7B"/>
    <w:rsid w:val="00266DEB"/>
    <w:rsid w:val="00266EC2"/>
    <w:rsid w:val="0026704B"/>
    <w:rsid w:val="00267224"/>
    <w:rsid w:val="00267241"/>
    <w:rsid w:val="00267263"/>
    <w:rsid w:val="00267389"/>
    <w:rsid w:val="002676A9"/>
    <w:rsid w:val="00267975"/>
    <w:rsid w:val="002679CD"/>
    <w:rsid w:val="00267A78"/>
    <w:rsid w:val="00267D41"/>
    <w:rsid w:val="00267D6E"/>
    <w:rsid w:val="00270068"/>
    <w:rsid w:val="00270080"/>
    <w:rsid w:val="002700C9"/>
    <w:rsid w:val="00270110"/>
    <w:rsid w:val="0027011C"/>
    <w:rsid w:val="002702E7"/>
    <w:rsid w:val="00270739"/>
    <w:rsid w:val="0027099E"/>
    <w:rsid w:val="00270A49"/>
    <w:rsid w:val="00270BBF"/>
    <w:rsid w:val="00270CDF"/>
    <w:rsid w:val="00270DF9"/>
    <w:rsid w:val="0027108F"/>
    <w:rsid w:val="002713C5"/>
    <w:rsid w:val="002713DF"/>
    <w:rsid w:val="0027141E"/>
    <w:rsid w:val="002714D5"/>
    <w:rsid w:val="00271748"/>
    <w:rsid w:val="0027180E"/>
    <w:rsid w:val="00271812"/>
    <w:rsid w:val="00271846"/>
    <w:rsid w:val="00271996"/>
    <w:rsid w:val="00271D83"/>
    <w:rsid w:val="00271DED"/>
    <w:rsid w:val="00271E9D"/>
    <w:rsid w:val="002720E6"/>
    <w:rsid w:val="00272326"/>
    <w:rsid w:val="00272466"/>
    <w:rsid w:val="00272B4C"/>
    <w:rsid w:val="00272BF1"/>
    <w:rsid w:val="00272CBD"/>
    <w:rsid w:val="00272DB7"/>
    <w:rsid w:val="00272F94"/>
    <w:rsid w:val="00272FE1"/>
    <w:rsid w:val="00273071"/>
    <w:rsid w:val="002730DE"/>
    <w:rsid w:val="0027318E"/>
    <w:rsid w:val="0027327F"/>
    <w:rsid w:val="00273283"/>
    <w:rsid w:val="00273617"/>
    <w:rsid w:val="00273ABF"/>
    <w:rsid w:val="00273CD5"/>
    <w:rsid w:val="0027411E"/>
    <w:rsid w:val="00274440"/>
    <w:rsid w:val="002744E4"/>
    <w:rsid w:val="0027494D"/>
    <w:rsid w:val="0027500C"/>
    <w:rsid w:val="00275142"/>
    <w:rsid w:val="0027525C"/>
    <w:rsid w:val="00275396"/>
    <w:rsid w:val="002755CB"/>
    <w:rsid w:val="002756C4"/>
    <w:rsid w:val="00275ACB"/>
    <w:rsid w:val="00275B2C"/>
    <w:rsid w:val="00275BB6"/>
    <w:rsid w:val="00276026"/>
    <w:rsid w:val="00276050"/>
    <w:rsid w:val="002760BC"/>
    <w:rsid w:val="0027621A"/>
    <w:rsid w:val="00276796"/>
    <w:rsid w:val="002769CD"/>
    <w:rsid w:val="00276A16"/>
    <w:rsid w:val="00276A45"/>
    <w:rsid w:val="00276AF4"/>
    <w:rsid w:val="00276C59"/>
    <w:rsid w:val="00276FBF"/>
    <w:rsid w:val="0027706A"/>
    <w:rsid w:val="002776AE"/>
    <w:rsid w:val="002776BD"/>
    <w:rsid w:val="00277761"/>
    <w:rsid w:val="002777D1"/>
    <w:rsid w:val="00277A2C"/>
    <w:rsid w:val="00277B7D"/>
    <w:rsid w:val="00277FF2"/>
    <w:rsid w:val="00280066"/>
    <w:rsid w:val="0028015E"/>
    <w:rsid w:val="002803E1"/>
    <w:rsid w:val="002803F4"/>
    <w:rsid w:val="00280514"/>
    <w:rsid w:val="0028051A"/>
    <w:rsid w:val="00280553"/>
    <w:rsid w:val="0028055E"/>
    <w:rsid w:val="002806F5"/>
    <w:rsid w:val="00280712"/>
    <w:rsid w:val="00280E2A"/>
    <w:rsid w:val="002811A0"/>
    <w:rsid w:val="00281297"/>
    <w:rsid w:val="0028143C"/>
    <w:rsid w:val="002815C9"/>
    <w:rsid w:val="00281921"/>
    <w:rsid w:val="0028193D"/>
    <w:rsid w:val="00281BD7"/>
    <w:rsid w:val="00281CA0"/>
    <w:rsid w:val="00281DB8"/>
    <w:rsid w:val="00281DC5"/>
    <w:rsid w:val="00281F3F"/>
    <w:rsid w:val="00282323"/>
    <w:rsid w:val="0028277C"/>
    <w:rsid w:val="002828A2"/>
    <w:rsid w:val="00282DB3"/>
    <w:rsid w:val="00282E19"/>
    <w:rsid w:val="00282F5D"/>
    <w:rsid w:val="002830A9"/>
    <w:rsid w:val="0028344F"/>
    <w:rsid w:val="002834BC"/>
    <w:rsid w:val="0028356F"/>
    <w:rsid w:val="00283608"/>
    <w:rsid w:val="002836B6"/>
    <w:rsid w:val="002836E3"/>
    <w:rsid w:val="00283817"/>
    <w:rsid w:val="00283924"/>
    <w:rsid w:val="002839C2"/>
    <w:rsid w:val="00284327"/>
    <w:rsid w:val="00284329"/>
    <w:rsid w:val="00284340"/>
    <w:rsid w:val="00284482"/>
    <w:rsid w:val="00284828"/>
    <w:rsid w:val="00284E2E"/>
    <w:rsid w:val="00284EA3"/>
    <w:rsid w:val="002852E2"/>
    <w:rsid w:val="0028588A"/>
    <w:rsid w:val="00285B20"/>
    <w:rsid w:val="00285E00"/>
    <w:rsid w:val="00285E10"/>
    <w:rsid w:val="0028612C"/>
    <w:rsid w:val="00286136"/>
    <w:rsid w:val="0028627B"/>
    <w:rsid w:val="0028657A"/>
    <w:rsid w:val="00286620"/>
    <w:rsid w:val="0028678A"/>
    <w:rsid w:val="002867B7"/>
    <w:rsid w:val="002867D3"/>
    <w:rsid w:val="00286845"/>
    <w:rsid w:val="00286846"/>
    <w:rsid w:val="00286918"/>
    <w:rsid w:val="002869E7"/>
    <w:rsid w:val="00286BEC"/>
    <w:rsid w:val="00286C29"/>
    <w:rsid w:val="00286FD0"/>
    <w:rsid w:val="00286FFC"/>
    <w:rsid w:val="00287190"/>
    <w:rsid w:val="002871F7"/>
    <w:rsid w:val="00287310"/>
    <w:rsid w:val="0028743A"/>
    <w:rsid w:val="002874DF"/>
    <w:rsid w:val="0028755E"/>
    <w:rsid w:val="002875ED"/>
    <w:rsid w:val="00287D73"/>
    <w:rsid w:val="00290090"/>
    <w:rsid w:val="0029038F"/>
    <w:rsid w:val="00290905"/>
    <w:rsid w:val="00290AE8"/>
    <w:rsid w:val="00290DAE"/>
    <w:rsid w:val="00290F7E"/>
    <w:rsid w:val="00291255"/>
    <w:rsid w:val="002912DD"/>
    <w:rsid w:val="00291B19"/>
    <w:rsid w:val="00291C93"/>
    <w:rsid w:val="00291CE6"/>
    <w:rsid w:val="00291D6F"/>
    <w:rsid w:val="00291E54"/>
    <w:rsid w:val="00291FCA"/>
    <w:rsid w:val="002921F3"/>
    <w:rsid w:val="002922B3"/>
    <w:rsid w:val="002924D3"/>
    <w:rsid w:val="00292662"/>
    <w:rsid w:val="0029286E"/>
    <w:rsid w:val="00292871"/>
    <w:rsid w:val="002928C6"/>
    <w:rsid w:val="00292958"/>
    <w:rsid w:val="00292AAE"/>
    <w:rsid w:val="00292CB6"/>
    <w:rsid w:val="00292CC7"/>
    <w:rsid w:val="00292CDA"/>
    <w:rsid w:val="002932C7"/>
    <w:rsid w:val="00293357"/>
    <w:rsid w:val="0029344A"/>
    <w:rsid w:val="00293556"/>
    <w:rsid w:val="00293750"/>
    <w:rsid w:val="002938AC"/>
    <w:rsid w:val="0029390D"/>
    <w:rsid w:val="002939E5"/>
    <w:rsid w:val="00293A35"/>
    <w:rsid w:val="00293B18"/>
    <w:rsid w:val="00293D10"/>
    <w:rsid w:val="00293E64"/>
    <w:rsid w:val="00294064"/>
    <w:rsid w:val="002941C2"/>
    <w:rsid w:val="0029445F"/>
    <w:rsid w:val="0029461F"/>
    <w:rsid w:val="00294672"/>
    <w:rsid w:val="00294830"/>
    <w:rsid w:val="00294910"/>
    <w:rsid w:val="00294954"/>
    <w:rsid w:val="00294B17"/>
    <w:rsid w:val="00294C3C"/>
    <w:rsid w:val="0029504B"/>
    <w:rsid w:val="0029525E"/>
    <w:rsid w:val="0029530C"/>
    <w:rsid w:val="0029558A"/>
    <w:rsid w:val="002955E5"/>
    <w:rsid w:val="00295693"/>
    <w:rsid w:val="00295AA6"/>
    <w:rsid w:val="00295B5F"/>
    <w:rsid w:val="00295BE9"/>
    <w:rsid w:val="00295D2C"/>
    <w:rsid w:val="00295DB9"/>
    <w:rsid w:val="00295DF6"/>
    <w:rsid w:val="00295ED2"/>
    <w:rsid w:val="00295F47"/>
    <w:rsid w:val="00295FF3"/>
    <w:rsid w:val="002961C6"/>
    <w:rsid w:val="00296652"/>
    <w:rsid w:val="0029667A"/>
    <w:rsid w:val="0029668C"/>
    <w:rsid w:val="00296967"/>
    <w:rsid w:val="00296B6E"/>
    <w:rsid w:val="00296E40"/>
    <w:rsid w:val="00297201"/>
    <w:rsid w:val="002973C1"/>
    <w:rsid w:val="002973C9"/>
    <w:rsid w:val="0029744A"/>
    <w:rsid w:val="002976DE"/>
    <w:rsid w:val="00297871"/>
    <w:rsid w:val="00297896"/>
    <w:rsid w:val="002978EA"/>
    <w:rsid w:val="002A01A1"/>
    <w:rsid w:val="002A03BF"/>
    <w:rsid w:val="002A0451"/>
    <w:rsid w:val="002A06B6"/>
    <w:rsid w:val="002A06B9"/>
    <w:rsid w:val="002A081E"/>
    <w:rsid w:val="002A082F"/>
    <w:rsid w:val="002A089C"/>
    <w:rsid w:val="002A0D5A"/>
    <w:rsid w:val="002A0F45"/>
    <w:rsid w:val="002A0F95"/>
    <w:rsid w:val="002A1095"/>
    <w:rsid w:val="002A10AA"/>
    <w:rsid w:val="002A10AD"/>
    <w:rsid w:val="002A1243"/>
    <w:rsid w:val="002A131B"/>
    <w:rsid w:val="002A1481"/>
    <w:rsid w:val="002A14DB"/>
    <w:rsid w:val="002A15EC"/>
    <w:rsid w:val="002A1909"/>
    <w:rsid w:val="002A19DD"/>
    <w:rsid w:val="002A1AE5"/>
    <w:rsid w:val="002A1B2C"/>
    <w:rsid w:val="002A1CE9"/>
    <w:rsid w:val="002A1DE7"/>
    <w:rsid w:val="002A20E0"/>
    <w:rsid w:val="002A2178"/>
    <w:rsid w:val="002A2627"/>
    <w:rsid w:val="002A2C0A"/>
    <w:rsid w:val="002A2F53"/>
    <w:rsid w:val="002A30D4"/>
    <w:rsid w:val="002A3116"/>
    <w:rsid w:val="002A342E"/>
    <w:rsid w:val="002A3687"/>
    <w:rsid w:val="002A36F8"/>
    <w:rsid w:val="002A3815"/>
    <w:rsid w:val="002A3837"/>
    <w:rsid w:val="002A3A05"/>
    <w:rsid w:val="002A3C96"/>
    <w:rsid w:val="002A3D48"/>
    <w:rsid w:val="002A3F7D"/>
    <w:rsid w:val="002A4471"/>
    <w:rsid w:val="002A44B1"/>
    <w:rsid w:val="002A46FF"/>
    <w:rsid w:val="002A4D76"/>
    <w:rsid w:val="002A4DDD"/>
    <w:rsid w:val="002A4F64"/>
    <w:rsid w:val="002A50CB"/>
    <w:rsid w:val="002A534B"/>
    <w:rsid w:val="002A53AD"/>
    <w:rsid w:val="002A554E"/>
    <w:rsid w:val="002A57A6"/>
    <w:rsid w:val="002A5B8C"/>
    <w:rsid w:val="002A5D4E"/>
    <w:rsid w:val="002A60A1"/>
    <w:rsid w:val="002A6750"/>
    <w:rsid w:val="002A6791"/>
    <w:rsid w:val="002A6817"/>
    <w:rsid w:val="002A6831"/>
    <w:rsid w:val="002A6C8C"/>
    <w:rsid w:val="002A7161"/>
    <w:rsid w:val="002A7624"/>
    <w:rsid w:val="002A7646"/>
    <w:rsid w:val="002A7A8A"/>
    <w:rsid w:val="002A7AFD"/>
    <w:rsid w:val="002A7F7D"/>
    <w:rsid w:val="002B062B"/>
    <w:rsid w:val="002B0733"/>
    <w:rsid w:val="002B07A3"/>
    <w:rsid w:val="002B0B4B"/>
    <w:rsid w:val="002B0CA7"/>
    <w:rsid w:val="002B0DC7"/>
    <w:rsid w:val="002B101B"/>
    <w:rsid w:val="002B1815"/>
    <w:rsid w:val="002B184A"/>
    <w:rsid w:val="002B1870"/>
    <w:rsid w:val="002B19A6"/>
    <w:rsid w:val="002B1C34"/>
    <w:rsid w:val="002B1F1C"/>
    <w:rsid w:val="002B2152"/>
    <w:rsid w:val="002B21BC"/>
    <w:rsid w:val="002B2463"/>
    <w:rsid w:val="002B2838"/>
    <w:rsid w:val="002B2870"/>
    <w:rsid w:val="002B29F5"/>
    <w:rsid w:val="002B2C54"/>
    <w:rsid w:val="002B2DD1"/>
    <w:rsid w:val="002B2F14"/>
    <w:rsid w:val="002B2FA3"/>
    <w:rsid w:val="002B301E"/>
    <w:rsid w:val="002B30FE"/>
    <w:rsid w:val="002B3278"/>
    <w:rsid w:val="002B3334"/>
    <w:rsid w:val="002B3467"/>
    <w:rsid w:val="002B35A6"/>
    <w:rsid w:val="002B367C"/>
    <w:rsid w:val="002B36F1"/>
    <w:rsid w:val="002B38CD"/>
    <w:rsid w:val="002B3931"/>
    <w:rsid w:val="002B3A1C"/>
    <w:rsid w:val="002B3A39"/>
    <w:rsid w:val="002B4055"/>
    <w:rsid w:val="002B417B"/>
    <w:rsid w:val="002B4450"/>
    <w:rsid w:val="002B451A"/>
    <w:rsid w:val="002B46D3"/>
    <w:rsid w:val="002B4708"/>
    <w:rsid w:val="002B4781"/>
    <w:rsid w:val="002B48A1"/>
    <w:rsid w:val="002B4A21"/>
    <w:rsid w:val="002B4B74"/>
    <w:rsid w:val="002B4E1E"/>
    <w:rsid w:val="002B4F32"/>
    <w:rsid w:val="002B50C4"/>
    <w:rsid w:val="002B50F5"/>
    <w:rsid w:val="002B514F"/>
    <w:rsid w:val="002B527E"/>
    <w:rsid w:val="002B52E6"/>
    <w:rsid w:val="002B5336"/>
    <w:rsid w:val="002B535F"/>
    <w:rsid w:val="002B5429"/>
    <w:rsid w:val="002B5659"/>
    <w:rsid w:val="002B56E9"/>
    <w:rsid w:val="002B5A48"/>
    <w:rsid w:val="002B5C29"/>
    <w:rsid w:val="002B5C72"/>
    <w:rsid w:val="002B5D4C"/>
    <w:rsid w:val="002B5E5B"/>
    <w:rsid w:val="002B5E77"/>
    <w:rsid w:val="002B608D"/>
    <w:rsid w:val="002B60C7"/>
    <w:rsid w:val="002B6135"/>
    <w:rsid w:val="002B61F5"/>
    <w:rsid w:val="002B621C"/>
    <w:rsid w:val="002B668C"/>
    <w:rsid w:val="002B6BEF"/>
    <w:rsid w:val="002B6CB0"/>
    <w:rsid w:val="002B6D89"/>
    <w:rsid w:val="002B6F7B"/>
    <w:rsid w:val="002B7188"/>
    <w:rsid w:val="002B7452"/>
    <w:rsid w:val="002B75D8"/>
    <w:rsid w:val="002B76FC"/>
    <w:rsid w:val="002B77EF"/>
    <w:rsid w:val="002B787D"/>
    <w:rsid w:val="002B795C"/>
    <w:rsid w:val="002B7A3D"/>
    <w:rsid w:val="002B7AC0"/>
    <w:rsid w:val="002B7D0C"/>
    <w:rsid w:val="002C0650"/>
    <w:rsid w:val="002C0774"/>
    <w:rsid w:val="002C0AB5"/>
    <w:rsid w:val="002C0B44"/>
    <w:rsid w:val="002C0BE1"/>
    <w:rsid w:val="002C0CB8"/>
    <w:rsid w:val="002C0CF3"/>
    <w:rsid w:val="002C0D04"/>
    <w:rsid w:val="002C0D3E"/>
    <w:rsid w:val="002C0F4F"/>
    <w:rsid w:val="002C0F97"/>
    <w:rsid w:val="002C0FD2"/>
    <w:rsid w:val="002C1026"/>
    <w:rsid w:val="002C1114"/>
    <w:rsid w:val="002C11D0"/>
    <w:rsid w:val="002C1347"/>
    <w:rsid w:val="002C1571"/>
    <w:rsid w:val="002C1B08"/>
    <w:rsid w:val="002C1CF7"/>
    <w:rsid w:val="002C1DC9"/>
    <w:rsid w:val="002C1EC9"/>
    <w:rsid w:val="002C1FE3"/>
    <w:rsid w:val="002C20EA"/>
    <w:rsid w:val="002C2386"/>
    <w:rsid w:val="002C2729"/>
    <w:rsid w:val="002C27C8"/>
    <w:rsid w:val="002C29FA"/>
    <w:rsid w:val="002C2B49"/>
    <w:rsid w:val="002C2F0F"/>
    <w:rsid w:val="002C2F80"/>
    <w:rsid w:val="002C30BB"/>
    <w:rsid w:val="002C30C7"/>
    <w:rsid w:val="002C30FF"/>
    <w:rsid w:val="002C3184"/>
    <w:rsid w:val="002C31AC"/>
    <w:rsid w:val="002C31DA"/>
    <w:rsid w:val="002C34A8"/>
    <w:rsid w:val="002C34B0"/>
    <w:rsid w:val="002C34D1"/>
    <w:rsid w:val="002C34F1"/>
    <w:rsid w:val="002C3560"/>
    <w:rsid w:val="002C3808"/>
    <w:rsid w:val="002C39C6"/>
    <w:rsid w:val="002C3A16"/>
    <w:rsid w:val="002C3A7E"/>
    <w:rsid w:val="002C3C5B"/>
    <w:rsid w:val="002C3CCE"/>
    <w:rsid w:val="002C3D54"/>
    <w:rsid w:val="002C40E1"/>
    <w:rsid w:val="002C4158"/>
    <w:rsid w:val="002C4177"/>
    <w:rsid w:val="002C4191"/>
    <w:rsid w:val="002C422B"/>
    <w:rsid w:val="002C43A2"/>
    <w:rsid w:val="002C448A"/>
    <w:rsid w:val="002C4B41"/>
    <w:rsid w:val="002C4E75"/>
    <w:rsid w:val="002C4E97"/>
    <w:rsid w:val="002C4F3F"/>
    <w:rsid w:val="002C4FF0"/>
    <w:rsid w:val="002C502F"/>
    <w:rsid w:val="002C52B3"/>
    <w:rsid w:val="002C535D"/>
    <w:rsid w:val="002C5666"/>
    <w:rsid w:val="002C5A51"/>
    <w:rsid w:val="002C5D1F"/>
    <w:rsid w:val="002C5D5D"/>
    <w:rsid w:val="002C5D7A"/>
    <w:rsid w:val="002C5F04"/>
    <w:rsid w:val="002C6102"/>
    <w:rsid w:val="002C614D"/>
    <w:rsid w:val="002C6728"/>
    <w:rsid w:val="002C6798"/>
    <w:rsid w:val="002C6D24"/>
    <w:rsid w:val="002C6DF1"/>
    <w:rsid w:val="002C6E96"/>
    <w:rsid w:val="002C71AB"/>
    <w:rsid w:val="002C724B"/>
    <w:rsid w:val="002C735F"/>
    <w:rsid w:val="002C73DE"/>
    <w:rsid w:val="002C7512"/>
    <w:rsid w:val="002C7806"/>
    <w:rsid w:val="002C7826"/>
    <w:rsid w:val="002C7939"/>
    <w:rsid w:val="002C79EC"/>
    <w:rsid w:val="002C7B00"/>
    <w:rsid w:val="002C7F72"/>
    <w:rsid w:val="002D0083"/>
    <w:rsid w:val="002D014C"/>
    <w:rsid w:val="002D05B2"/>
    <w:rsid w:val="002D0647"/>
    <w:rsid w:val="002D08C5"/>
    <w:rsid w:val="002D0C4E"/>
    <w:rsid w:val="002D0DD8"/>
    <w:rsid w:val="002D110C"/>
    <w:rsid w:val="002D11F9"/>
    <w:rsid w:val="002D1396"/>
    <w:rsid w:val="002D13BB"/>
    <w:rsid w:val="002D14CB"/>
    <w:rsid w:val="002D14F3"/>
    <w:rsid w:val="002D170D"/>
    <w:rsid w:val="002D1E97"/>
    <w:rsid w:val="002D1FEA"/>
    <w:rsid w:val="002D1FEE"/>
    <w:rsid w:val="002D215C"/>
    <w:rsid w:val="002D21F2"/>
    <w:rsid w:val="002D222D"/>
    <w:rsid w:val="002D229F"/>
    <w:rsid w:val="002D22FF"/>
    <w:rsid w:val="002D244C"/>
    <w:rsid w:val="002D2533"/>
    <w:rsid w:val="002D2603"/>
    <w:rsid w:val="002D2617"/>
    <w:rsid w:val="002D2A4E"/>
    <w:rsid w:val="002D2A59"/>
    <w:rsid w:val="002D3395"/>
    <w:rsid w:val="002D33A6"/>
    <w:rsid w:val="002D3612"/>
    <w:rsid w:val="002D3842"/>
    <w:rsid w:val="002D3843"/>
    <w:rsid w:val="002D3E0F"/>
    <w:rsid w:val="002D426C"/>
    <w:rsid w:val="002D4329"/>
    <w:rsid w:val="002D43BE"/>
    <w:rsid w:val="002D4554"/>
    <w:rsid w:val="002D4663"/>
    <w:rsid w:val="002D4772"/>
    <w:rsid w:val="002D4964"/>
    <w:rsid w:val="002D4AE2"/>
    <w:rsid w:val="002D4E46"/>
    <w:rsid w:val="002D4EDE"/>
    <w:rsid w:val="002D4F24"/>
    <w:rsid w:val="002D4F2C"/>
    <w:rsid w:val="002D4F6A"/>
    <w:rsid w:val="002D524E"/>
    <w:rsid w:val="002D531F"/>
    <w:rsid w:val="002D543C"/>
    <w:rsid w:val="002D5534"/>
    <w:rsid w:val="002D56A8"/>
    <w:rsid w:val="002D5744"/>
    <w:rsid w:val="002D57B9"/>
    <w:rsid w:val="002D5969"/>
    <w:rsid w:val="002D5A6E"/>
    <w:rsid w:val="002D5EC7"/>
    <w:rsid w:val="002D6031"/>
    <w:rsid w:val="002D6053"/>
    <w:rsid w:val="002D60FE"/>
    <w:rsid w:val="002D6138"/>
    <w:rsid w:val="002D6352"/>
    <w:rsid w:val="002D6414"/>
    <w:rsid w:val="002D6452"/>
    <w:rsid w:val="002D6781"/>
    <w:rsid w:val="002D67C2"/>
    <w:rsid w:val="002D6814"/>
    <w:rsid w:val="002D6929"/>
    <w:rsid w:val="002D6949"/>
    <w:rsid w:val="002D698B"/>
    <w:rsid w:val="002D6A46"/>
    <w:rsid w:val="002D6AA2"/>
    <w:rsid w:val="002D6BFB"/>
    <w:rsid w:val="002D6C5D"/>
    <w:rsid w:val="002D6EB2"/>
    <w:rsid w:val="002D72A4"/>
    <w:rsid w:val="002D7335"/>
    <w:rsid w:val="002D73BA"/>
    <w:rsid w:val="002D756B"/>
    <w:rsid w:val="002D7645"/>
    <w:rsid w:val="002D7711"/>
    <w:rsid w:val="002D774D"/>
    <w:rsid w:val="002D782B"/>
    <w:rsid w:val="002D7AC3"/>
    <w:rsid w:val="002D7BC8"/>
    <w:rsid w:val="002D7D4E"/>
    <w:rsid w:val="002D7DC6"/>
    <w:rsid w:val="002D7EC5"/>
    <w:rsid w:val="002E0206"/>
    <w:rsid w:val="002E022C"/>
    <w:rsid w:val="002E0722"/>
    <w:rsid w:val="002E07FD"/>
    <w:rsid w:val="002E0871"/>
    <w:rsid w:val="002E09B2"/>
    <w:rsid w:val="002E09C4"/>
    <w:rsid w:val="002E0A12"/>
    <w:rsid w:val="002E0C47"/>
    <w:rsid w:val="002E0C77"/>
    <w:rsid w:val="002E0E90"/>
    <w:rsid w:val="002E0ED3"/>
    <w:rsid w:val="002E1050"/>
    <w:rsid w:val="002E1051"/>
    <w:rsid w:val="002E146B"/>
    <w:rsid w:val="002E1558"/>
    <w:rsid w:val="002E15AE"/>
    <w:rsid w:val="002E15BC"/>
    <w:rsid w:val="002E1743"/>
    <w:rsid w:val="002E18AE"/>
    <w:rsid w:val="002E1B3C"/>
    <w:rsid w:val="002E1DD5"/>
    <w:rsid w:val="002E1E65"/>
    <w:rsid w:val="002E1F48"/>
    <w:rsid w:val="002E1FAD"/>
    <w:rsid w:val="002E20DD"/>
    <w:rsid w:val="002E20E5"/>
    <w:rsid w:val="002E21AC"/>
    <w:rsid w:val="002E22BC"/>
    <w:rsid w:val="002E24E1"/>
    <w:rsid w:val="002E258B"/>
    <w:rsid w:val="002E27E0"/>
    <w:rsid w:val="002E27F1"/>
    <w:rsid w:val="002E28DB"/>
    <w:rsid w:val="002E2B46"/>
    <w:rsid w:val="002E2F03"/>
    <w:rsid w:val="002E3057"/>
    <w:rsid w:val="002E30B4"/>
    <w:rsid w:val="002E31A5"/>
    <w:rsid w:val="002E324C"/>
    <w:rsid w:val="002E338C"/>
    <w:rsid w:val="002E3400"/>
    <w:rsid w:val="002E36D5"/>
    <w:rsid w:val="002E3824"/>
    <w:rsid w:val="002E38C3"/>
    <w:rsid w:val="002E3961"/>
    <w:rsid w:val="002E3A20"/>
    <w:rsid w:val="002E3B31"/>
    <w:rsid w:val="002E3C7B"/>
    <w:rsid w:val="002E3DAA"/>
    <w:rsid w:val="002E3E25"/>
    <w:rsid w:val="002E3EE9"/>
    <w:rsid w:val="002E4051"/>
    <w:rsid w:val="002E4072"/>
    <w:rsid w:val="002E42DD"/>
    <w:rsid w:val="002E474A"/>
    <w:rsid w:val="002E4A77"/>
    <w:rsid w:val="002E4CFB"/>
    <w:rsid w:val="002E4F6F"/>
    <w:rsid w:val="002E50A1"/>
    <w:rsid w:val="002E5299"/>
    <w:rsid w:val="002E54A0"/>
    <w:rsid w:val="002E54AE"/>
    <w:rsid w:val="002E5612"/>
    <w:rsid w:val="002E5768"/>
    <w:rsid w:val="002E5981"/>
    <w:rsid w:val="002E5CAE"/>
    <w:rsid w:val="002E5DFD"/>
    <w:rsid w:val="002E5FBA"/>
    <w:rsid w:val="002E616F"/>
    <w:rsid w:val="002E6414"/>
    <w:rsid w:val="002E6459"/>
    <w:rsid w:val="002E64F0"/>
    <w:rsid w:val="002E65A9"/>
    <w:rsid w:val="002E672C"/>
    <w:rsid w:val="002E6743"/>
    <w:rsid w:val="002E68D5"/>
    <w:rsid w:val="002E68E1"/>
    <w:rsid w:val="002E6CAD"/>
    <w:rsid w:val="002E7222"/>
    <w:rsid w:val="002E7381"/>
    <w:rsid w:val="002E73D8"/>
    <w:rsid w:val="002E7420"/>
    <w:rsid w:val="002E768D"/>
    <w:rsid w:val="002E7A96"/>
    <w:rsid w:val="002E7B7E"/>
    <w:rsid w:val="002E7C0A"/>
    <w:rsid w:val="002E7D6D"/>
    <w:rsid w:val="002E7D70"/>
    <w:rsid w:val="002E7DB2"/>
    <w:rsid w:val="002E7DEB"/>
    <w:rsid w:val="002E7E44"/>
    <w:rsid w:val="002F0011"/>
    <w:rsid w:val="002F0076"/>
    <w:rsid w:val="002F0112"/>
    <w:rsid w:val="002F0121"/>
    <w:rsid w:val="002F01D2"/>
    <w:rsid w:val="002F01F4"/>
    <w:rsid w:val="002F02A1"/>
    <w:rsid w:val="002F0340"/>
    <w:rsid w:val="002F0367"/>
    <w:rsid w:val="002F0390"/>
    <w:rsid w:val="002F04A8"/>
    <w:rsid w:val="002F09F1"/>
    <w:rsid w:val="002F0A23"/>
    <w:rsid w:val="002F0ADD"/>
    <w:rsid w:val="002F0BB9"/>
    <w:rsid w:val="002F0BE7"/>
    <w:rsid w:val="002F0DCC"/>
    <w:rsid w:val="002F10D5"/>
    <w:rsid w:val="002F1118"/>
    <w:rsid w:val="002F11DD"/>
    <w:rsid w:val="002F12BF"/>
    <w:rsid w:val="002F13ED"/>
    <w:rsid w:val="002F1997"/>
    <w:rsid w:val="002F1B3F"/>
    <w:rsid w:val="002F1BEF"/>
    <w:rsid w:val="002F1C36"/>
    <w:rsid w:val="002F1E06"/>
    <w:rsid w:val="002F20EA"/>
    <w:rsid w:val="002F2102"/>
    <w:rsid w:val="002F215D"/>
    <w:rsid w:val="002F21F3"/>
    <w:rsid w:val="002F22AA"/>
    <w:rsid w:val="002F22C5"/>
    <w:rsid w:val="002F22CB"/>
    <w:rsid w:val="002F22F8"/>
    <w:rsid w:val="002F2385"/>
    <w:rsid w:val="002F2390"/>
    <w:rsid w:val="002F2425"/>
    <w:rsid w:val="002F27A5"/>
    <w:rsid w:val="002F28BC"/>
    <w:rsid w:val="002F2954"/>
    <w:rsid w:val="002F2B4C"/>
    <w:rsid w:val="002F2D21"/>
    <w:rsid w:val="002F2DE9"/>
    <w:rsid w:val="002F338B"/>
    <w:rsid w:val="002F33E4"/>
    <w:rsid w:val="002F3550"/>
    <w:rsid w:val="002F366C"/>
    <w:rsid w:val="002F369C"/>
    <w:rsid w:val="002F3A3E"/>
    <w:rsid w:val="002F3A66"/>
    <w:rsid w:val="002F3ADB"/>
    <w:rsid w:val="002F3C97"/>
    <w:rsid w:val="002F3CBF"/>
    <w:rsid w:val="002F3CDC"/>
    <w:rsid w:val="002F3F8E"/>
    <w:rsid w:val="002F40AA"/>
    <w:rsid w:val="002F4248"/>
    <w:rsid w:val="002F4453"/>
    <w:rsid w:val="002F4623"/>
    <w:rsid w:val="002F496C"/>
    <w:rsid w:val="002F4A1B"/>
    <w:rsid w:val="002F4A5C"/>
    <w:rsid w:val="002F4B07"/>
    <w:rsid w:val="002F4CAB"/>
    <w:rsid w:val="002F4E17"/>
    <w:rsid w:val="002F4E3D"/>
    <w:rsid w:val="002F4EBE"/>
    <w:rsid w:val="002F4F77"/>
    <w:rsid w:val="002F5140"/>
    <w:rsid w:val="002F516D"/>
    <w:rsid w:val="002F5396"/>
    <w:rsid w:val="002F545C"/>
    <w:rsid w:val="002F5BE0"/>
    <w:rsid w:val="002F5C41"/>
    <w:rsid w:val="002F5D82"/>
    <w:rsid w:val="002F5EA3"/>
    <w:rsid w:val="002F6281"/>
    <w:rsid w:val="002F62BC"/>
    <w:rsid w:val="002F63DC"/>
    <w:rsid w:val="002F640C"/>
    <w:rsid w:val="002F642D"/>
    <w:rsid w:val="002F648D"/>
    <w:rsid w:val="002F6599"/>
    <w:rsid w:val="002F6807"/>
    <w:rsid w:val="002F6D8A"/>
    <w:rsid w:val="002F6E11"/>
    <w:rsid w:val="002F6F6F"/>
    <w:rsid w:val="002F6FD3"/>
    <w:rsid w:val="002F705F"/>
    <w:rsid w:val="002F7203"/>
    <w:rsid w:val="002F7255"/>
    <w:rsid w:val="002F73FD"/>
    <w:rsid w:val="002F74F3"/>
    <w:rsid w:val="002F77C8"/>
    <w:rsid w:val="002F7861"/>
    <w:rsid w:val="002F7964"/>
    <w:rsid w:val="002F7A5A"/>
    <w:rsid w:val="002F7A86"/>
    <w:rsid w:val="002F7D7B"/>
    <w:rsid w:val="002F7E92"/>
    <w:rsid w:val="002F7F3F"/>
    <w:rsid w:val="003000F9"/>
    <w:rsid w:val="00300260"/>
    <w:rsid w:val="00300371"/>
    <w:rsid w:val="0030046D"/>
    <w:rsid w:val="003008DB"/>
    <w:rsid w:val="003009EC"/>
    <w:rsid w:val="00300A1B"/>
    <w:rsid w:val="00300B6E"/>
    <w:rsid w:val="00300EB7"/>
    <w:rsid w:val="00300EEC"/>
    <w:rsid w:val="00300F88"/>
    <w:rsid w:val="00300FC2"/>
    <w:rsid w:val="00301093"/>
    <w:rsid w:val="0030109B"/>
    <w:rsid w:val="0030118C"/>
    <w:rsid w:val="0030161B"/>
    <w:rsid w:val="0030199B"/>
    <w:rsid w:val="00301A9C"/>
    <w:rsid w:val="00301C8A"/>
    <w:rsid w:val="00301D30"/>
    <w:rsid w:val="00301FCB"/>
    <w:rsid w:val="003020CF"/>
    <w:rsid w:val="0030255A"/>
    <w:rsid w:val="00302672"/>
    <w:rsid w:val="00302781"/>
    <w:rsid w:val="00302830"/>
    <w:rsid w:val="00302866"/>
    <w:rsid w:val="00302894"/>
    <w:rsid w:val="00302AC0"/>
    <w:rsid w:val="00302C63"/>
    <w:rsid w:val="00302CEC"/>
    <w:rsid w:val="003030E5"/>
    <w:rsid w:val="00303289"/>
    <w:rsid w:val="0030328A"/>
    <w:rsid w:val="00303552"/>
    <w:rsid w:val="0030390A"/>
    <w:rsid w:val="00303B9B"/>
    <w:rsid w:val="00303C79"/>
    <w:rsid w:val="00303DD6"/>
    <w:rsid w:val="00303DF8"/>
    <w:rsid w:val="00303E50"/>
    <w:rsid w:val="00303E95"/>
    <w:rsid w:val="00303F67"/>
    <w:rsid w:val="003040B4"/>
    <w:rsid w:val="0030410E"/>
    <w:rsid w:val="00304247"/>
    <w:rsid w:val="0030425B"/>
    <w:rsid w:val="00304770"/>
    <w:rsid w:val="00304773"/>
    <w:rsid w:val="003048C5"/>
    <w:rsid w:val="00304979"/>
    <w:rsid w:val="00305380"/>
    <w:rsid w:val="003054F5"/>
    <w:rsid w:val="0030587C"/>
    <w:rsid w:val="00305C0D"/>
    <w:rsid w:val="00305C19"/>
    <w:rsid w:val="003060EB"/>
    <w:rsid w:val="00306206"/>
    <w:rsid w:val="00306265"/>
    <w:rsid w:val="0030659C"/>
    <w:rsid w:val="0030660D"/>
    <w:rsid w:val="00306A33"/>
    <w:rsid w:val="00306DF3"/>
    <w:rsid w:val="00306E44"/>
    <w:rsid w:val="00307553"/>
    <w:rsid w:val="00307906"/>
    <w:rsid w:val="00307917"/>
    <w:rsid w:val="00307C3C"/>
    <w:rsid w:val="00307F6D"/>
    <w:rsid w:val="00307FAE"/>
    <w:rsid w:val="00310152"/>
    <w:rsid w:val="00310156"/>
    <w:rsid w:val="003102FF"/>
    <w:rsid w:val="0031045F"/>
    <w:rsid w:val="00310557"/>
    <w:rsid w:val="0031064A"/>
    <w:rsid w:val="0031085E"/>
    <w:rsid w:val="003108CD"/>
    <w:rsid w:val="003109D7"/>
    <w:rsid w:val="00310B08"/>
    <w:rsid w:val="00310C69"/>
    <w:rsid w:val="00310C9F"/>
    <w:rsid w:val="00310DF8"/>
    <w:rsid w:val="00310E6A"/>
    <w:rsid w:val="00310FDA"/>
    <w:rsid w:val="0031109B"/>
    <w:rsid w:val="00311337"/>
    <w:rsid w:val="00311595"/>
    <w:rsid w:val="00311DB6"/>
    <w:rsid w:val="00312252"/>
    <w:rsid w:val="003122B1"/>
    <w:rsid w:val="003124B2"/>
    <w:rsid w:val="00312550"/>
    <w:rsid w:val="0031260B"/>
    <w:rsid w:val="00312766"/>
    <w:rsid w:val="0031281C"/>
    <w:rsid w:val="00312879"/>
    <w:rsid w:val="003129CD"/>
    <w:rsid w:val="00312C1C"/>
    <w:rsid w:val="00312E55"/>
    <w:rsid w:val="00312ED6"/>
    <w:rsid w:val="00313037"/>
    <w:rsid w:val="00313106"/>
    <w:rsid w:val="003135F0"/>
    <w:rsid w:val="00313612"/>
    <w:rsid w:val="00313855"/>
    <w:rsid w:val="003139BC"/>
    <w:rsid w:val="00313A80"/>
    <w:rsid w:val="00313AB8"/>
    <w:rsid w:val="00313BA6"/>
    <w:rsid w:val="00313C94"/>
    <w:rsid w:val="00313D8E"/>
    <w:rsid w:val="00313E1B"/>
    <w:rsid w:val="00313F26"/>
    <w:rsid w:val="00313FF5"/>
    <w:rsid w:val="0031408C"/>
    <w:rsid w:val="00314142"/>
    <w:rsid w:val="00314162"/>
    <w:rsid w:val="0031432B"/>
    <w:rsid w:val="003146D0"/>
    <w:rsid w:val="003147D2"/>
    <w:rsid w:val="003147F9"/>
    <w:rsid w:val="00314849"/>
    <w:rsid w:val="003148E4"/>
    <w:rsid w:val="0031491E"/>
    <w:rsid w:val="00314921"/>
    <w:rsid w:val="00314BF9"/>
    <w:rsid w:val="00314C61"/>
    <w:rsid w:val="00314D63"/>
    <w:rsid w:val="00314D68"/>
    <w:rsid w:val="00314D85"/>
    <w:rsid w:val="00314F7C"/>
    <w:rsid w:val="003155B6"/>
    <w:rsid w:val="0031580C"/>
    <w:rsid w:val="0031598D"/>
    <w:rsid w:val="003159C5"/>
    <w:rsid w:val="00315BE0"/>
    <w:rsid w:val="00315DE0"/>
    <w:rsid w:val="00315E01"/>
    <w:rsid w:val="00315F50"/>
    <w:rsid w:val="00315FAE"/>
    <w:rsid w:val="00315FEF"/>
    <w:rsid w:val="0031608B"/>
    <w:rsid w:val="0031609C"/>
    <w:rsid w:val="003160AD"/>
    <w:rsid w:val="0031619A"/>
    <w:rsid w:val="0031620F"/>
    <w:rsid w:val="00316234"/>
    <w:rsid w:val="0031623F"/>
    <w:rsid w:val="003162C0"/>
    <w:rsid w:val="003162CC"/>
    <w:rsid w:val="003162F9"/>
    <w:rsid w:val="00316425"/>
    <w:rsid w:val="00316766"/>
    <w:rsid w:val="0031678E"/>
    <w:rsid w:val="00316796"/>
    <w:rsid w:val="003167BB"/>
    <w:rsid w:val="003167C0"/>
    <w:rsid w:val="003167CB"/>
    <w:rsid w:val="00316A85"/>
    <w:rsid w:val="00316B99"/>
    <w:rsid w:val="00316C40"/>
    <w:rsid w:val="00316DA5"/>
    <w:rsid w:val="00317274"/>
    <w:rsid w:val="00317488"/>
    <w:rsid w:val="0031749D"/>
    <w:rsid w:val="003175CB"/>
    <w:rsid w:val="003177B0"/>
    <w:rsid w:val="003178FD"/>
    <w:rsid w:val="00317943"/>
    <w:rsid w:val="00317B62"/>
    <w:rsid w:val="00317CC0"/>
    <w:rsid w:val="00317CE0"/>
    <w:rsid w:val="00320202"/>
    <w:rsid w:val="0032023F"/>
    <w:rsid w:val="003204E4"/>
    <w:rsid w:val="0032055D"/>
    <w:rsid w:val="00320839"/>
    <w:rsid w:val="003208B4"/>
    <w:rsid w:val="003209D8"/>
    <w:rsid w:val="00320A5B"/>
    <w:rsid w:val="00320C34"/>
    <w:rsid w:val="00320CF9"/>
    <w:rsid w:val="00320D95"/>
    <w:rsid w:val="003210AB"/>
    <w:rsid w:val="003210FF"/>
    <w:rsid w:val="00321155"/>
    <w:rsid w:val="00321427"/>
    <w:rsid w:val="00321694"/>
    <w:rsid w:val="003218D6"/>
    <w:rsid w:val="003218EE"/>
    <w:rsid w:val="00321AA8"/>
    <w:rsid w:val="00321AED"/>
    <w:rsid w:val="00321BBC"/>
    <w:rsid w:val="00321CD1"/>
    <w:rsid w:val="00321CD6"/>
    <w:rsid w:val="00321FD9"/>
    <w:rsid w:val="00322170"/>
    <w:rsid w:val="00322296"/>
    <w:rsid w:val="00322717"/>
    <w:rsid w:val="00322888"/>
    <w:rsid w:val="00322D9B"/>
    <w:rsid w:val="00322E8E"/>
    <w:rsid w:val="00323020"/>
    <w:rsid w:val="0032309C"/>
    <w:rsid w:val="003232A2"/>
    <w:rsid w:val="003232FB"/>
    <w:rsid w:val="00323516"/>
    <w:rsid w:val="0032354E"/>
    <w:rsid w:val="00323BBB"/>
    <w:rsid w:val="00323CFE"/>
    <w:rsid w:val="00323D6E"/>
    <w:rsid w:val="00323FF0"/>
    <w:rsid w:val="00324020"/>
    <w:rsid w:val="00324025"/>
    <w:rsid w:val="0032413D"/>
    <w:rsid w:val="00324297"/>
    <w:rsid w:val="0032434D"/>
    <w:rsid w:val="0032460D"/>
    <w:rsid w:val="00324669"/>
    <w:rsid w:val="003249F6"/>
    <w:rsid w:val="00324C4A"/>
    <w:rsid w:val="00324C69"/>
    <w:rsid w:val="003254B6"/>
    <w:rsid w:val="0032563C"/>
    <w:rsid w:val="00325813"/>
    <w:rsid w:val="00325946"/>
    <w:rsid w:val="00325A62"/>
    <w:rsid w:val="00325DC0"/>
    <w:rsid w:val="00325E22"/>
    <w:rsid w:val="00325F4C"/>
    <w:rsid w:val="003262F8"/>
    <w:rsid w:val="00326685"/>
    <w:rsid w:val="00326E2D"/>
    <w:rsid w:val="00326EA8"/>
    <w:rsid w:val="00326EC7"/>
    <w:rsid w:val="00326F12"/>
    <w:rsid w:val="00327110"/>
    <w:rsid w:val="00327203"/>
    <w:rsid w:val="00327215"/>
    <w:rsid w:val="0032726B"/>
    <w:rsid w:val="00327620"/>
    <w:rsid w:val="00327673"/>
    <w:rsid w:val="0032768B"/>
    <w:rsid w:val="00327A2F"/>
    <w:rsid w:val="00327D4D"/>
    <w:rsid w:val="00327DEB"/>
    <w:rsid w:val="00327E3D"/>
    <w:rsid w:val="00327E6D"/>
    <w:rsid w:val="00327ECC"/>
    <w:rsid w:val="00327FF3"/>
    <w:rsid w:val="0033016E"/>
    <w:rsid w:val="0033031A"/>
    <w:rsid w:val="003303A7"/>
    <w:rsid w:val="003303D5"/>
    <w:rsid w:val="00330494"/>
    <w:rsid w:val="003305CC"/>
    <w:rsid w:val="00330675"/>
    <w:rsid w:val="003306A4"/>
    <w:rsid w:val="0033086A"/>
    <w:rsid w:val="003308B7"/>
    <w:rsid w:val="0033096E"/>
    <w:rsid w:val="00330A4F"/>
    <w:rsid w:val="00330A85"/>
    <w:rsid w:val="00330ABB"/>
    <w:rsid w:val="00330BBB"/>
    <w:rsid w:val="00330CAC"/>
    <w:rsid w:val="00330CE0"/>
    <w:rsid w:val="00330DCE"/>
    <w:rsid w:val="00330E4D"/>
    <w:rsid w:val="00330F8B"/>
    <w:rsid w:val="00331172"/>
    <w:rsid w:val="0033118D"/>
    <w:rsid w:val="00331253"/>
    <w:rsid w:val="0033128F"/>
    <w:rsid w:val="00331437"/>
    <w:rsid w:val="00331476"/>
    <w:rsid w:val="00331631"/>
    <w:rsid w:val="00331753"/>
    <w:rsid w:val="003317A8"/>
    <w:rsid w:val="003319A3"/>
    <w:rsid w:val="00331F08"/>
    <w:rsid w:val="00331F44"/>
    <w:rsid w:val="00331FB1"/>
    <w:rsid w:val="003320A3"/>
    <w:rsid w:val="0033243A"/>
    <w:rsid w:val="003324F0"/>
    <w:rsid w:val="003325F4"/>
    <w:rsid w:val="003326B5"/>
    <w:rsid w:val="00332827"/>
    <w:rsid w:val="00332844"/>
    <w:rsid w:val="003328DA"/>
    <w:rsid w:val="00332A3D"/>
    <w:rsid w:val="00332E36"/>
    <w:rsid w:val="0033306F"/>
    <w:rsid w:val="00333236"/>
    <w:rsid w:val="00333358"/>
    <w:rsid w:val="0033356B"/>
    <w:rsid w:val="003335B4"/>
    <w:rsid w:val="00333C96"/>
    <w:rsid w:val="0033407C"/>
    <w:rsid w:val="003341A2"/>
    <w:rsid w:val="00334295"/>
    <w:rsid w:val="0033434D"/>
    <w:rsid w:val="003343E3"/>
    <w:rsid w:val="00334543"/>
    <w:rsid w:val="00334A54"/>
    <w:rsid w:val="00334D00"/>
    <w:rsid w:val="00334D87"/>
    <w:rsid w:val="00335003"/>
    <w:rsid w:val="00335024"/>
    <w:rsid w:val="003350BB"/>
    <w:rsid w:val="00335273"/>
    <w:rsid w:val="003352E4"/>
    <w:rsid w:val="00335308"/>
    <w:rsid w:val="00335542"/>
    <w:rsid w:val="0033593A"/>
    <w:rsid w:val="003359BF"/>
    <w:rsid w:val="00335A25"/>
    <w:rsid w:val="00335BB6"/>
    <w:rsid w:val="00335D2B"/>
    <w:rsid w:val="00335D7F"/>
    <w:rsid w:val="00335E41"/>
    <w:rsid w:val="00335F31"/>
    <w:rsid w:val="00335FEA"/>
    <w:rsid w:val="00336009"/>
    <w:rsid w:val="0033603D"/>
    <w:rsid w:val="0033610B"/>
    <w:rsid w:val="00336312"/>
    <w:rsid w:val="00336370"/>
    <w:rsid w:val="003364C1"/>
    <w:rsid w:val="00336604"/>
    <w:rsid w:val="0033682A"/>
    <w:rsid w:val="0033693B"/>
    <w:rsid w:val="00336C43"/>
    <w:rsid w:val="00336F09"/>
    <w:rsid w:val="00336FD2"/>
    <w:rsid w:val="0033703B"/>
    <w:rsid w:val="00337080"/>
    <w:rsid w:val="003370F5"/>
    <w:rsid w:val="00337110"/>
    <w:rsid w:val="00337349"/>
    <w:rsid w:val="003373A2"/>
    <w:rsid w:val="003374FD"/>
    <w:rsid w:val="00337718"/>
    <w:rsid w:val="00337790"/>
    <w:rsid w:val="003377C2"/>
    <w:rsid w:val="003378EC"/>
    <w:rsid w:val="003379FE"/>
    <w:rsid w:val="00337B3F"/>
    <w:rsid w:val="00337BD0"/>
    <w:rsid w:val="00337E58"/>
    <w:rsid w:val="0034006E"/>
    <w:rsid w:val="0034018F"/>
    <w:rsid w:val="00340270"/>
    <w:rsid w:val="003404E6"/>
    <w:rsid w:val="00340584"/>
    <w:rsid w:val="00340676"/>
    <w:rsid w:val="00340934"/>
    <w:rsid w:val="00340A6F"/>
    <w:rsid w:val="00340EA4"/>
    <w:rsid w:val="00340FF1"/>
    <w:rsid w:val="003412E7"/>
    <w:rsid w:val="0034141F"/>
    <w:rsid w:val="003416C4"/>
    <w:rsid w:val="00341723"/>
    <w:rsid w:val="00341AEE"/>
    <w:rsid w:val="00341B48"/>
    <w:rsid w:val="00341B65"/>
    <w:rsid w:val="00341D6B"/>
    <w:rsid w:val="00341DE4"/>
    <w:rsid w:val="00341E35"/>
    <w:rsid w:val="0034200E"/>
    <w:rsid w:val="00342108"/>
    <w:rsid w:val="003425EB"/>
    <w:rsid w:val="00342655"/>
    <w:rsid w:val="0034282D"/>
    <w:rsid w:val="003429EF"/>
    <w:rsid w:val="00342C33"/>
    <w:rsid w:val="00342C5A"/>
    <w:rsid w:val="00342C75"/>
    <w:rsid w:val="00342DB5"/>
    <w:rsid w:val="00343337"/>
    <w:rsid w:val="00343349"/>
    <w:rsid w:val="00343429"/>
    <w:rsid w:val="0034353C"/>
    <w:rsid w:val="003435EE"/>
    <w:rsid w:val="003437C3"/>
    <w:rsid w:val="003439C6"/>
    <w:rsid w:val="00343BE1"/>
    <w:rsid w:val="00343C7D"/>
    <w:rsid w:val="00343E94"/>
    <w:rsid w:val="00343ED1"/>
    <w:rsid w:val="003440AE"/>
    <w:rsid w:val="003442ED"/>
    <w:rsid w:val="0034455A"/>
    <w:rsid w:val="00344564"/>
    <w:rsid w:val="003445B5"/>
    <w:rsid w:val="00344613"/>
    <w:rsid w:val="00344765"/>
    <w:rsid w:val="003447E7"/>
    <w:rsid w:val="003449EA"/>
    <w:rsid w:val="00344A00"/>
    <w:rsid w:val="00344FFA"/>
    <w:rsid w:val="003452CD"/>
    <w:rsid w:val="003455E8"/>
    <w:rsid w:val="00345892"/>
    <w:rsid w:val="00345A29"/>
    <w:rsid w:val="00345A4F"/>
    <w:rsid w:val="00345B0B"/>
    <w:rsid w:val="00345C34"/>
    <w:rsid w:val="00345C71"/>
    <w:rsid w:val="00345C78"/>
    <w:rsid w:val="00345DF8"/>
    <w:rsid w:val="00345F65"/>
    <w:rsid w:val="00345FDB"/>
    <w:rsid w:val="00345FF2"/>
    <w:rsid w:val="0034606D"/>
    <w:rsid w:val="0034618A"/>
    <w:rsid w:val="003461DE"/>
    <w:rsid w:val="0034627D"/>
    <w:rsid w:val="00346AA1"/>
    <w:rsid w:val="00346B0B"/>
    <w:rsid w:val="00346D13"/>
    <w:rsid w:val="00346EEF"/>
    <w:rsid w:val="003470D4"/>
    <w:rsid w:val="003470DC"/>
    <w:rsid w:val="00347188"/>
    <w:rsid w:val="003473C7"/>
    <w:rsid w:val="003474CC"/>
    <w:rsid w:val="0034759D"/>
    <w:rsid w:val="003475A3"/>
    <w:rsid w:val="003475D3"/>
    <w:rsid w:val="0034761F"/>
    <w:rsid w:val="003476DC"/>
    <w:rsid w:val="003478F5"/>
    <w:rsid w:val="00347BB1"/>
    <w:rsid w:val="00347CB0"/>
    <w:rsid w:val="00347DA6"/>
    <w:rsid w:val="00347E66"/>
    <w:rsid w:val="00347F86"/>
    <w:rsid w:val="00350002"/>
    <w:rsid w:val="003501A9"/>
    <w:rsid w:val="003505DE"/>
    <w:rsid w:val="0035075A"/>
    <w:rsid w:val="00350767"/>
    <w:rsid w:val="0035088C"/>
    <w:rsid w:val="00350A89"/>
    <w:rsid w:val="00350B21"/>
    <w:rsid w:val="00350B4C"/>
    <w:rsid w:val="00350BCF"/>
    <w:rsid w:val="00350C8C"/>
    <w:rsid w:val="00350CCD"/>
    <w:rsid w:val="0035101D"/>
    <w:rsid w:val="0035109C"/>
    <w:rsid w:val="00351147"/>
    <w:rsid w:val="003512E9"/>
    <w:rsid w:val="0035172C"/>
    <w:rsid w:val="0035192D"/>
    <w:rsid w:val="00351AF2"/>
    <w:rsid w:val="00351BAF"/>
    <w:rsid w:val="00351C5E"/>
    <w:rsid w:val="00351E0C"/>
    <w:rsid w:val="00351EA4"/>
    <w:rsid w:val="00351FF2"/>
    <w:rsid w:val="0035263F"/>
    <w:rsid w:val="003527DF"/>
    <w:rsid w:val="00352835"/>
    <w:rsid w:val="00352922"/>
    <w:rsid w:val="00352A99"/>
    <w:rsid w:val="003534B1"/>
    <w:rsid w:val="003535F6"/>
    <w:rsid w:val="00353AF1"/>
    <w:rsid w:val="00353B5A"/>
    <w:rsid w:val="00353B84"/>
    <w:rsid w:val="00353E12"/>
    <w:rsid w:val="00353F4B"/>
    <w:rsid w:val="00353F86"/>
    <w:rsid w:val="00353F91"/>
    <w:rsid w:val="0035424A"/>
    <w:rsid w:val="00354294"/>
    <w:rsid w:val="003547D6"/>
    <w:rsid w:val="003548CC"/>
    <w:rsid w:val="003549BC"/>
    <w:rsid w:val="00354A5F"/>
    <w:rsid w:val="00354AE3"/>
    <w:rsid w:val="00355185"/>
    <w:rsid w:val="003551B3"/>
    <w:rsid w:val="00355371"/>
    <w:rsid w:val="0035538C"/>
    <w:rsid w:val="00355404"/>
    <w:rsid w:val="0035540A"/>
    <w:rsid w:val="0035562E"/>
    <w:rsid w:val="00355720"/>
    <w:rsid w:val="0035579C"/>
    <w:rsid w:val="003557ED"/>
    <w:rsid w:val="003557FF"/>
    <w:rsid w:val="00355999"/>
    <w:rsid w:val="00355A3F"/>
    <w:rsid w:val="00355BE2"/>
    <w:rsid w:val="00355BE8"/>
    <w:rsid w:val="00355C89"/>
    <w:rsid w:val="00355E38"/>
    <w:rsid w:val="00355EC2"/>
    <w:rsid w:val="003561A9"/>
    <w:rsid w:val="003563A7"/>
    <w:rsid w:val="003563FA"/>
    <w:rsid w:val="00356462"/>
    <w:rsid w:val="00356494"/>
    <w:rsid w:val="0035662C"/>
    <w:rsid w:val="00356636"/>
    <w:rsid w:val="0035668A"/>
    <w:rsid w:val="00356833"/>
    <w:rsid w:val="003568CA"/>
    <w:rsid w:val="00356A48"/>
    <w:rsid w:val="00356C03"/>
    <w:rsid w:val="00356C34"/>
    <w:rsid w:val="003571DD"/>
    <w:rsid w:val="00357203"/>
    <w:rsid w:val="003572ED"/>
    <w:rsid w:val="0035731D"/>
    <w:rsid w:val="00357359"/>
    <w:rsid w:val="003576DC"/>
    <w:rsid w:val="003578FF"/>
    <w:rsid w:val="00357989"/>
    <w:rsid w:val="00357A2A"/>
    <w:rsid w:val="00357C61"/>
    <w:rsid w:val="00357CC8"/>
    <w:rsid w:val="00360138"/>
    <w:rsid w:val="00360181"/>
    <w:rsid w:val="003605E9"/>
    <w:rsid w:val="0036064B"/>
    <w:rsid w:val="0036078C"/>
    <w:rsid w:val="003607AE"/>
    <w:rsid w:val="00360876"/>
    <w:rsid w:val="00360A5F"/>
    <w:rsid w:val="00360C50"/>
    <w:rsid w:val="00360CA8"/>
    <w:rsid w:val="00360EA0"/>
    <w:rsid w:val="00361141"/>
    <w:rsid w:val="00361327"/>
    <w:rsid w:val="003613C5"/>
    <w:rsid w:val="003614EB"/>
    <w:rsid w:val="00361698"/>
    <w:rsid w:val="0036175D"/>
    <w:rsid w:val="00361B25"/>
    <w:rsid w:val="00361FEA"/>
    <w:rsid w:val="003622FF"/>
    <w:rsid w:val="0036234A"/>
    <w:rsid w:val="00362602"/>
    <w:rsid w:val="0036272A"/>
    <w:rsid w:val="00362830"/>
    <w:rsid w:val="00362C3D"/>
    <w:rsid w:val="00362CA5"/>
    <w:rsid w:val="00362DDE"/>
    <w:rsid w:val="00362EB9"/>
    <w:rsid w:val="00363186"/>
    <w:rsid w:val="003631FA"/>
    <w:rsid w:val="0036344A"/>
    <w:rsid w:val="003637F1"/>
    <w:rsid w:val="0036382D"/>
    <w:rsid w:val="0036389B"/>
    <w:rsid w:val="00363938"/>
    <w:rsid w:val="00363A34"/>
    <w:rsid w:val="00363B54"/>
    <w:rsid w:val="00363D85"/>
    <w:rsid w:val="00363DC2"/>
    <w:rsid w:val="00363E67"/>
    <w:rsid w:val="00364130"/>
    <w:rsid w:val="0036419B"/>
    <w:rsid w:val="0036457C"/>
    <w:rsid w:val="0036486F"/>
    <w:rsid w:val="00364880"/>
    <w:rsid w:val="00364B9A"/>
    <w:rsid w:val="00364C69"/>
    <w:rsid w:val="00364CEF"/>
    <w:rsid w:val="00364EF0"/>
    <w:rsid w:val="00364F2F"/>
    <w:rsid w:val="003650C4"/>
    <w:rsid w:val="00365194"/>
    <w:rsid w:val="00365557"/>
    <w:rsid w:val="0036555E"/>
    <w:rsid w:val="003659EF"/>
    <w:rsid w:val="00365A59"/>
    <w:rsid w:val="00365D33"/>
    <w:rsid w:val="00366110"/>
    <w:rsid w:val="0036613A"/>
    <w:rsid w:val="003661E3"/>
    <w:rsid w:val="003665DB"/>
    <w:rsid w:val="003665E2"/>
    <w:rsid w:val="0036670C"/>
    <w:rsid w:val="003667E0"/>
    <w:rsid w:val="00366875"/>
    <w:rsid w:val="00366933"/>
    <w:rsid w:val="00366B09"/>
    <w:rsid w:val="00366BF8"/>
    <w:rsid w:val="00366D74"/>
    <w:rsid w:val="00366E4E"/>
    <w:rsid w:val="00366EAC"/>
    <w:rsid w:val="0036715E"/>
    <w:rsid w:val="003671AA"/>
    <w:rsid w:val="003671F4"/>
    <w:rsid w:val="00367254"/>
    <w:rsid w:val="00367336"/>
    <w:rsid w:val="003673EA"/>
    <w:rsid w:val="0036750E"/>
    <w:rsid w:val="0036754B"/>
    <w:rsid w:val="0036765E"/>
    <w:rsid w:val="00367B5F"/>
    <w:rsid w:val="00367D2B"/>
    <w:rsid w:val="00367DCE"/>
    <w:rsid w:val="00367DF8"/>
    <w:rsid w:val="00367E39"/>
    <w:rsid w:val="00367FBC"/>
    <w:rsid w:val="00370001"/>
    <w:rsid w:val="003701D4"/>
    <w:rsid w:val="003706BC"/>
    <w:rsid w:val="00370928"/>
    <w:rsid w:val="00370B64"/>
    <w:rsid w:val="00370D5A"/>
    <w:rsid w:val="00370D8D"/>
    <w:rsid w:val="00370FD4"/>
    <w:rsid w:val="003713B2"/>
    <w:rsid w:val="0037141C"/>
    <w:rsid w:val="0037167F"/>
    <w:rsid w:val="003716F8"/>
    <w:rsid w:val="003717A0"/>
    <w:rsid w:val="003717B4"/>
    <w:rsid w:val="003717FD"/>
    <w:rsid w:val="003719F8"/>
    <w:rsid w:val="00371A70"/>
    <w:rsid w:val="00371B63"/>
    <w:rsid w:val="00371C60"/>
    <w:rsid w:val="00371C7E"/>
    <w:rsid w:val="00371D8B"/>
    <w:rsid w:val="00371F6B"/>
    <w:rsid w:val="00371F71"/>
    <w:rsid w:val="0037235A"/>
    <w:rsid w:val="00372523"/>
    <w:rsid w:val="003726B0"/>
    <w:rsid w:val="0037289E"/>
    <w:rsid w:val="00372908"/>
    <w:rsid w:val="00372AA1"/>
    <w:rsid w:val="00372B72"/>
    <w:rsid w:val="00372C42"/>
    <w:rsid w:val="00372DDC"/>
    <w:rsid w:val="00372E0A"/>
    <w:rsid w:val="0037316B"/>
    <w:rsid w:val="00373383"/>
    <w:rsid w:val="00373B5A"/>
    <w:rsid w:val="00373C6D"/>
    <w:rsid w:val="00373D28"/>
    <w:rsid w:val="00373D70"/>
    <w:rsid w:val="00374075"/>
    <w:rsid w:val="0037416F"/>
    <w:rsid w:val="0037426C"/>
    <w:rsid w:val="003742B6"/>
    <w:rsid w:val="00374350"/>
    <w:rsid w:val="003743EF"/>
    <w:rsid w:val="003744D9"/>
    <w:rsid w:val="003744EE"/>
    <w:rsid w:val="0037495E"/>
    <w:rsid w:val="00374C55"/>
    <w:rsid w:val="00374D9D"/>
    <w:rsid w:val="00374F99"/>
    <w:rsid w:val="00375026"/>
    <w:rsid w:val="003751A0"/>
    <w:rsid w:val="00375279"/>
    <w:rsid w:val="00375772"/>
    <w:rsid w:val="003757F8"/>
    <w:rsid w:val="00375990"/>
    <w:rsid w:val="00375D1B"/>
    <w:rsid w:val="00375E48"/>
    <w:rsid w:val="00375E7B"/>
    <w:rsid w:val="00375E7D"/>
    <w:rsid w:val="00375EB5"/>
    <w:rsid w:val="003761A3"/>
    <w:rsid w:val="00376414"/>
    <w:rsid w:val="0037662B"/>
    <w:rsid w:val="003766F9"/>
    <w:rsid w:val="003767FB"/>
    <w:rsid w:val="003769C7"/>
    <w:rsid w:val="00376B74"/>
    <w:rsid w:val="00376BF2"/>
    <w:rsid w:val="00376DDA"/>
    <w:rsid w:val="00376EEB"/>
    <w:rsid w:val="00377090"/>
    <w:rsid w:val="003770C1"/>
    <w:rsid w:val="00377235"/>
    <w:rsid w:val="003773CA"/>
    <w:rsid w:val="00377487"/>
    <w:rsid w:val="0037754C"/>
    <w:rsid w:val="00377679"/>
    <w:rsid w:val="00377682"/>
    <w:rsid w:val="00377696"/>
    <w:rsid w:val="003779FE"/>
    <w:rsid w:val="00377AE9"/>
    <w:rsid w:val="00377B84"/>
    <w:rsid w:val="00377F90"/>
    <w:rsid w:val="003801E1"/>
    <w:rsid w:val="00380751"/>
    <w:rsid w:val="00380ADE"/>
    <w:rsid w:val="00380B73"/>
    <w:rsid w:val="00380C48"/>
    <w:rsid w:val="00380F96"/>
    <w:rsid w:val="00380F97"/>
    <w:rsid w:val="0038130E"/>
    <w:rsid w:val="0038136B"/>
    <w:rsid w:val="003813A0"/>
    <w:rsid w:val="003813F0"/>
    <w:rsid w:val="00381482"/>
    <w:rsid w:val="003814AD"/>
    <w:rsid w:val="003815E8"/>
    <w:rsid w:val="00381613"/>
    <w:rsid w:val="00381DBA"/>
    <w:rsid w:val="00381E2F"/>
    <w:rsid w:val="00381FF5"/>
    <w:rsid w:val="00381FFD"/>
    <w:rsid w:val="003821A2"/>
    <w:rsid w:val="00382673"/>
    <w:rsid w:val="0038277A"/>
    <w:rsid w:val="00382BD5"/>
    <w:rsid w:val="00382C9A"/>
    <w:rsid w:val="00382DC7"/>
    <w:rsid w:val="00382EAA"/>
    <w:rsid w:val="00382EAE"/>
    <w:rsid w:val="00382FBA"/>
    <w:rsid w:val="00382FF4"/>
    <w:rsid w:val="003833D6"/>
    <w:rsid w:val="00383937"/>
    <w:rsid w:val="00383A8D"/>
    <w:rsid w:val="00383E64"/>
    <w:rsid w:val="00383EE2"/>
    <w:rsid w:val="00384160"/>
    <w:rsid w:val="00384246"/>
    <w:rsid w:val="0038441B"/>
    <w:rsid w:val="00384496"/>
    <w:rsid w:val="00384601"/>
    <w:rsid w:val="003846E3"/>
    <w:rsid w:val="0038475C"/>
    <w:rsid w:val="003847B8"/>
    <w:rsid w:val="00384922"/>
    <w:rsid w:val="00384B47"/>
    <w:rsid w:val="00384BC5"/>
    <w:rsid w:val="00384CEB"/>
    <w:rsid w:val="00384EC9"/>
    <w:rsid w:val="00384F3F"/>
    <w:rsid w:val="00385069"/>
    <w:rsid w:val="0038506F"/>
    <w:rsid w:val="003854B2"/>
    <w:rsid w:val="003858DD"/>
    <w:rsid w:val="003859B4"/>
    <w:rsid w:val="00385E4C"/>
    <w:rsid w:val="00386119"/>
    <w:rsid w:val="00386568"/>
    <w:rsid w:val="003865EC"/>
    <w:rsid w:val="003866D2"/>
    <w:rsid w:val="0038688B"/>
    <w:rsid w:val="0038692D"/>
    <w:rsid w:val="00386DBE"/>
    <w:rsid w:val="00386E0E"/>
    <w:rsid w:val="00386E2D"/>
    <w:rsid w:val="00386EC9"/>
    <w:rsid w:val="0038717E"/>
    <w:rsid w:val="0038731E"/>
    <w:rsid w:val="003873E7"/>
    <w:rsid w:val="00387433"/>
    <w:rsid w:val="0038748C"/>
    <w:rsid w:val="0038756C"/>
    <w:rsid w:val="003879C2"/>
    <w:rsid w:val="00387AAF"/>
    <w:rsid w:val="00387C0B"/>
    <w:rsid w:val="00387CF8"/>
    <w:rsid w:val="00387DFC"/>
    <w:rsid w:val="00387E05"/>
    <w:rsid w:val="00387E3A"/>
    <w:rsid w:val="00387E52"/>
    <w:rsid w:val="00387EEA"/>
    <w:rsid w:val="00387FF4"/>
    <w:rsid w:val="0039011D"/>
    <w:rsid w:val="003908E2"/>
    <w:rsid w:val="00390A08"/>
    <w:rsid w:val="00390B5D"/>
    <w:rsid w:val="00390E0C"/>
    <w:rsid w:val="00390E8B"/>
    <w:rsid w:val="00390EF3"/>
    <w:rsid w:val="00391127"/>
    <w:rsid w:val="0039118D"/>
    <w:rsid w:val="00391272"/>
    <w:rsid w:val="00391340"/>
    <w:rsid w:val="00391354"/>
    <w:rsid w:val="003915FB"/>
    <w:rsid w:val="00391880"/>
    <w:rsid w:val="003918A9"/>
    <w:rsid w:val="00391B49"/>
    <w:rsid w:val="00391B4F"/>
    <w:rsid w:val="00391B55"/>
    <w:rsid w:val="003920DA"/>
    <w:rsid w:val="0039219C"/>
    <w:rsid w:val="00392218"/>
    <w:rsid w:val="0039224B"/>
    <w:rsid w:val="003922A2"/>
    <w:rsid w:val="00392303"/>
    <w:rsid w:val="003923DB"/>
    <w:rsid w:val="00392481"/>
    <w:rsid w:val="0039252D"/>
    <w:rsid w:val="003925A1"/>
    <w:rsid w:val="00392638"/>
    <w:rsid w:val="00392809"/>
    <w:rsid w:val="0039286B"/>
    <w:rsid w:val="0039294D"/>
    <w:rsid w:val="003929DE"/>
    <w:rsid w:val="00392B7C"/>
    <w:rsid w:val="0039316F"/>
    <w:rsid w:val="00393269"/>
    <w:rsid w:val="003932C4"/>
    <w:rsid w:val="00393369"/>
    <w:rsid w:val="0039346A"/>
    <w:rsid w:val="00393852"/>
    <w:rsid w:val="00393B47"/>
    <w:rsid w:val="00393BB7"/>
    <w:rsid w:val="00393DCF"/>
    <w:rsid w:val="00393DD8"/>
    <w:rsid w:val="00393E83"/>
    <w:rsid w:val="00393EFC"/>
    <w:rsid w:val="00393F2A"/>
    <w:rsid w:val="00393FE3"/>
    <w:rsid w:val="00394243"/>
    <w:rsid w:val="003942A2"/>
    <w:rsid w:val="003942A4"/>
    <w:rsid w:val="00394524"/>
    <w:rsid w:val="00394638"/>
    <w:rsid w:val="00394780"/>
    <w:rsid w:val="003947C4"/>
    <w:rsid w:val="00395104"/>
    <w:rsid w:val="0039519E"/>
    <w:rsid w:val="003953B6"/>
    <w:rsid w:val="00395452"/>
    <w:rsid w:val="0039560C"/>
    <w:rsid w:val="003956C4"/>
    <w:rsid w:val="003958D5"/>
    <w:rsid w:val="00395A2A"/>
    <w:rsid w:val="00395AFD"/>
    <w:rsid w:val="00395C25"/>
    <w:rsid w:val="00395C79"/>
    <w:rsid w:val="00395D83"/>
    <w:rsid w:val="00395DAC"/>
    <w:rsid w:val="00395FE1"/>
    <w:rsid w:val="00395FEF"/>
    <w:rsid w:val="003962C7"/>
    <w:rsid w:val="003962E1"/>
    <w:rsid w:val="003965EA"/>
    <w:rsid w:val="003965F0"/>
    <w:rsid w:val="0039682A"/>
    <w:rsid w:val="00396878"/>
    <w:rsid w:val="00396BD2"/>
    <w:rsid w:val="00396C0E"/>
    <w:rsid w:val="00396C6E"/>
    <w:rsid w:val="00396E37"/>
    <w:rsid w:val="00397020"/>
    <w:rsid w:val="003971A0"/>
    <w:rsid w:val="003971BB"/>
    <w:rsid w:val="003972B4"/>
    <w:rsid w:val="00397368"/>
    <w:rsid w:val="003973C1"/>
    <w:rsid w:val="003974A2"/>
    <w:rsid w:val="00397C97"/>
    <w:rsid w:val="00397CD5"/>
    <w:rsid w:val="00397D29"/>
    <w:rsid w:val="003A04D0"/>
    <w:rsid w:val="003A0543"/>
    <w:rsid w:val="003A062F"/>
    <w:rsid w:val="003A08A7"/>
    <w:rsid w:val="003A0913"/>
    <w:rsid w:val="003A0B95"/>
    <w:rsid w:val="003A1363"/>
    <w:rsid w:val="003A13F9"/>
    <w:rsid w:val="003A145D"/>
    <w:rsid w:val="003A15C4"/>
    <w:rsid w:val="003A165A"/>
    <w:rsid w:val="003A1774"/>
    <w:rsid w:val="003A1C19"/>
    <w:rsid w:val="003A1F2E"/>
    <w:rsid w:val="003A2503"/>
    <w:rsid w:val="003A26F5"/>
    <w:rsid w:val="003A2836"/>
    <w:rsid w:val="003A2D8C"/>
    <w:rsid w:val="003A2F82"/>
    <w:rsid w:val="003A303C"/>
    <w:rsid w:val="003A311D"/>
    <w:rsid w:val="003A31C4"/>
    <w:rsid w:val="003A326A"/>
    <w:rsid w:val="003A3357"/>
    <w:rsid w:val="003A3ACB"/>
    <w:rsid w:val="003A3C24"/>
    <w:rsid w:val="003A3C80"/>
    <w:rsid w:val="003A3D40"/>
    <w:rsid w:val="003A3D64"/>
    <w:rsid w:val="003A3DC1"/>
    <w:rsid w:val="003A3E44"/>
    <w:rsid w:val="003A41B9"/>
    <w:rsid w:val="003A4313"/>
    <w:rsid w:val="003A433B"/>
    <w:rsid w:val="003A43B8"/>
    <w:rsid w:val="003A471C"/>
    <w:rsid w:val="003A47F7"/>
    <w:rsid w:val="003A48A6"/>
    <w:rsid w:val="003A495A"/>
    <w:rsid w:val="003A4971"/>
    <w:rsid w:val="003A4A26"/>
    <w:rsid w:val="003A4BA8"/>
    <w:rsid w:val="003A4C95"/>
    <w:rsid w:val="003A4CF5"/>
    <w:rsid w:val="003A4D97"/>
    <w:rsid w:val="003A4DEA"/>
    <w:rsid w:val="003A4E33"/>
    <w:rsid w:val="003A5407"/>
    <w:rsid w:val="003A553F"/>
    <w:rsid w:val="003A5664"/>
    <w:rsid w:val="003A587C"/>
    <w:rsid w:val="003A5E5C"/>
    <w:rsid w:val="003A5F7F"/>
    <w:rsid w:val="003A601D"/>
    <w:rsid w:val="003A61A3"/>
    <w:rsid w:val="003A6280"/>
    <w:rsid w:val="003A6599"/>
    <w:rsid w:val="003A65B0"/>
    <w:rsid w:val="003A6648"/>
    <w:rsid w:val="003A66C1"/>
    <w:rsid w:val="003A66E7"/>
    <w:rsid w:val="003A67BB"/>
    <w:rsid w:val="003A6822"/>
    <w:rsid w:val="003A6960"/>
    <w:rsid w:val="003A6C14"/>
    <w:rsid w:val="003A6D32"/>
    <w:rsid w:val="003A6E89"/>
    <w:rsid w:val="003A7270"/>
    <w:rsid w:val="003A75F0"/>
    <w:rsid w:val="003A7732"/>
    <w:rsid w:val="003A7847"/>
    <w:rsid w:val="003A79D6"/>
    <w:rsid w:val="003A7B4C"/>
    <w:rsid w:val="003A7B6A"/>
    <w:rsid w:val="003A7C13"/>
    <w:rsid w:val="003A7D07"/>
    <w:rsid w:val="003A7E26"/>
    <w:rsid w:val="003A7FC8"/>
    <w:rsid w:val="003A7FD9"/>
    <w:rsid w:val="003B01A9"/>
    <w:rsid w:val="003B046A"/>
    <w:rsid w:val="003B048F"/>
    <w:rsid w:val="003B0CF1"/>
    <w:rsid w:val="003B0ED9"/>
    <w:rsid w:val="003B0F28"/>
    <w:rsid w:val="003B0FC1"/>
    <w:rsid w:val="003B0FD7"/>
    <w:rsid w:val="003B1344"/>
    <w:rsid w:val="003B1670"/>
    <w:rsid w:val="003B1A41"/>
    <w:rsid w:val="003B1BEC"/>
    <w:rsid w:val="003B1CF2"/>
    <w:rsid w:val="003B1D68"/>
    <w:rsid w:val="003B1D8F"/>
    <w:rsid w:val="003B2121"/>
    <w:rsid w:val="003B220E"/>
    <w:rsid w:val="003B25F3"/>
    <w:rsid w:val="003B281D"/>
    <w:rsid w:val="003B2A08"/>
    <w:rsid w:val="003B2A9E"/>
    <w:rsid w:val="003B2B2C"/>
    <w:rsid w:val="003B2FEE"/>
    <w:rsid w:val="003B301F"/>
    <w:rsid w:val="003B316F"/>
    <w:rsid w:val="003B318B"/>
    <w:rsid w:val="003B31A8"/>
    <w:rsid w:val="003B31C1"/>
    <w:rsid w:val="003B356F"/>
    <w:rsid w:val="003B35AA"/>
    <w:rsid w:val="003B36DD"/>
    <w:rsid w:val="003B3973"/>
    <w:rsid w:val="003B3A2A"/>
    <w:rsid w:val="003B3F3D"/>
    <w:rsid w:val="003B3FD7"/>
    <w:rsid w:val="003B42FA"/>
    <w:rsid w:val="003B4450"/>
    <w:rsid w:val="003B467C"/>
    <w:rsid w:val="003B49A1"/>
    <w:rsid w:val="003B49EA"/>
    <w:rsid w:val="003B4A0B"/>
    <w:rsid w:val="003B4A44"/>
    <w:rsid w:val="003B4DA9"/>
    <w:rsid w:val="003B4DC4"/>
    <w:rsid w:val="003B4DDD"/>
    <w:rsid w:val="003B4F44"/>
    <w:rsid w:val="003B4FD2"/>
    <w:rsid w:val="003B5004"/>
    <w:rsid w:val="003B50B8"/>
    <w:rsid w:val="003B50FF"/>
    <w:rsid w:val="003B523A"/>
    <w:rsid w:val="003B55B8"/>
    <w:rsid w:val="003B5692"/>
    <w:rsid w:val="003B5B26"/>
    <w:rsid w:val="003B5D4E"/>
    <w:rsid w:val="003B5DDE"/>
    <w:rsid w:val="003B6205"/>
    <w:rsid w:val="003B6231"/>
    <w:rsid w:val="003B624B"/>
    <w:rsid w:val="003B641F"/>
    <w:rsid w:val="003B6510"/>
    <w:rsid w:val="003B6577"/>
    <w:rsid w:val="003B6620"/>
    <w:rsid w:val="003B6857"/>
    <w:rsid w:val="003B68DB"/>
    <w:rsid w:val="003B68E8"/>
    <w:rsid w:val="003B6B09"/>
    <w:rsid w:val="003B6BB3"/>
    <w:rsid w:val="003B6BBE"/>
    <w:rsid w:val="003B710E"/>
    <w:rsid w:val="003B715E"/>
    <w:rsid w:val="003B7435"/>
    <w:rsid w:val="003B766B"/>
    <w:rsid w:val="003B772E"/>
    <w:rsid w:val="003B78CB"/>
    <w:rsid w:val="003B7959"/>
    <w:rsid w:val="003B7B64"/>
    <w:rsid w:val="003B7C18"/>
    <w:rsid w:val="003B7CD7"/>
    <w:rsid w:val="003B7CE8"/>
    <w:rsid w:val="003B7FB1"/>
    <w:rsid w:val="003C00FF"/>
    <w:rsid w:val="003C01D8"/>
    <w:rsid w:val="003C0378"/>
    <w:rsid w:val="003C038C"/>
    <w:rsid w:val="003C04FA"/>
    <w:rsid w:val="003C0547"/>
    <w:rsid w:val="003C06DE"/>
    <w:rsid w:val="003C0A90"/>
    <w:rsid w:val="003C0B3A"/>
    <w:rsid w:val="003C0F5E"/>
    <w:rsid w:val="003C0F8C"/>
    <w:rsid w:val="003C1245"/>
    <w:rsid w:val="003C1382"/>
    <w:rsid w:val="003C15EA"/>
    <w:rsid w:val="003C1640"/>
    <w:rsid w:val="003C1726"/>
    <w:rsid w:val="003C18E3"/>
    <w:rsid w:val="003C19E6"/>
    <w:rsid w:val="003C1AC6"/>
    <w:rsid w:val="003C1C2C"/>
    <w:rsid w:val="003C1F89"/>
    <w:rsid w:val="003C1FAF"/>
    <w:rsid w:val="003C207A"/>
    <w:rsid w:val="003C2154"/>
    <w:rsid w:val="003C24D4"/>
    <w:rsid w:val="003C2505"/>
    <w:rsid w:val="003C27B6"/>
    <w:rsid w:val="003C2A1E"/>
    <w:rsid w:val="003C30AF"/>
    <w:rsid w:val="003C30EC"/>
    <w:rsid w:val="003C315A"/>
    <w:rsid w:val="003C315C"/>
    <w:rsid w:val="003C3432"/>
    <w:rsid w:val="003C3626"/>
    <w:rsid w:val="003C3699"/>
    <w:rsid w:val="003C36FD"/>
    <w:rsid w:val="003C370D"/>
    <w:rsid w:val="003C37F1"/>
    <w:rsid w:val="003C39E4"/>
    <w:rsid w:val="003C40F4"/>
    <w:rsid w:val="003C42F2"/>
    <w:rsid w:val="003C449E"/>
    <w:rsid w:val="003C44B9"/>
    <w:rsid w:val="003C4A1F"/>
    <w:rsid w:val="003C5059"/>
    <w:rsid w:val="003C5194"/>
    <w:rsid w:val="003C5203"/>
    <w:rsid w:val="003C5631"/>
    <w:rsid w:val="003C5774"/>
    <w:rsid w:val="003C586E"/>
    <w:rsid w:val="003C58B1"/>
    <w:rsid w:val="003C5E4F"/>
    <w:rsid w:val="003C5FAB"/>
    <w:rsid w:val="003C606F"/>
    <w:rsid w:val="003C6690"/>
    <w:rsid w:val="003C66F3"/>
    <w:rsid w:val="003C69BD"/>
    <w:rsid w:val="003C6B0A"/>
    <w:rsid w:val="003C6D3C"/>
    <w:rsid w:val="003C6EA1"/>
    <w:rsid w:val="003C6EDB"/>
    <w:rsid w:val="003C70FC"/>
    <w:rsid w:val="003C7195"/>
    <w:rsid w:val="003C722F"/>
    <w:rsid w:val="003C7276"/>
    <w:rsid w:val="003C752E"/>
    <w:rsid w:val="003C755B"/>
    <w:rsid w:val="003C7619"/>
    <w:rsid w:val="003C7693"/>
    <w:rsid w:val="003C777B"/>
    <w:rsid w:val="003C77E3"/>
    <w:rsid w:val="003C7BF9"/>
    <w:rsid w:val="003D0093"/>
    <w:rsid w:val="003D01B8"/>
    <w:rsid w:val="003D02B8"/>
    <w:rsid w:val="003D0622"/>
    <w:rsid w:val="003D0645"/>
    <w:rsid w:val="003D06F1"/>
    <w:rsid w:val="003D082C"/>
    <w:rsid w:val="003D0A33"/>
    <w:rsid w:val="003D0C72"/>
    <w:rsid w:val="003D0D80"/>
    <w:rsid w:val="003D0DFE"/>
    <w:rsid w:val="003D1091"/>
    <w:rsid w:val="003D15C8"/>
    <w:rsid w:val="003D16C5"/>
    <w:rsid w:val="003D1748"/>
    <w:rsid w:val="003D1786"/>
    <w:rsid w:val="003D17B2"/>
    <w:rsid w:val="003D1868"/>
    <w:rsid w:val="003D190C"/>
    <w:rsid w:val="003D1A3C"/>
    <w:rsid w:val="003D1E34"/>
    <w:rsid w:val="003D2054"/>
    <w:rsid w:val="003D226A"/>
    <w:rsid w:val="003D2541"/>
    <w:rsid w:val="003D25A9"/>
    <w:rsid w:val="003D26FF"/>
    <w:rsid w:val="003D2777"/>
    <w:rsid w:val="003D28B9"/>
    <w:rsid w:val="003D2999"/>
    <w:rsid w:val="003D29A6"/>
    <w:rsid w:val="003D2B69"/>
    <w:rsid w:val="003D2BA0"/>
    <w:rsid w:val="003D2E03"/>
    <w:rsid w:val="003D2E5D"/>
    <w:rsid w:val="003D2ECF"/>
    <w:rsid w:val="003D3062"/>
    <w:rsid w:val="003D31C0"/>
    <w:rsid w:val="003D320B"/>
    <w:rsid w:val="003D3281"/>
    <w:rsid w:val="003D33D3"/>
    <w:rsid w:val="003D35C4"/>
    <w:rsid w:val="003D370C"/>
    <w:rsid w:val="003D3775"/>
    <w:rsid w:val="003D37D9"/>
    <w:rsid w:val="003D3A27"/>
    <w:rsid w:val="003D3A3B"/>
    <w:rsid w:val="003D3B61"/>
    <w:rsid w:val="003D3D39"/>
    <w:rsid w:val="003D3E83"/>
    <w:rsid w:val="003D3F50"/>
    <w:rsid w:val="003D407E"/>
    <w:rsid w:val="003D419B"/>
    <w:rsid w:val="003D4459"/>
    <w:rsid w:val="003D4474"/>
    <w:rsid w:val="003D499E"/>
    <w:rsid w:val="003D49DB"/>
    <w:rsid w:val="003D4C5F"/>
    <w:rsid w:val="003D50E8"/>
    <w:rsid w:val="003D51BF"/>
    <w:rsid w:val="003D526A"/>
    <w:rsid w:val="003D5342"/>
    <w:rsid w:val="003D5370"/>
    <w:rsid w:val="003D54C0"/>
    <w:rsid w:val="003D5507"/>
    <w:rsid w:val="003D55F3"/>
    <w:rsid w:val="003D57D2"/>
    <w:rsid w:val="003D5801"/>
    <w:rsid w:val="003D5929"/>
    <w:rsid w:val="003D5988"/>
    <w:rsid w:val="003D5A93"/>
    <w:rsid w:val="003D5AFC"/>
    <w:rsid w:val="003D5C68"/>
    <w:rsid w:val="003D5D9F"/>
    <w:rsid w:val="003D60D1"/>
    <w:rsid w:val="003D610A"/>
    <w:rsid w:val="003D661F"/>
    <w:rsid w:val="003D665B"/>
    <w:rsid w:val="003D6700"/>
    <w:rsid w:val="003D681C"/>
    <w:rsid w:val="003D6827"/>
    <w:rsid w:val="003D68BF"/>
    <w:rsid w:val="003D69FF"/>
    <w:rsid w:val="003D6A59"/>
    <w:rsid w:val="003D6C57"/>
    <w:rsid w:val="003D6EFE"/>
    <w:rsid w:val="003D7166"/>
    <w:rsid w:val="003D7176"/>
    <w:rsid w:val="003D7351"/>
    <w:rsid w:val="003D74C0"/>
    <w:rsid w:val="003D75AF"/>
    <w:rsid w:val="003D7862"/>
    <w:rsid w:val="003D796B"/>
    <w:rsid w:val="003D7CD4"/>
    <w:rsid w:val="003D7F9C"/>
    <w:rsid w:val="003D7F9F"/>
    <w:rsid w:val="003D7FED"/>
    <w:rsid w:val="003D7FF1"/>
    <w:rsid w:val="003E0180"/>
    <w:rsid w:val="003E01DB"/>
    <w:rsid w:val="003E0402"/>
    <w:rsid w:val="003E0403"/>
    <w:rsid w:val="003E04E4"/>
    <w:rsid w:val="003E07D8"/>
    <w:rsid w:val="003E089F"/>
    <w:rsid w:val="003E0991"/>
    <w:rsid w:val="003E0B6C"/>
    <w:rsid w:val="003E0CCC"/>
    <w:rsid w:val="003E0D62"/>
    <w:rsid w:val="003E1045"/>
    <w:rsid w:val="003E11B8"/>
    <w:rsid w:val="003E143D"/>
    <w:rsid w:val="003E14DE"/>
    <w:rsid w:val="003E18F6"/>
    <w:rsid w:val="003E1A30"/>
    <w:rsid w:val="003E1BED"/>
    <w:rsid w:val="003E1CB5"/>
    <w:rsid w:val="003E206E"/>
    <w:rsid w:val="003E2119"/>
    <w:rsid w:val="003E2130"/>
    <w:rsid w:val="003E2157"/>
    <w:rsid w:val="003E21AE"/>
    <w:rsid w:val="003E2279"/>
    <w:rsid w:val="003E26BA"/>
    <w:rsid w:val="003E29B6"/>
    <w:rsid w:val="003E2A4F"/>
    <w:rsid w:val="003E2B26"/>
    <w:rsid w:val="003E2B6D"/>
    <w:rsid w:val="003E2CD5"/>
    <w:rsid w:val="003E2CDF"/>
    <w:rsid w:val="003E2DB7"/>
    <w:rsid w:val="003E3527"/>
    <w:rsid w:val="003E366E"/>
    <w:rsid w:val="003E38B9"/>
    <w:rsid w:val="003E3A5F"/>
    <w:rsid w:val="003E3AA5"/>
    <w:rsid w:val="003E4045"/>
    <w:rsid w:val="003E4051"/>
    <w:rsid w:val="003E42BE"/>
    <w:rsid w:val="003E4305"/>
    <w:rsid w:val="003E4464"/>
    <w:rsid w:val="003E4A56"/>
    <w:rsid w:val="003E4F97"/>
    <w:rsid w:val="003E5061"/>
    <w:rsid w:val="003E511B"/>
    <w:rsid w:val="003E532B"/>
    <w:rsid w:val="003E538F"/>
    <w:rsid w:val="003E53B4"/>
    <w:rsid w:val="003E5871"/>
    <w:rsid w:val="003E59CA"/>
    <w:rsid w:val="003E5DA0"/>
    <w:rsid w:val="003E5DE8"/>
    <w:rsid w:val="003E5EF0"/>
    <w:rsid w:val="003E5FF0"/>
    <w:rsid w:val="003E6199"/>
    <w:rsid w:val="003E6A37"/>
    <w:rsid w:val="003E6B03"/>
    <w:rsid w:val="003E6BA3"/>
    <w:rsid w:val="003E72E7"/>
    <w:rsid w:val="003E731C"/>
    <w:rsid w:val="003E747C"/>
    <w:rsid w:val="003E773C"/>
    <w:rsid w:val="003E77A4"/>
    <w:rsid w:val="003E77B7"/>
    <w:rsid w:val="003E7B87"/>
    <w:rsid w:val="003E7C57"/>
    <w:rsid w:val="003E7CCD"/>
    <w:rsid w:val="003E7E3E"/>
    <w:rsid w:val="003E7EAE"/>
    <w:rsid w:val="003E7F46"/>
    <w:rsid w:val="003F0128"/>
    <w:rsid w:val="003F019C"/>
    <w:rsid w:val="003F0225"/>
    <w:rsid w:val="003F03E6"/>
    <w:rsid w:val="003F0489"/>
    <w:rsid w:val="003F0613"/>
    <w:rsid w:val="003F06F2"/>
    <w:rsid w:val="003F0A92"/>
    <w:rsid w:val="003F0D05"/>
    <w:rsid w:val="003F0DE0"/>
    <w:rsid w:val="003F0F4B"/>
    <w:rsid w:val="003F1246"/>
    <w:rsid w:val="003F125E"/>
    <w:rsid w:val="003F1544"/>
    <w:rsid w:val="003F1605"/>
    <w:rsid w:val="003F171A"/>
    <w:rsid w:val="003F182F"/>
    <w:rsid w:val="003F1870"/>
    <w:rsid w:val="003F1876"/>
    <w:rsid w:val="003F1AD0"/>
    <w:rsid w:val="003F1C78"/>
    <w:rsid w:val="003F1EBF"/>
    <w:rsid w:val="003F1F17"/>
    <w:rsid w:val="003F1F33"/>
    <w:rsid w:val="003F2235"/>
    <w:rsid w:val="003F25FD"/>
    <w:rsid w:val="003F27A6"/>
    <w:rsid w:val="003F28A4"/>
    <w:rsid w:val="003F2AE2"/>
    <w:rsid w:val="003F2EE4"/>
    <w:rsid w:val="003F2FF4"/>
    <w:rsid w:val="003F3137"/>
    <w:rsid w:val="003F31FA"/>
    <w:rsid w:val="003F3557"/>
    <w:rsid w:val="003F35CF"/>
    <w:rsid w:val="003F39E2"/>
    <w:rsid w:val="003F39F2"/>
    <w:rsid w:val="003F3AE8"/>
    <w:rsid w:val="003F3B6E"/>
    <w:rsid w:val="003F3B8A"/>
    <w:rsid w:val="003F3D8C"/>
    <w:rsid w:val="003F3E41"/>
    <w:rsid w:val="003F3E58"/>
    <w:rsid w:val="003F3EE4"/>
    <w:rsid w:val="003F40A5"/>
    <w:rsid w:val="003F413E"/>
    <w:rsid w:val="003F44B8"/>
    <w:rsid w:val="003F4517"/>
    <w:rsid w:val="003F47C4"/>
    <w:rsid w:val="003F4876"/>
    <w:rsid w:val="003F4900"/>
    <w:rsid w:val="003F4A39"/>
    <w:rsid w:val="003F4AE7"/>
    <w:rsid w:val="003F4C1E"/>
    <w:rsid w:val="003F4D2D"/>
    <w:rsid w:val="003F4E24"/>
    <w:rsid w:val="003F5168"/>
    <w:rsid w:val="003F5220"/>
    <w:rsid w:val="003F5370"/>
    <w:rsid w:val="003F5376"/>
    <w:rsid w:val="003F53D2"/>
    <w:rsid w:val="003F5406"/>
    <w:rsid w:val="003F5410"/>
    <w:rsid w:val="003F547A"/>
    <w:rsid w:val="003F5493"/>
    <w:rsid w:val="003F5537"/>
    <w:rsid w:val="003F5811"/>
    <w:rsid w:val="003F5A25"/>
    <w:rsid w:val="003F5AAC"/>
    <w:rsid w:val="003F5CA5"/>
    <w:rsid w:val="003F5D9A"/>
    <w:rsid w:val="003F5DB3"/>
    <w:rsid w:val="003F5EB3"/>
    <w:rsid w:val="003F648B"/>
    <w:rsid w:val="003F67F4"/>
    <w:rsid w:val="003F680A"/>
    <w:rsid w:val="003F6874"/>
    <w:rsid w:val="003F6B9A"/>
    <w:rsid w:val="003F6D48"/>
    <w:rsid w:val="003F6F3B"/>
    <w:rsid w:val="003F7011"/>
    <w:rsid w:val="003F793A"/>
    <w:rsid w:val="003F7E1F"/>
    <w:rsid w:val="003FBCFD"/>
    <w:rsid w:val="00400155"/>
    <w:rsid w:val="004003BE"/>
    <w:rsid w:val="004003D6"/>
    <w:rsid w:val="004004A3"/>
    <w:rsid w:val="00400769"/>
    <w:rsid w:val="00400885"/>
    <w:rsid w:val="00400A91"/>
    <w:rsid w:val="00400DA2"/>
    <w:rsid w:val="0040105B"/>
    <w:rsid w:val="004012A1"/>
    <w:rsid w:val="00401394"/>
    <w:rsid w:val="0040154D"/>
    <w:rsid w:val="0040157A"/>
    <w:rsid w:val="004017AD"/>
    <w:rsid w:val="00401AFF"/>
    <w:rsid w:val="00401BEC"/>
    <w:rsid w:val="00401E1D"/>
    <w:rsid w:val="0040200A"/>
    <w:rsid w:val="00402051"/>
    <w:rsid w:val="00402117"/>
    <w:rsid w:val="0040222B"/>
    <w:rsid w:val="00402242"/>
    <w:rsid w:val="004022F9"/>
    <w:rsid w:val="00402380"/>
    <w:rsid w:val="00402392"/>
    <w:rsid w:val="004023AB"/>
    <w:rsid w:val="004024D1"/>
    <w:rsid w:val="00402C25"/>
    <w:rsid w:val="00402C6A"/>
    <w:rsid w:val="00402D2F"/>
    <w:rsid w:val="00402DE8"/>
    <w:rsid w:val="00402DF3"/>
    <w:rsid w:val="0040309E"/>
    <w:rsid w:val="004030B4"/>
    <w:rsid w:val="0040323E"/>
    <w:rsid w:val="0040324C"/>
    <w:rsid w:val="004032B9"/>
    <w:rsid w:val="00403376"/>
    <w:rsid w:val="00403383"/>
    <w:rsid w:val="00403502"/>
    <w:rsid w:val="00403672"/>
    <w:rsid w:val="004037E1"/>
    <w:rsid w:val="00403905"/>
    <w:rsid w:val="00403912"/>
    <w:rsid w:val="00403D1C"/>
    <w:rsid w:val="00403D98"/>
    <w:rsid w:val="00403F21"/>
    <w:rsid w:val="00403F7F"/>
    <w:rsid w:val="00403FE7"/>
    <w:rsid w:val="004040BD"/>
    <w:rsid w:val="00404252"/>
    <w:rsid w:val="004045B9"/>
    <w:rsid w:val="00404620"/>
    <w:rsid w:val="004047F5"/>
    <w:rsid w:val="00404805"/>
    <w:rsid w:val="00404A90"/>
    <w:rsid w:val="00404C5C"/>
    <w:rsid w:val="00404DEE"/>
    <w:rsid w:val="0040543D"/>
    <w:rsid w:val="00405528"/>
    <w:rsid w:val="00405886"/>
    <w:rsid w:val="00405975"/>
    <w:rsid w:val="00405BA7"/>
    <w:rsid w:val="00405BA8"/>
    <w:rsid w:val="00405E6D"/>
    <w:rsid w:val="00405EEE"/>
    <w:rsid w:val="004061E9"/>
    <w:rsid w:val="00406245"/>
    <w:rsid w:val="004062DE"/>
    <w:rsid w:val="00406378"/>
    <w:rsid w:val="004064E9"/>
    <w:rsid w:val="004065ED"/>
    <w:rsid w:val="00406810"/>
    <w:rsid w:val="0040689A"/>
    <w:rsid w:val="0040695D"/>
    <w:rsid w:val="004069B9"/>
    <w:rsid w:val="00406A41"/>
    <w:rsid w:val="00406A47"/>
    <w:rsid w:val="00406B03"/>
    <w:rsid w:val="00406C01"/>
    <w:rsid w:val="00406E86"/>
    <w:rsid w:val="00406F58"/>
    <w:rsid w:val="00407470"/>
    <w:rsid w:val="004077D3"/>
    <w:rsid w:val="004078DE"/>
    <w:rsid w:val="004078F7"/>
    <w:rsid w:val="004079CD"/>
    <w:rsid w:val="00407AA8"/>
    <w:rsid w:val="00407D3A"/>
    <w:rsid w:val="00407ED7"/>
    <w:rsid w:val="00407F48"/>
    <w:rsid w:val="0041019E"/>
    <w:rsid w:val="0041022C"/>
    <w:rsid w:val="0041032F"/>
    <w:rsid w:val="00410511"/>
    <w:rsid w:val="0041066E"/>
    <w:rsid w:val="0041072B"/>
    <w:rsid w:val="00410A9F"/>
    <w:rsid w:val="00410E32"/>
    <w:rsid w:val="00410EF9"/>
    <w:rsid w:val="004110ED"/>
    <w:rsid w:val="00411167"/>
    <w:rsid w:val="004112D2"/>
    <w:rsid w:val="0041133C"/>
    <w:rsid w:val="0041135C"/>
    <w:rsid w:val="0041146B"/>
    <w:rsid w:val="0041166A"/>
    <w:rsid w:val="00411685"/>
    <w:rsid w:val="0041172E"/>
    <w:rsid w:val="004119AD"/>
    <w:rsid w:val="004119DF"/>
    <w:rsid w:val="00411A39"/>
    <w:rsid w:val="00411B6F"/>
    <w:rsid w:val="00411F2F"/>
    <w:rsid w:val="00411F41"/>
    <w:rsid w:val="004122B5"/>
    <w:rsid w:val="00412439"/>
    <w:rsid w:val="00412524"/>
    <w:rsid w:val="00412757"/>
    <w:rsid w:val="00412A1E"/>
    <w:rsid w:val="00412CB9"/>
    <w:rsid w:val="00412CBA"/>
    <w:rsid w:val="00412DFC"/>
    <w:rsid w:val="00412E83"/>
    <w:rsid w:val="00412ECB"/>
    <w:rsid w:val="00412F91"/>
    <w:rsid w:val="00413167"/>
    <w:rsid w:val="004134B8"/>
    <w:rsid w:val="004134DA"/>
    <w:rsid w:val="00413594"/>
    <w:rsid w:val="004135BF"/>
    <w:rsid w:val="00413752"/>
    <w:rsid w:val="00413982"/>
    <w:rsid w:val="004139D7"/>
    <w:rsid w:val="00413A89"/>
    <w:rsid w:val="00413CE0"/>
    <w:rsid w:val="00413CE2"/>
    <w:rsid w:val="00413D00"/>
    <w:rsid w:val="00413ED7"/>
    <w:rsid w:val="00413EEF"/>
    <w:rsid w:val="00413F81"/>
    <w:rsid w:val="00413F8C"/>
    <w:rsid w:val="00414099"/>
    <w:rsid w:val="00414206"/>
    <w:rsid w:val="004144D6"/>
    <w:rsid w:val="004145F7"/>
    <w:rsid w:val="00414694"/>
    <w:rsid w:val="004146F1"/>
    <w:rsid w:val="00414730"/>
    <w:rsid w:val="00414829"/>
    <w:rsid w:val="00414CCE"/>
    <w:rsid w:val="004150CF"/>
    <w:rsid w:val="00415212"/>
    <w:rsid w:val="00415766"/>
    <w:rsid w:val="0041583C"/>
    <w:rsid w:val="00415884"/>
    <w:rsid w:val="00415924"/>
    <w:rsid w:val="00415AED"/>
    <w:rsid w:val="00415B73"/>
    <w:rsid w:val="00415C5E"/>
    <w:rsid w:val="00415E58"/>
    <w:rsid w:val="00415EA8"/>
    <w:rsid w:val="00415F0C"/>
    <w:rsid w:val="00415F86"/>
    <w:rsid w:val="004161A6"/>
    <w:rsid w:val="004161BD"/>
    <w:rsid w:val="00416291"/>
    <w:rsid w:val="00416427"/>
    <w:rsid w:val="0041668A"/>
    <w:rsid w:val="004168AD"/>
    <w:rsid w:val="004168DD"/>
    <w:rsid w:val="00416928"/>
    <w:rsid w:val="004169D9"/>
    <w:rsid w:val="00416AEA"/>
    <w:rsid w:val="00416B4A"/>
    <w:rsid w:val="00416BD6"/>
    <w:rsid w:val="00416C06"/>
    <w:rsid w:val="00416F36"/>
    <w:rsid w:val="00416F8F"/>
    <w:rsid w:val="0041710B"/>
    <w:rsid w:val="004171BC"/>
    <w:rsid w:val="004171D1"/>
    <w:rsid w:val="00417484"/>
    <w:rsid w:val="00417DD2"/>
    <w:rsid w:val="00417E2A"/>
    <w:rsid w:val="00420218"/>
    <w:rsid w:val="0042026C"/>
    <w:rsid w:val="0042040D"/>
    <w:rsid w:val="004207A6"/>
    <w:rsid w:val="00420A58"/>
    <w:rsid w:val="00420AFE"/>
    <w:rsid w:val="00420B07"/>
    <w:rsid w:val="00420D6D"/>
    <w:rsid w:val="00420FA7"/>
    <w:rsid w:val="004210A6"/>
    <w:rsid w:val="004212FB"/>
    <w:rsid w:val="004214A0"/>
    <w:rsid w:val="00421643"/>
    <w:rsid w:val="0042181D"/>
    <w:rsid w:val="0042187C"/>
    <w:rsid w:val="0042197D"/>
    <w:rsid w:val="004219F9"/>
    <w:rsid w:val="00421A45"/>
    <w:rsid w:val="00421B33"/>
    <w:rsid w:val="00421BC4"/>
    <w:rsid w:val="00421C8B"/>
    <w:rsid w:val="00421CA9"/>
    <w:rsid w:val="00421D16"/>
    <w:rsid w:val="00421F3D"/>
    <w:rsid w:val="00422420"/>
    <w:rsid w:val="00422898"/>
    <w:rsid w:val="00422931"/>
    <w:rsid w:val="00422AE2"/>
    <w:rsid w:val="00422AF6"/>
    <w:rsid w:val="0042317A"/>
    <w:rsid w:val="00423213"/>
    <w:rsid w:val="00423253"/>
    <w:rsid w:val="004232BE"/>
    <w:rsid w:val="004232F3"/>
    <w:rsid w:val="0042371C"/>
    <w:rsid w:val="004238AD"/>
    <w:rsid w:val="004238E9"/>
    <w:rsid w:val="00423D30"/>
    <w:rsid w:val="00423FC0"/>
    <w:rsid w:val="004240CC"/>
    <w:rsid w:val="00424319"/>
    <w:rsid w:val="004243AF"/>
    <w:rsid w:val="00424432"/>
    <w:rsid w:val="0042453C"/>
    <w:rsid w:val="00424662"/>
    <w:rsid w:val="004246AE"/>
    <w:rsid w:val="004246B9"/>
    <w:rsid w:val="00424733"/>
    <w:rsid w:val="00424826"/>
    <w:rsid w:val="00424EBC"/>
    <w:rsid w:val="00424EEC"/>
    <w:rsid w:val="00424EFD"/>
    <w:rsid w:val="004250DB"/>
    <w:rsid w:val="00425449"/>
    <w:rsid w:val="00425646"/>
    <w:rsid w:val="004256D0"/>
    <w:rsid w:val="00425910"/>
    <w:rsid w:val="00425B80"/>
    <w:rsid w:val="00425E0D"/>
    <w:rsid w:val="00425F57"/>
    <w:rsid w:val="00425FBD"/>
    <w:rsid w:val="004260D8"/>
    <w:rsid w:val="00426270"/>
    <w:rsid w:val="004263FE"/>
    <w:rsid w:val="0042662C"/>
    <w:rsid w:val="00426709"/>
    <w:rsid w:val="004267A3"/>
    <w:rsid w:val="00426951"/>
    <w:rsid w:val="00426A69"/>
    <w:rsid w:val="00426B4B"/>
    <w:rsid w:val="00426E9E"/>
    <w:rsid w:val="004270F9"/>
    <w:rsid w:val="00427125"/>
    <w:rsid w:val="004271E9"/>
    <w:rsid w:val="0042744D"/>
    <w:rsid w:val="004276B3"/>
    <w:rsid w:val="004277B4"/>
    <w:rsid w:val="00427A75"/>
    <w:rsid w:val="00427B63"/>
    <w:rsid w:val="00427B84"/>
    <w:rsid w:val="00427BBD"/>
    <w:rsid w:val="00427DE9"/>
    <w:rsid w:val="00427F19"/>
    <w:rsid w:val="00427F5D"/>
    <w:rsid w:val="00428381"/>
    <w:rsid w:val="00430075"/>
    <w:rsid w:val="0043007D"/>
    <w:rsid w:val="004301A3"/>
    <w:rsid w:val="00430249"/>
    <w:rsid w:val="00430350"/>
    <w:rsid w:val="004304DE"/>
    <w:rsid w:val="004304E6"/>
    <w:rsid w:val="004306FC"/>
    <w:rsid w:val="00430769"/>
    <w:rsid w:val="00430879"/>
    <w:rsid w:val="004308BF"/>
    <w:rsid w:val="004308F4"/>
    <w:rsid w:val="00430936"/>
    <w:rsid w:val="00430B1A"/>
    <w:rsid w:val="00430D37"/>
    <w:rsid w:val="00430EC6"/>
    <w:rsid w:val="00430FAE"/>
    <w:rsid w:val="00431006"/>
    <w:rsid w:val="004310A7"/>
    <w:rsid w:val="004311DE"/>
    <w:rsid w:val="0043126F"/>
    <w:rsid w:val="004312DC"/>
    <w:rsid w:val="00431448"/>
    <w:rsid w:val="00431778"/>
    <w:rsid w:val="0043199A"/>
    <w:rsid w:val="004319E8"/>
    <w:rsid w:val="004319FD"/>
    <w:rsid w:val="00431BBD"/>
    <w:rsid w:val="00431E24"/>
    <w:rsid w:val="00431E61"/>
    <w:rsid w:val="00431EEA"/>
    <w:rsid w:val="00431F9C"/>
    <w:rsid w:val="00432047"/>
    <w:rsid w:val="0043215E"/>
    <w:rsid w:val="004321FB"/>
    <w:rsid w:val="0043262E"/>
    <w:rsid w:val="004328C1"/>
    <w:rsid w:val="0043292C"/>
    <w:rsid w:val="00432B3B"/>
    <w:rsid w:val="00432B7B"/>
    <w:rsid w:val="00432CC4"/>
    <w:rsid w:val="00432DE7"/>
    <w:rsid w:val="0043300B"/>
    <w:rsid w:val="0043301C"/>
    <w:rsid w:val="004337ED"/>
    <w:rsid w:val="0043384A"/>
    <w:rsid w:val="004338EB"/>
    <w:rsid w:val="00433A97"/>
    <w:rsid w:val="00433AE1"/>
    <w:rsid w:val="00433BC2"/>
    <w:rsid w:val="00433BDB"/>
    <w:rsid w:val="00433C18"/>
    <w:rsid w:val="00433CB5"/>
    <w:rsid w:val="00433FB1"/>
    <w:rsid w:val="004341C8"/>
    <w:rsid w:val="004341FA"/>
    <w:rsid w:val="00434318"/>
    <w:rsid w:val="004343C1"/>
    <w:rsid w:val="004345CD"/>
    <w:rsid w:val="00434665"/>
    <w:rsid w:val="004346F8"/>
    <w:rsid w:val="00434760"/>
    <w:rsid w:val="0043481C"/>
    <w:rsid w:val="00434A33"/>
    <w:rsid w:val="00434B52"/>
    <w:rsid w:val="00434CB1"/>
    <w:rsid w:val="00434F60"/>
    <w:rsid w:val="00435287"/>
    <w:rsid w:val="004354D7"/>
    <w:rsid w:val="0043595A"/>
    <w:rsid w:val="00435988"/>
    <w:rsid w:val="00435AF3"/>
    <w:rsid w:val="00436301"/>
    <w:rsid w:val="0043656F"/>
    <w:rsid w:val="0043658F"/>
    <w:rsid w:val="0043659C"/>
    <w:rsid w:val="004365C5"/>
    <w:rsid w:val="004366FB"/>
    <w:rsid w:val="00436773"/>
    <w:rsid w:val="0043688E"/>
    <w:rsid w:val="004369D4"/>
    <w:rsid w:val="004369F5"/>
    <w:rsid w:val="00436AA9"/>
    <w:rsid w:val="00436B5E"/>
    <w:rsid w:val="00436BB7"/>
    <w:rsid w:val="00436C62"/>
    <w:rsid w:val="00436EB4"/>
    <w:rsid w:val="00436ED7"/>
    <w:rsid w:val="004370F6"/>
    <w:rsid w:val="00437203"/>
    <w:rsid w:val="00437544"/>
    <w:rsid w:val="00437971"/>
    <w:rsid w:val="00437A52"/>
    <w:rsid w:val="00437B00"/>
    <w:rsid w:val="00437B27"/>
    <w:rsid w:val="00437B32"/>
    <w:rsid w:val="00437BBB"/>
    <w:rsid w:val="00437C50"/>
    <w:rsid w:val="00437F94"/>
    <w:rsid w:val="004403E8"/>
    <w:rsid w:val="0044047B"/>
    <w:rsid w:val="004404EB"/>
    <w:rsid w:val="00440569"/>
    <w:rsid w:val="0044058D"/>
    <w:rsid w:val="00440D24"/>
    <w:rsid w:val="00440E3A"/>
    <w:rsid w:val="00440E77"/>
    <w:rsid w:val="00440EAD"/>
    <w:rsid w:val="00440FB1"/>
    <w:rsid w:val="004411EE"/>
    <w:rsid w:val="0044120C"/>
    <w:rsid w:val="0044143D"/>
    <w:rsid w:val="004415BF"/>
    <w:rsid w:val="004415C8"/>
    <w:rsid w:val="004415D3"/>
    <w:rsid w:val="00441790"/>
    <w:rsid w:val="00441951"/>
    <w:rsid w:val="004419D2"/>
    <w:rsid w:val="00441BCE"/>
    <w:rsid w:val="00441E19"/>
    <w:rsid w:val="00441F1E"/>
    <w:rsid w:val="004422CC"/>
    <w:rsid w:val="0044236A"/>
    <w:rsid w:val="00442731"/>
    <w:rsid w:val="00442A5E"/>
    <w:rsid w:val="00442E1F"/>
    <w:rsid w:val="00442F0E"/>
    <w:rsid w:val="004430F4"/>
    <w:rsid w:val="004431CB"/>
    <w:rsid w:val="00443427"/>
    <w:rsid w:val="004437D1"/>
    <w:rsid w:val="00443A7A"/>
    <w:rsid w:val="00443BF0"/>
    <w:rsid w:val="00443C68"/>
    <w:rsid w:val="00443C73"/>
    <w:rsid w:val="00443E45"/>
    <w:rsid w:val="00443F2D"/>
    <w:rsid w:val="00443FB5"/>
    <w:rsid w:val="00444019"/>
    <w:rsid w:val="00444148"/>
    <w:rsid w:val="00444190"/>
    <w:rsid w:val="00444261"/>
    <w:rsid w:val="004442E0"/>
    <w:rsid w:val="004443F2"/>
    <w:rsid w:val="0044465A"/>
    <w:rsid w:val="00444672"/>
    <w:rsid w:val="00444810"/>
    <w:rsid w:val="00444904"/>
    <w:rsid w:val="0044493D"/>
    <w:rsid w:val="00444B10"/>
    <w:rsid w:val="00444B57"/>
    <w:rsid w:val="00444E8D"/>
    <w:rsid w:val="00444FE2"/>
    <w:rsid w:val="004450F6"/>
    <w:rsid w:val="00445101"/>
    <w:rsid w:val="00445151"/>
    <w:rsid w:val="0044529D"/>
    <w:rsid w:val="00445337"/>
    <w:rsid w:val="00445AB1"/>
    <w:rsid w:val="00445BD4"/>
    <w:rsid w:val="00445E48"/>
    <w:rsid w:val="00445ED7"/>
    <w:rsid w:val="00445EDE"/>
    <w:rsid w:val="00445F5E"/>
    <w:rsid w:val="00446203"/>
    <w:rsid w:val="00446287"/>
    <w:rsid w:val="00446355"/>
    <w:rsid w:val="00446503"/>
    <w:rsid w:val="00446559"/>
    <w:rsid w:val="00446606"/>
    <w:rsid w:val="00446719"/>
    <w:rsid w:val="00446A9D"/>
    <w:rsid w:val="00446C8D"/>
    <w:rsid w:val="00446C9B"/>
    <w:rsid w:val="004474A5"/>
    <w:rsid w:val="0044751D"/>
    <w:rsid w:val="00447533"/>
    <w:rsid w:val="004476D0"/>
    <w:rsid w:val="00447778"/>
    <w:rsid w:val="00447B1F"/>
    <w:rsid w:val="00447EF7"/>
    <w:rsid w:val="0045001B"/>
    <w:rsid w:val="00450632"/>
    <w:rsid w:val="00450669"/>
    <w:rsid w:val="00450933"/>
    <w:rsid w:val="00450B25"/>
    <w:rsid w:val="00450BB7"/>
    <w:rsid w:val="00450C00"/>
    <w:rsid w:val="00450CDB"/>
    <w:rsid w:val="00450E5A"/>
    <w:rsid w:val="0045100A"/>
    <w:rsid w:val="00451100"/>
    <w:rsid w:val="00451185"/>
    <w:rsid w:val="0045129A"/>
    <w:rsid w:val="00451316"/>
    <w:rsid w:val="0045148E"/>
    <w:rsid w:val="004514C6"/>
    <w:rsid w:val="0045151F"/>
    <w:rsid w:val="00451A78"/>
    <w:rsid w:val="00451D43"/>
    <w:rsid w:val="00451F79"/>
    <w:rsid w:val="00451F7A"/>
    <w:rsid w:val="00451F9C"/>
    <w:rsid w:val="0045210F"/>
    <w:rsid w:val="00452514"/>
    <w:rsid w:val="0045260A"/>
    <w:rsid w:val="00452932"/>
    <w:rsid w:val="004529FC"/>
    <w:rsid w:val="00452B69"/>
    <w:rsid w:val="004530D9"/>
    <w:rsid w:val="004530FB"/>
    <w:rsid w:val="0045332D"/>
    <w:rsid w:val="00453A78"/>
    <w:rsid w:val="00453BEF"/>
    <w:rsid w:val="00453FD3"/>
    <w:rsid w:val="00454061"/>
    <w:rsid w:val="004540A3"/>
    <w:rsid w:val="0045411E"/>
    <w:rsid w:val="004542BC"/>
    <w:rsid w:val="00454343"/>
    <w:rsid w:val="00454417"/>
    <w:rsid w:val="00454445"/>
    <w:rsid w:val="00454509"/>
    <w:rsid w:val="0045450C"/>
    <w:rsid w:val="004545D7"/>
    <w:rsid w:val="004546C3"/>
    <w:rsid w:val="004549D8"/>
    <w:rsid w:val="00454CA4"/>
    <w:rsid w:val="00454E64"/>
    <w:rsid w:val="0045535B"/>
    <w:rsid w:val="004553BC"/>
    <w:rsid w:val="004558CC"/>
    <w:rsid w:val="00455A67"/>
    <w:rsid w:val="00455A8F"/>
    <w:rsid w:val="00455BC2"/>
    <w:rsid w:val="00455D24"/>
    <w:rsid w:val="00455D83"/>
    <w:rsid w:val="00455E0E"/>
    <w:rsid w:val="00455E41"/>
    <w:rsid w:val="00455F30"/>
    <w:rsid w:val="00455F6E"/>
    <w:rsid w:val="00455FC8"/>
    <w:rsid w:val="004560D9"/>
    <w:rsid w:val="004562B5"/>
    <w:rsid w:val="00456339"/>
    <w:rsid w:val="004563CD"/>
    <w:rsid w:val="00456685"/>
    <w:rsid w:val="00456687"/>
    <w:rsid w:val="0045669E"/>
    <w:rsid w:val="00456948"/>
    <w:rsid w:val="00456A03"/>
    <w:rsid w:val="00456CC9"/>
    <w:rsid w:val="00456D83"/>
    <w:rsid w:val="00456E68"/>
    <w:rsid w:val="00457222"/>
    <w:rsid w:val="004572AA"/>
    <w:rsid w:val="004574C7"/>
    <w:rsid w:val="00457526"/>
    <w:rsid w:val="00457782"/>
    <w:rsid w:val="00457894"/>
    <w:rsid w:val="0045795E"/>
    <w:rsid w:val="00457A13"/>
    <w:rsid w:val="00457A71"/>
    <w:rsid w:val="00457B56"/>
    <w:rsid w:val="00457C13"/>
    <w:rsid w:val="00457DFE"/>
    <w:rsid w:val="00457E81"/>
    <w:rsid w:val="00457EA1"/>
    <w:rsid w:val="00457F52"/>
    <w:rsid w:val="004600C1"/>
    <w:rsid w:val="00460353"/>
    <w:rsid w:val="004604D2"/>
    <w:rsid w:val="00460971"/>
    <w:rsid w:val="004609D0"/>
    <w:rsid w:val="00460AA8"/>
    <w:rsid w:val="00460AF1"/>
    <w:rsid w:val="00460B37"/>
    <w:rsid w:val="00460B52"/>
    <w:rsid w:val="00460B6A"/>
    <w:rsid w:val="00460C2D"/>
    <w:rsid w:val="00460CFC"/>
    <w:rsid w:val="00460DC1"/>
    <w:rsid w:val="00461073"/>
    <w:rsid w:val="00461139"/>
    <w:rsid w:val="00461216"/>
    <w:rsid w:val="0046158B"/>
    <w:rsid w:val="00461AB2"/>
    <w:rsid w:val="00461C77"/>
    <w:rsid w:val="00461DB5"/>
    <w:rsid w:val="00461E3C"/>
    <w:rsid w:val="00461E5D"/>
    <w:rsid w:val="00461EAC"/>
    <w:rsid w:val="00461EFA"/>
    <w:rsid w:val="00461F0E"/>
    <w:rsid w:val="004622E8"/>
    <w:rsid w:val="00462385"/>
    <w:rsid w:val="004624E8"/>
    <w:rsid w:val="00462648"/>
    <w:rsid w:val="0046285C"/>
    <w:rsid w:val="00462BE9"/>
    <w:rsid w:val="00463185"/>
    <w:rsid w:val="00463284"/>
    <w:rsid w:val="00463457"/>
    <w:rsid w:val="0046347E"/>
    <w:rsid w:val="00463672"/>
    <w:rsid w:val="00463866"/>
    <w:rsid w:val="00463889"/>
    <w:rsid w:val="004638E9"/>
    <w:rsid w:val="00463A70"/>
    <w:rsid w:val="00463AB8"/>
    <w:rsid w:val="00463C37"/>
    <w:rsid w:val="00463E34"/>
    <w:rsid w:val="00463F08"/>
    <w:rsid w:val="00463FE4"/>
    <w:rsid w:val="004642FB"/>
    <w:rsid w:val="004646A4"/>
    <w:rsid w:val="004649DF"/>
    <w:rsid w:val="00464CD9"/>
    <w:rsid w:val="0046542B"/>
    <w:rsid w:val="00465442"/>
    <w:rsid w:val="004655DF"/>
    <w:rsid w:val="004655FD"/>
    <w:rsid w:val="00465827"/>
    <w:rsid w:val="004658B9"/>
    <w:rsid w:val="00465D7D"/>
    <w:rsid w:val="00465E25"/>
    <w:rsid w:val="0046623A"/>
    <w:rsid w:val="00466249"/>
    <w:rsid w:val="00466274"/>
    <w:rsid w:val="004662C5"/>
    <w:rsid w:val="00466593"/>
    <w:rsid w:val="0046668B"/>
    <w:rsid w:val="00466800"/>
    <w:rsid w:val="0046684F"/>
    <w:rsid w:val="00466881"/>
    <w:rsid w:val="0046688C"/>
    <w:rsid w:val="004669E2"/>
    <w:rsid w:val="004669FC"/>
    <w:rsid w:val="00466A1B"/>
    <w:rsid w:val="00466B01"/>
    <w:rsid w:val="00466C86"/>
    <w:rsid w:val="00466CF6"/>
    <w:rsid w:val="00466DD0"/>
    <w:rsid w:val="00466E60"/>
    <w:rsid w:val="00467085"/>
    <w:rsid w:val="00467094"/>
    <w:rsid w:val="004670CA"/>
    <w:rsid w:val="004671B1"/>
    <w:rsid w:val="00467360"/>
    <w:rsid w:val="00467461"/>
    <w:rsid w:val="00467608"/>
    <w:rsid w:val="00467798"/>
    <w:rsid w:val="0046785B"/>
    <w:rsid w:val="004679F0"/>
    <w:rsid w:val="00467AE0"/>
    <w:rsid w:val="00467BAB"/>
    <w:rsid w:val="00467F44"/>
    <w:rsid w:val="00470047"/>
    <w:rsid w:val="00470413"/>
    <w:rsid w:val="0047079E"/>
    <w:rsid w:val="00470AB0"/>
    <w:rsid w:val="00470C5A"/>
    <w:rsid w:val="00470F03"/>
    <w:rsid w:val="004710EB"/>
    <w:rsid w:val="00471171"/>
    <w:rsid w:val="004713F7"/>
    <w:rsid w:val="0047145C"/>
    <w:rsid w:val="00471606"/>
    <w:rsid w:val="00471657"/>
    <w:rsid w:val="004716F0"/>
    <w:rsid w:val="00471950"/>
    <w:rsid w:val="00471DCF"/>
    <w:rsid w:val="00471F3D"/>
    <w:rsid w:val="00472163"/>
    <w:rsid w:val="004721F0"/>
    <w:rsid w:val="0047233A"/>
    <w:rsid w:val="004724F7"/>
    <w:rsid w:val="0047256F"/>
    <w:rsid w:val="0047257F"/>
    <w:rsid w:val="00472631"/>
    <w:rsid w:val="0047278E"/>
    <w:rsid w:val="00472964"/>
    <w:rsid w:val="004729CA"/>
    <w:rsid w:val="00472A83"/>
    <w:rsid w:val="00472BAA"/>
    <w:rsid w:val="00472CCB"/>
    <w:rsid w:val="00472E2E"/>
    <w:rsid w:val="00472EC2"/>
    <w:rsid w:val="00472F74"/>
    <w:rsid w:val="004735A8"/>
    <w:rsid w:val="004735D5"/>
    <w:rsid w:val="004735F7"/>
    <w:rsid w:val="00473799"/>
    <w:rsid w:val="004739AE"/>
    <w:rsid w:val="00473A21"/>
    <w:rsid w:val="00473AC2"/>
    <w:rsid w:val="00473C34"/>
    <w:rsid w:val="00473CF8"/>
    <w:rsid w:val="00473FD8"/>
    <w:rsid w:val="00474002"/>
    <w:rsid w:val="004742E2"/>
    <w:rsid w:val="00474437"/>
    <w:rsid w:val="004745C2"/>
    <w:rsid w:val="00474662"/>
    <w:rsid w:val="00474C94"/>
    <w:rsid w:val="00474CBA"/>
    <w:rsid w:val="00474CF2"/>
    <w:rsid w:val="00474D22"/>
    <w:rsid w:val="00474E8C"/>
    <w:rsid w:val="0047546D"/>
    <w:rsid w:val="004755FE"/>
    <w:rsid w:val="00475695"/>
    <w:rsid w:val="004756A8"/>
    <w:rsid w:val="004758BC"/>
    <w:rsid w:val="00475CDE"/>
    <w:rsid w:val="00475F6F"/>
    <w:rsid w:val="00476043"/>
    <w:rsid w:val="0047607D"/>
    <w:rsid w:val="00476178"/>
    <w:rsid w:val="00476452"/>
    <w:rsid w:val="004765E4"/>
    <w:rsid w:val="004769ED"/>
    <w:rsid w:val="00476C51"/>
    <w:rsid w:val="00477093"/>
    <w:rsid w:val="00477110"/>
    <w:rsid w:val="00477419"/>
    <w:rsid w:val="00477441"/>
    <w:rsid w:val="00477473"/>
    <w:rsid w:val="004775C5"/>
    <w:rsid w:val="0047782D"/>
    <w:rsid w:val="00477BDF"/>
    <w:rsid w:val="004804E7"/>
    <w:rsid w:val="00480934"/>
    <w:rsid w:val="00480956"/>
    <w:rsid w:val="00480990"/>
    <w:rsid w:val="00480A8C"/>
    <w:rsid w:val="00480CD2"/>
    <w:rsid w:val="00480E07"/>
    <w:rsid w:val="00480F13"/>
    <w:rsid w:val="00480F85"/>
    <w:rsid w:val="004810DC"/>
    <w:rsid w:val="00481499"/>
    <w:rsid w:val="00481618"/>
    <w:rsid w:val="004816C4"/>
    <w:rsid w:val="0048173F"/>
    <w:rsid w:val="004817A5"/>
    <w:rsid w:val="004817DA"/>
    <w:rsid w:val="00481803"/>
    <w:rsid w:val="0048195B"/>
    <w:rsid w:val="00481BF6"/>
    <w:rsid w:val="00481C5F"/>
    <w:rsid w:val="00481C7C"/>
    <w:rsid w:val="00481C87"/>
    <w:rsid w:val="00481E91"/>
    <w:rsid w:val="00481FA9"/>
    <w:rsid w:val="004821DC"/>
    <w:rsid w:val="004823CB"/>
    <w:rsid w:val="00482617"/>
    <w:rsid w:val="00482C97"/>
    <w:rsid w:val="00482D41"/>
    <w:rsid w:val="00482FA2"/>
    <w:rsid w:val="004830A7"/>
    <w:rsid w:val="004830C6"/>
    <w:rsid w:val="004831F5"/>
    <w:rsid w:val="00483436"/>
    <w:rsid w:val="004834AB"/>
    <w:rsid w:val="00483843"/>
    <w:rsid w:val="004839A8"/>
    <w:rsid w:val="00483D22"/>
    <w:rsid w:val="00484113"/>
    <w:rsid w:val="004843FE"/>
    <w:rsid w:val="00484433"/>
    <w:rsid w:val="004847A1"/>
    <w:rsid w:val="00484913"/>
    <w:rsid w:val="00484EEE"/>
    <w:rsid w:val="00485008"/>
    <w:rsid w:val="004852FC"/>
    <w:rsid w:val="0048542C"/>
    <w:rsid w:val="00485495"/>
    <w:rsid w:val="004854B4"/>
    <w:rsid w:val="00485A1C"/>
    <w:rsid w:val="00485A9F"/>
    <w:rsid w:val="00485B85"/>
    <w:rsid w:val="00485D7F"/>
    <w:rsid w:val="00485EC9"/>
    <w:rsid w:val="0048623E"/>
    <w:rsid w:val="00486414"/>
    <w:rsid w:val="00486453"/>
    <w:rsid w:val="004864A2"/>
    <w:rsid w:val="004865F0"/>
    <w:rsid w:val="004866B4"/>
    <w:rsid w:val="004869BE"/>
    <w:rsid w:val="00486A49"/>
    <w:rsid w:val="00486A81"/>
    <w:rsid w:val="00487052"/>
    <w:rsid w:val="004872D8"/>
    <w:rsid w:val="004874D6"/>
    <w:rsid w:val="00487C4F"/>
    <w:rsid w:val="00487E46"/>
    <w:rsid w:val="00487F16"/>
    <w:rsid w:val="00487FCF"/>
    <w:rsid w:val="00490225"/>
    <w:rsid w:val="00490277"/>
    <w:rsid w:val="00490351"/>
    <w:rsid w:val="004903D5"/>
    <w:rsid w:val="0049048F"/>
    <w:rsid w:val="004905CE"/>
    <w:rsid w:val="00490680"/>
    <w:rsid w:val="00490768"/>
    <w:rsid w:val="004907C2"/>
    <w:rsid w:val="004908DE"/>
    <w:rsid w:val="00490AB9"/>
    <w:rsid w:val="00490B2B"/>
    <w:rsid w:val="00490EB2"/>
    <w:rsid w:val="00490EC7"/>
    <w:rsid w:val="00490ED2"/>
    <w:rsid w:val="004910F4"/>
    <w:rsid w:val="00491152"/>
    <w:rsid w:val="00491752"/>
    <w:rsid w:val="00491816"/>
    <w:rsid w:val="004918BF"/>
    <w:rsid w:val="0049192B"/>
    <w:rsid w:val="00491CEB"/>
    <w:rsid w:val="00491D07"/>
    <w:rsid w:val="00491D5F"/>
    <w:rsid w:val="00491F5B"/>
    <w:rsid w:val="00491FBB"/>
    <w:rsid w:val="00492194"/>
    <w:rsid w:val="0049248C"/>
    <w:rsid w:val="004924F6"/>
    <w:rsid w:val="00492AC3"/>
    <w:rsid w:val="00492EA0"/>
    <w:rsid w:val="00492FB9"/>
    <w:rsid w:val="004932FA"/>
    <w:rsid w:val="00493580"/>
    <w:rsid w:val="0049389A"/>
    <w:rsid w:val="00493970"/>
    <w:rsid w:val="004939B2"/>
    <w:rsid w:val="00493A2C"/>
    <w:rsid w:val="00493D01"/>
    <w:rsid w:val="00493DB3"/>
    <w:rsid w:val="00493FA0"/>
    <w:rsid w:val="004941D6"/>
    <w:rsid w:val="00494270"/>
    <w:rsid w:val="004942EE"/>
    <w:rsid w:val="0049435A"/>
    <w:rsid w:val="00494589"/>
    <w:rsid w:val="00494597"/>
    <w:rsid w:val="00494725"/>
    <w:rsid w:val="004947BC"/>
    <w:rsid w:val="004947E0"/>
    <w:rsid w:val="00494E34"/>
    <w:rsid w:val="0049519D"/>
    <w:rsid w:val="00495262"/>
    <w:rsid w:val="0049529E"/>
    <w:rsid w:val="00495321"/>
    <w:rsid w:val="00495495"/>
    <w:rsid w:val="00495496"/>
    <w:rsid w:val="0049557A"/>
    <w:rsid w:val="00495737"/>
    <w:rsid w:val="00495C86"/>
    <w:rsid w:val="00495ECA"/>
    <w:rsid w:val="00496038"/>
    <w:rsid w:val="004960AB"/>
    <w:rsid w:val="0049661F"/>
    <w:rsid w:val="004966E0"/>
    <w:rsid w:val="00496839"/>
    <w:rsid w:val="00496889"/>
    <w:rsid w:val="00497090"/>
    <w:rsid w:val="00497364"/>
    <w:rsid w:val="004977D0"/>
    <w:rsid w:val="00497828"/>
    <w:rsid w:val="004978C4"/>
    <w:rsid w:val="004979A9"/>
    <w:rsid w:val="00497A66"/>
    <w:rsid w:val="00497E14"/>
    <w:rsid w:val="00497F11"/>
    <w:rsid w:val="004A00FF"/>
    <w:rsid w:val="004A01F0"/>
    <w:rsid w:val="004A05A1"/>
    <w:rsid w:val="004A07D1"/>
    <w:rsid w:val="004A08D4"/>
    <w:rsid w:val="004A0A82"/>
    <w:rsid w:val="004A0D3B"/>
    <w:rsid w:val="004A0D46"/>
    <w:rsid w:val="004A0D62"/>
    <w:rsid w:val="004A0DA9"/>
    <w:rsid w:val="004A0E61"/>
    <w:rsid w:val="004A124D"/>
    <w:rsid w:val="004A135F"/>
    <w:rsid w:val="004A1376"/>
    <w:rsid w:val="004A13D0"/>
    <w:rsid w:val="004A16BE"/>
    <w:rsid w:val="004A1780"/>
    <w:rsid w:val="004A1AB6"/>
    <w:rsid w:val="004A1B41"/>
    <w:rsid w:val="004A1B5E"/>
    <w:rsid w:val="004A1E3C"/>
    <w:rsid w:val="004A1E4F"/>
    <w:rsid w:val="004A226C"/>
    <w:rsid w:val="004A22DD"/>
    <w:rsid w:val="004A23CE"/>
    <w:rsid w:val="004A2597"/>
    <w:rsid w:val="004A265C"/>
    <w:rsid w:val="004A2693"/>
    <w:rsid w:val="004A2735"/>
    <w:rsid w:val="004A29B6"/>
    <w:rsid w:val="004A29F6"/>
    <w:rsid w:val="004A2B5B"/>
    <w:rsid w:val="004A2D57"/>
    <w:rsid w:val="004A2DBA"/>
    <w:rsid w:val="004A3086"/>
    <w:rsid w:val="004A327D"/>
    <w:rsid w:val="004A35E5"/>
    <w:rsid w:val="004A3784"/>
    <w:rsid w:val="004A37D7"/>
    <w:rsid w:val="004A3811"/>
    <w:rsid w:val="004A3868"/>
    <w:rsid w:val="004A3BDB"/>
    <w:rsid w:val="004A3FB1"/>
    <w:rsid w:val="004A40EA"/>
    <w:rsid w:val="004A419E"/>
    <w:rsid w:val="004A44BE"/>
    <w:rsid w:val="004A46BB"/>
    <w:rsid w:val="004A472E"/>
    <w:rsid w:val="004A49BC"/>
    <w:rsid w:val="004A4A26"/>
    <w:rsid w:val="004A4A38"/>
    <w:rsid w:val="004A4C61"/>
    <w:rsid w:val="004A4EAE"/>
    <w:rsid w:val="004A51CD"/>
    <w:rsid w:val="004A5653"/>
    <w:rsid w:val="004A58A0"/>
    <w:rsid w:val="004A5926"/>
    <w:rsid w:val="004A59FA"/>
    <w:rsid w:val="004A5A41"/>
    <w:rsid w:val="004A5A92"/>
    <w:rsid w:val="004A5F2F"/>
    <w:rsid w:val="004A622C"/>
    <w:rsid w:val="004A6283"/>
    <w:rsid w:val="004A6359"/>
    <w:rsid w:val="004A6400"/>
    <w:rsid w:val="004A6441"/>
    <w:rsid w:val="004A65E4"/>
    <w:rsid w:val="004A6673"/>
    <w:rsid w:val="004A66A3"/>
    <w:rsid w:val="004A6806"/>
    <w:rsid w:val="004A6BDF"/>
    <w:rsid w:val="004A6DE7"/>
    <w:rsid w:val="004A6F12"/>
    <w:rsid w:val="004A7082"/>
    <w:rsid w:val="004A7148"/>
    <w:rsid w:val="004A72AB"/>
    <w:rsid w:val="004A72FC"/>
    <w:rsid w:val="004A73B3"/>
    <w:rsid w:val="004A750F"/>
    <w:rsid w:val="004A75DA"/>
    <w:rsid w:val="004A7612"/>
    <w:rsid w:val="004A772F"/>
    <w:rsid w:val="004A7B49"/>
    <w:rsid w:val="004A7CCE"/>
    <w:rsid w:val="004A7CDF"/>
    <w:rsid w:val="004A7D50"/>
    <w:rsid w:val="004A7E57"/>
    <w:rsid w:val="004A7FDA"/>
    <w:rsid w:val="004B04EA"/>
    <w:rsid w:val="004B05E8"/>
    <w:rsid w:val="004B0603"/>
    <w:rsid w:val="004B060A"/>
    <w:rsid w:val="004B07EA"/>
    <w:rsid w:val="004B0977"/>
    <w:rsid w:val="004B0A0C"/>
    <w:rsid w:val="004B0AD0"/>
    <w:rsid w:val="004B0C5E"/>
    <w:rsid w:val="004B118A"/>
    <w:rsid w:val="004B120A"/>
    <w:rsid w:val="004B138F"/>
    <w:rsid w:val="004B15B5"/>
    <w:rsid w:val="004B167A"/>
    <w:rsid w:val="004B17F2"/>
    <w:rsid w:val="004B1800"/>
    <w:rsid w:val="004B18AA"/>
    <w:rsid w:val="004B1AB9"/>
    <w:rsid w:val="004B1D40"/>
    <w:rsid w:val="004B212D"/>
    <w:rsid w:val="004B2256"/>
    <w:rsid w:val="004B22DA"/>
    <w:rsid w:val="004B25F8"/>
    <w:rsid w:val="004B26EB"/>
    <w:rsid w:val="004B2717"/>
    <w:rsid w:val="004B2756"/>
    <w:rsid w:val="004B27B0"/>
    <w:rsid w:val="004B27F7"/>
    <w:rsid w:val="004B2C72"/>
    <w:rsid w:val="004B2CE7"/>
    <w:rsid w:val="004B2D47"/>
    <w:rsid w:val="004B300E"/>
    <w:rsid w:val="004B3105"/>
    <w:rsid w:val="004B33A9"/>
    <w:rsid w:val="004B3801"/>
    <w:rsid w:val="004B3821"/>
    <w:rsid w:val="004B39A8"/>
    <w:rsid w:val="004B3F1A"/>
    <w:rsid w:val="004B4061"/>
    <w:rsid w:val="004B414A"/>
    <w:rsid w:val="004B44C5"/>
    <w:rsid w:val="004B46C7"/>
    <w:rsid w:val="004B48F2"/>
    <w:rsid w:val="004B4A53"/>
    <w:rsid w:val="004B4BE0"/>
    <w:rsid w:val="004B4BE9"/>
    <w:rsid w:val="004B4DD6"/>
    <w:rsid w:val="004B4F08"/>
    <w:rsid w:val="004B5229"/>
    <w:rsid w:val="004B553D"/>
    <w:rsid w:val="004B59B5"/>
    <w:rsid w:val="004B5B4F"/>
    <w:rsid w:val="004B5B90"/>
    <w:rsid w:val="004B5C18"/>
    <w:rsid w:val="004B5C4A"/>
    <w:rsid w:val="004B5C6F"/>
    <w:rsid w:val="004B5D65"/>
    <w:rsid w:val="004B5E0F"/>
    <w:rsid w:val="004B5ECB"/>
    <w:rsid w:val="004B5ED1"/>
    <w:rsid w:val="004B5F54"/>
    <w:rsid w:val="004B5F9C"/>
    <w:rsid w:val="004B612B"/>
    <w:rsid w:val="004B633D"/>
    <w:rsid w:val="004B6407"/>
    <w:rsid w:val="004B6607"/>
    <w:rsid w:val="004B690D"/>
    <w:rsid w:val="004B6A1C"/>
    <w:rsid w:val="004B6C25"/>
    <w:rsid w:val="004B6D22"/>
    <w:rsid w:val="004B6D28"/>
    <w:rsid w:val="004B6F41"/>
    <w:rsid w:val="004B7017"/>
    <w:rsid w:val="004B7332"/>
    <w:rsid w:val="004B738C"/>
    <w:rsid w:val="004B753B"/>
    <w:rsid w:val="004B77A0"/>
    <w:rsid w:val="004B7850"/>
    <w:rsid w:val="004B7AC3"/>
    <w:rsid w:val="004B7B4E"/>
    <w:rsid w:val="004B7BC2"/>
    <w:rsid w:val="004B7F01"/>
    <w:rsid w:val="004C0175"/>
    <w:rsid w:val="004C0295"/>
    <w:rsid w:val="004C0568"/>
    <w:rsid w:val="004C08C0"/>
    <w:rsid w:val="004C08DD"/>
    <w:rsid w:val="004C09CD"/>
    <w:rsid w:val="004C0D35"/>
    <w:rsid w:val="004C0DBE"/>
    <w:rsid w:val="004C116E"/>
    <w:rsid w:val="004C12CD"/>
    <w:rsid w:val="004C1497"/>
    <w:rsid w:val="004C1946"/>
    <w:rsid w:val="004C1BF0"/>
    <w:rsid w:val="004C1C71"/>
    <w:rsid w:val="004C1D32"/>
    <w:rsid w:val="004C1E43"/>
    <w:rsid w:val="004C1E90"/>
    <w:rsid w:val="004C1EAD"/>
    <w:rsid w:val="004C214A"/>
    <w:rsid w:val="004C276D"/>
    <w:rsid w:val="004C290A"/>
    <w:rsid w:val="004C2980"/>
    <w:rsid w:val="004C2FE6"/>
    <w:rsid w:val="004C3212"/>
    <w:rsid w:val="004C3336"/>
    <w:rsid w:val="004C348B"/>
    <w:rsid w:val="004C34B4"/>
    <w:rsid w:val="004C3602"/>
    <w:rsid w:val="004C3704"/>
    <w:rsid w:val="004C39EE"/>
    <w:rsid w:val="004C3AE6"/>
    <w:rsid w:val="004C3B1B"/>
    <w:rsid w:val="004C3C12"/>
    <w:rsid w:val="004C3E98"/>
    <w:rsid w:val="004C3F6E"/>
    <w:rsid w:val="004C4361"/>
    <w:rsid w:val="004C4440"/>
    <w:rsid w:val="004C4531"/>
    <w:rsid w:val="004C475F"/>
    <w:rsid w:val="004C4840"/>
    <w:rsid w:val="004C4DFD"/>
    <w:rsid w:val="004C4E14"/>
    <w:rsid w:val="004C4E15"/>
    <w:rsid w:val="004C5103"/>
    <w:rsid w:val="004C5244"/>
    <w:rsid w:val="004C5435"/>
    <w:rsid w:val="004C5452"/>
    <w:rsid w:val="004C573F"/>
    <w:rsid w:val="004C5796"/>
    <w:rsid w:val="004C57DD"/>
    <w:rsid w:val="004C5A08"/>
    <w:rsid w:val="004C5AB4"/>
    <w:rsid w:val="004C5B02"/>
    <w:rsid w:val="004C5BB3"/>
    <w:rsid w:val="004C5BCC"/>
    <w:rsid w:val="004C5D07"/>
    <w:rsid w:val="004C5D76"/>
    <w:rsid w:val="004C62DF"/>
    <w:rsid w:val="004C632E"/>
    <w:rsid w:val="004C63EB"/>
    <w:rsid w:val="004C6422"/>
    <w:rsid w:val="004C6794"/>
    <w:rsid w:val="004C67DD"/>
    <w:rsid w:val="004C68E4"/>
    <w:rsid w:val="004C6E55"/>
    <w:rsid w:val="004C71C7"/>
    <w:rsid w:val="004C721D"/>
    <w:rsid w:val="004C75BB"/>
    <w:rsid w:val="004C7837"/>
    <w:rsid w:val="004C7966"/>
    <w:rsid w:val="004C7A0F"/>
    <w:rsid w:val="004C7BDA"/>
    <w:rsid w:val="004C7C28"/>
    <w:rsid w:val="004C7CD0"/>
    <w:rsid w:val="004C7D11"/>
    <w:rsid w:val="004C7DE2"/>
    <w:rsid w:val="004D0045"/>
    <w:rsid w:val="004D0526"/>
    <w:rsid w:val="004D057E"/>
    <w:rsid w:val="004D0716"/>
    <w:rsid w:val="004D0B8F"/>
    <w:rsid w:val="004D0B96"/>
    <w:rsid w:val="004D0D30"/>
    <w:rsid w:val="004D0D4F"/>
    <w:rsid w:val="004D0D71"/>
    <w:rsid w:val="004D0DF1"/>
    <w:rsid w:val="004D0E8F"/>
    <w:rsid w:val="004D0EF7"/>
    <w:rsid w:val="004D10BC"/>
    <w:rsid w:val="004D12C4"/>
    <w:rsid w:val="004D1810"/>
    <w:rsid w:val="004D19B0"/>
    <w:rsid w:val="004D19D4"/>
    <w:rsid w:val="004D1A16"/>
    <w:rsid w:val="004D1E41"/>
    <w:rsid w:val="004D1EA2"/>
    <w:rsid w:val="004D1F82"/>
    <w:rsid w:val="004D217F"/>
    <w:rsid w:val="004D2188"/>
    <w:rsid w:val="004D22D5"/>
    <w:rsid w:val="004D23DF"/>
    <w:rsid w:val="004D251F"/>
    <w:rsid w:val="004D25F1"/>
    <w:rsid w:val="004D2A77"/>
    <w:rsid w:val="004D2DEE"/>
    <w:rsid w:val="004D2EF9"/>
    <w:rsid w:val="004D2F1D"/>
    <w:rsid w:val="004D2F9E"/>
    <w:rsid w:val="004D3049"/>
    <w:rsid w:val="004D3126"/>
    <w:rsid w:val="004D314E"/>
    <w:rsid w:val="004D3269"/>
    <w:rsid w:val="004D3756"/>
    <w:rsid w:val="004D3781"/>
    <w:rsid w:val="004D3803"/>
    <w:rsid w:val="004D396F"/>
    <w:rsid w:val="004D398C"/>
    <w:rsid w:val="004D3A8C"/>
    <w:rsid w:val="004D3AE7"/>
    <w:rsid w:val="004D3C47"/>
    <w:rsid w:val="004D3D8B"/>
    <w:rsid w:val="004D3DC7"/>
    <w:rsid w:val="004D3DD5"/>
    <w:rsid w:val="004D3EA0"/>
    <w:rsid w:val="004D3F7D"/>
    <w:rsid w:val="004D42C2"/>
    <w:rsid w:val="004D43AB"/>
    <w:rsid w:val="004D4421"/>
    <w:rsid w:val="004D460D"/>
    <w:rsid w:val="004D47DA"/>
    <w:rsid w:val="004D4A27"/>
    <w:rsid w:val="004D4B9C"/>
    <w:rsid w:val="004D4DC7"/>
    <w:rsid w:val="004D4DDC"/>
    <w:rsid w:val="004D4EDE"/>
    <w:rsid w:val="004D4EE6"/>
    <w:rsid w:val="004D4FF8"/>
    <w:rsid w:val="004D508C"/>
    <w:rsid w:val="004D5228"/>
    <w:rsid w:val="004D527A"/>
    <w:rsid w:val="004D5380"/>
    <w:rsid w:val="004D5564"/>
    <w:rsid w:val="004D5599"/>
    <w:rsid w:val="004D569D"/>
    <w:rsid w:val="004D56EF"/>
    <w:rsid w:val="004D5797"/>
    <w:rsid w:val="004D57DD"/>
    <w:rsid w:val="004D597A"/>
    <w:rsid w:val="004D59CF"/>
    <w:rsid w:val="004D5E36"/>
    <w:rsid w:val="004D6046"/>
    <w:rsid w:val="004D6077"/>
    <w:rsid w:val="004D6126"/>
    <w:rsid w:val="004D6343"/>
    <w:rsid w:val="004D641A"/>
    <w:rsid w:val="004D6561"/>
    <w:rsid w:val="004D66A4"/>
    <w:rsid w:val="004D672E"/>
    <w:rsid w:val="004D6925"/>
    <w:rsid w:val="004D6A0F"/>
    <w:rsid w:val="004D6B10"/>
    <w:rsid w:val="004D6E5D"/>
    <w:rsid w:val="004D700E"/>
    <w:rsid w:val="004D7147"/>
    <w:rsid w:val="004D719B"/>
    <w:rsid w:val="004D7312"/>
    <w:rsid w:val="004D74F5"/>
    <w:rsid w:val="004D7736"/>
    <w:rsid w:val="004D7737"/>
    <w:rsid w:val="004D79FE"/>
    <w:rsid w:val="004D7A26"/>
    <w:rsid w:val="004D7A48"/>
    <w:rsid w:val="004D7ABE"/>
    <w:rsid w:val="004D7D01"/>
    <w:rsid w:val="004E06A2"/>
    <w:rsid w:val="004E08F3"/>
    <w:rsid w:val="004E0A00"/>
    <w:rsid w:val="004E0ABA"/>
    <w:rsid w:val="004E0B79"/>
    <w:rsid w:val="004E0E7A"/>
    <w:rsid w:val="004E12FE"/>
    <w:rsid w:val="004E13F4"/>
    <w:rsid w:val="004E1462"/>
    <w:rsid w:val="004E1507"/>
    <w:rsid w:val="004E1630"/>
    <w:rsid w:val="004E1863"/>
    <w:rsid w:val="004E18CA"/>
    <w:rsid w:val="004E19F7"/>
    <w:rsid w:val="004E1B93"/>
    <w:rsid w:val="004E1BE3"/>
    <w:rsid w:val="004E2077"/>
    <w:rsid w:val="004E22D9"/>
    <w:rsid w:val="004E2425"/>
    <w:rsid w:val="004E25F4"/>
    <w:rsid w:val="004E2A44"/>
    <w:rsid w:val="004E2A75"/>
    <w:rsid w:val="004E2E9C"/>
    <w:rsid w:val="004E30AE"/>
    <w:rsid w:val="004E30F9"/>
    <w:rsid w:val="004E322C"/>
    <w:rsid w:val="004E3374"/>
    <w:rsid w:val="004E348F"/>
    <w:rsid w:val="004E3741"/>
    <w:rsid w:val="004E380C"/>
    <w:rsid w:val="004E382E"/>
    <w:rsid w:val="004E3D93"/>
    <w:rsid w:val="004E3FCF"/>
    <w:rsid w:val="004E3FE3"/>
    <w:rsid w:val="004E40F4"/>
    <w:rsid w:val="004E4141"/>
    <w:rsid w:val="004E43CC"/>
    <w:rsid w:val="004E45F9"/>
    <w:rsid w:val="004E4696"/>
    <w:rsid w:val="004E46F8"/>
    <w:rsid w:val="004E4705"/>
    <w:rsid w:val="004E4EF7"/>
    <w:rsid w:val="004E4F52"/>
    <w:rsid w:val="004E4FE7"/>
    <w:rsid w:val="004E52A8"/>
    <w:rsid w:val="004E536B"/>
    <w:rsid w:val="004E5411"/>
    <w:rsid w:val="004E565C"/>
    <w:rsid w:val="004E583D"/>
    <w:rsid w:val="004E5A65"/>
    <w:rsid w:val="004E5D44"/>
    <w:rsid w:val="004E5D57"/>
    <w:rsid w:val="004E5DBB"/>
    <w:rsid w:val="004E5E49"/>
    <w:rsid w:val="004E6167"/>
    <w:rsid w:val="004E665D"/>
    <w:rsid w:val="004E67B4"/>
    <w:rsid w:val="004E6AEE"/>
    <w:rsid w:val="004E6BFC"/>
    <w:rsid w:val="004E6DD6"/>
    <w:rsid w:val="004E6E16"/>
    <w:rsid w:val="004E6E52"/>
    <w:rsid w:val="004E74B2"/>
    <w:rsid w:val="004E752F"/>
    <w:rsid w:val="004E7553"/>
    <w:rsid w:val="004E76DA"/>
    <w:rsid w:val="004E7995"/>
    <w:rsid w:val="004E7A7B"/>
    <w:rsid w:val="004E7B09"/>
    <w:rsid w:val="004E7C84"/>
    <w:rsid w:val="004E7C8E"/>
    <w:rsid w:val="004E7C9B"/>
    <w:rsid w:val="004E7EE5"/>
    <w:rsid w:val="004E7FD1"/>
    <w:rsid w:val="004F0522"/>
    <w:rsid w:val="004F05E4"/>
    <w:rsid w:val="004F078B"/>
    <w:rsid w:val="004F07EB"/>
    <w:rsid w:val="004F0D30"/>
    <w:rsid w:val="004F0EB1"/>
    <w:rsid w:val="004F137A"/>
    <w:rsid w:val="004F15E1"/>
    <w:rsid w:val="004F162A"/>
    <w:rsid w:val="004F1712"/>
    <w:rsid w:val="004F1731"/>
    <w:rsid w:val="004F1902"/>
    <w:rsid w:val="004F1B8A"/>
    <w:rsid w:val="004F1D9E"/>
    <w:rsid w:val="004F1F7A"/>
    <w:rsid w:val="004F1FE2"/>
    <w:rsid w:val="004F20C6"/>
    <w:rsid w:val="004F218E"/>
    <w:rsid w:val="004F23B2"/>
    <w:rsid w:val="004F2613"/>
    <w:rsid w:val="004F2822"/>
    <w:rsid w:val="004F28E2"/>
    <w:rsid w:val="004F293A"/>
    <w:rsid w:val="004F2A10"/>
    <w:rsid w:val="004F2E41"/>
    <w:rsid w:val="004F2E86"/>
    <w:rsid w:val="004F3267"/>
    <w:rsid w:val="004F3380"/>
    <w:rsid w:val="004F34E4"/>
    <w:rsid w:val="004F35AD"/>
    <w:rsid w:val="004F3711"/>
    <w:rsid w:val="004F3A02"/>
    <w:rsid w:val="004F3A20"/>
    <w:rsid w:val="004F3CDD"/>
    <w:rsid w:val="004F3D05"/>
    <w:rsid w:val="004F3FA5"/>
    <w:rsid w:val="004F43E4"/>
    <w:rsid w:val="004F43EE"/>
    <w:rsid w:val="004F43F7"/>
    <w:rsid w:val="004F4485"/>
    <w:rsid w:val="004F44ED"/>
    <w:rsid w:val="004F4A9A"/>
    <w:rsid w:val="004F4B92"/>
    <w:rsid w:val="004F4DC3"/>
    <w:rsid w:val="004F4E95"/>
    <w:rsid w:val="004F5231"/>
    <w:rsid w:val="004F56F6"/>
    <w:rsid w:val="004F5749"/>
    <w:rsid w:val="004F59A6"/>
    <w:rsid w:val="004F5F68"/>
    <w:rsid w:val="004F61EB"/>
    <w:rsid w:val="004F66A4"/>
    <w:rsid w:val="004F6706"/>
    <w:rsid w:val="004F674A"/>
    <w:rsid w:val="004F6A2E"/>
    <w:rsid w:val="004F6E52"/>
    <w:rsid w:val="004F6ECF"/>
    <w:rsid w:val="004F7174"/>
    <w:rsid w:val="004F733D"/>
    <w:rsid w:val="004F7492"/>
    <w:rsid w:val="004F777A"/>
    <w:rsid w:val="004F789D"/>
    <w:rsid w:val="004F7A30"/>
    <w:rsid w:val="004F7B3E"/>
    <w:rsid w:val="004F7CC9"/>
    <w:rsid w:val="004F7E72"/>
    <w:rsid w:val="004F7FB5"/>
    <w:rsid w:val="005000D9"/>
    <w:rsid w:val="0050018E"/>
    <w:rsid w:val="005002FB"/>
    <w:rsid w:val="00500518"/>
    <w:rsid w:val="00500CD8"/>
    <w:rsid w:val="00500E2D"/>
    <w:rsid w:val="00500E71"/>
    <w:rsid w:val="00501124"/>
    <w:rsid w:val="0050115A"/>
    <w:rsid w:val="00501328"/>
    <w:rsid w:val="005014DD"/>
    <w:rsid w:val="00501609"/>
    <w:rsid w:val="00501708"/>
    <w:rsid w:val="005019B8"/>
    <w:rsid w:val="00501B42"/>
    <w:rsid w:val="00501C51"/>
    <w:rsid w:val="00501D7F"/>
    <w:rsid w:val="00501DF8"/>
    <w:rsid w:val="00501FB2"/>
    <w:rsid w:val="005020C8"/>
    <w:rsid w:val="0050219A"/>
    <w:rsid w:val="0050235F"/>
    <w:rsid w:val="005024C0"/>
    <w:rsid w:val="005024E8"/>
    <w:rsid w:val="00502544"/>
    <w:rsid w:val="00502642"/>
    <w:rsid w:val="00502690"/>
    <w:rsid w:val="005027A8"/>
    <w:rsid w:val="00502A85"/>
    <w:rsid w:val="00502A96"/>
    <w:rsid w:val="00502B1C"/>
    <w:rsid w:val="00502BAA"/>
    <w:rsid w:val="00502C35"/>
    <w:rsid w:val="00502D40"/>
    <w:rsid w:val="00502D8C"/>
    <w:rsid w:val="00502E70"/>
    <w:rsid w:val="00502E99"/>
    <w:rsid w:val="00502EF7"/>
    <w:rsid w:val="005030B3"/>
    <w:rsid w:val="0050311C"/>
    <w:rsid w:val="005031B4"/>
    <w:rsid w:val="00503232"/>
    <w:rsid w:val="0050324D"/>
    <w:rsid w:val="00503A7F"/>
    <w:rsid w:val="00503ADF"/>
    <w:rsid w:val="00503C3F"/>
    <w:rsid w:val="00504018"/>
    <w:rsid w:val="0050401E"/>
    <w:rsid w:val="005042BB"/>
    <w:rsid w:val="00504671"/>
    <w:rsid w:val="00504986"/>
    <w:rsid w:val="00504998"/>
    <w:rsid w:val="00504A54"/>
    <w:rsid w:val="00504C32"/>
    <w:rsid w:val="00504D51"/>
    <w:rsid w:val="00505042"/>
    <w:rsid w:val="005050E3"/>
    <w:rsid w:val="005050FC"/>
    <w:rsid w:val="0050534C"/>
    <w:rsid w:val="005054AB"/>
    <w:rsid w:val="005054F2"/>
    <w:rsid w:val="005054FC"/>
    <w:rsid w:val="00505716"/>
    <w:rsid w:val="0050599F"/>
    <w:rsid w:val="00505B04"/>
    <w:rsid w:val="00505C20"/>
    <w:rsid w:val="00505CB6"/>
    <w:rsid w:val="00505CDB"/>
    <w:rsid w:val="00506090"/>
    <w:rsid w:val="00506264"/>
    <w:rsid w:val="00506460"/>
    <w:rsid w:val="00506696"/>
    <w:rsid w:val="005067BA"/>
    <w:rsid w:val="00506A6A"/>
    <w:rsid w:val="00506BE9"/>
    <w:rsid w:val="00506C35"/>
    <w:rsid w:val="005073A6"/>
    <w:rsid w:val="0050754C"/>
    <w:rsid w:val="00507669"/>
    <w:rsid w:val="00507762"/>
    <w:rsid w:val="00507892"/>
    <w:rsid w:val="005078FB"/>
    <w:rsid w:val="00507A34"/>
    <w:rsid w:val="00507B13"/>
    <w:rsid w:val="00507E18"/>
    <w:rsid w:val="00507E1F"/>
    <w:rsid w:val="005101E1"/>
    <w:rsid w:val="00510544"/>
    <w:rsid w:val="005105B6"/>
    <w:rsid w:val="00510696"/>
    <w:rsid w:val="00510757"/>
    <w:rsid w:val="005107CE"/>
    <w:rsid w:val="00510819"/>
    <w:rsid w:val="00510C73"/>
    <w:rsid w:val="00510F39"/>
    <w:rsid w:val="00510FF6"/>
    <w:rsid w:val="00511097"/>
    <w:rsid w:val="005112AA"/>
    <w:rsid w:val="00511369"/>
    <w:rsid w:val="005115EA"/>
    <w:rsid w:val="00511636"/>
    <w:rsid w:val="00511768"/>
    <w:rsid w:val="00511969"/>
    <w:rsid w:val="00511AB6"/>
    <w:rsid w:val="00511E59"/>
    <w:rsid w:val="00511E79"/>
    <w:rsid w:val="00511F14"/>
    <w:rsid w:val="00511F9B"/>
    <w:rsid w:val="0051206B"/>
    <w:rsid w:val="0051208B"/>
    <w:rsid w:val="005122C9"/>
    <w:rsid w:val="00512466"/>
    <w:rsid w:val="00512480"/>
    <w:rsid w:val="00512604"/>
    <w:rsid w:val="00512821"/>
    <w:rsid w:val="00512A41"/>
    <w:rsid w:val="00512D0F"/>
    <w:rsid w:val="00512D28"/>
    <w:rsid w:val="00512DBF"/>
    <w:rsid w:val="00512E47"/>
    <w:rsid w:val="005130C8"/>
    <w:rsid w:val="00513185"/>
    <w:rsid w:val="00513186"/>
    <w:rsid w:val="00513306"/>
    <w:rsid w:val="00513365"/>
    <w:rsid w:val="0051386B"/>
    <w:rsid w:val="005138EA"/>
    <w:rsid w:val="00513A33"/>
    <w:rsid w:val="00513BB1"/>
    <w:rsid w:val="00513BE2"/>
    <w:rsid w:val="00513BFC"/>
    <w:rsid w:val="00513CF7"/>
    <w:rsid w:val="00513D13"/>
    <w:rsid w:val="00513EB7"/>
    <w:rsid w:val="00513ED2"/>
    <w:rsid w:val="00513ED5"/>
    <w:rsid w:val="00513EDF"/>
    <w:rsid w:val="00513F57"/>
    <w:rsid w:val="0051407F"/>
    <w:rsid w:val="005140BA"/>
    <w:rsid w:val="005140CC"/>
    <w:rsid w:val="0051413A"/>
    <w:rsid w:val="00514579"/>
    <w:rsid w:val="005146EE"/>
    <w:rsid w:val="00514A46"/>
    <w:rsid w:val="00514B15"/>
    <w:rsid w:val="00514BEC"/>
    <w:rsid w:val="00514D93"/>
    <w:rsid w:val="00514DAF"/>
    <w:rsid w:val="00514F58"/>
    <w:rsid w:val="005151A2"/>
    <w:rsid w:val="005153C3"/>
    <w:rsid w:val="00515402"/>
    <w:rsid w:val="0051545E"/>
    <w:rsid w:val="005155E3"/>
    <w:rsid w:val="00515628"/>
    <w:rsid w:val="005157BC"/>
    <w:rsid w:val="005157EA"/>
    <w:rsid w:val="00515926"/>
    <w:rsid w:val="00515994"/>
    <w:rsid w:val="00515C1A"/>
    <w:rsid w:val="00515CA2"/>
    <w:rsid w:val="00515DC9"/>
    <w:rsid w:val="00515EBA"/>
    <w:rsid w:val="00515EFC"/>
    <w:rsid w:val="00515FFA"/>
    <w:rsid w:val="0051619D"/>
    <w:rsid w:val="005162D5"/>
    <w:rsid w:val="005162FD"/>
    <w:rsid w:val="00516310"/>
    <w:rsid w:val="005163F7"/>
    <w:rsid w:val="0051640A"/>
    <w:rsid w:val="00516469"/>
    <w:rsid w:val="00516698"/>
    <w:rsid w:val="005166EF"/>
    <w:rsid w:val="005168BD"/>
    <w:rsid w:val="00516C5E"/>
    <w:rsid w:val="00516C86"/>
    <w:rsid w:val="00516CA3"/>
    <w:rsid w:val="00516F38"/>
    <w:rsid w:val="005170F0"/>
    <w:rsid w:val="00517186"/>
    <w:rsid w:val="00517187"/>
    <w:rsid w:val="00517285"/>
    <w:rsid w:val="00517321"/>
    <w:rsid w:val="0051738C"/>
    <w:rsid w:val="005174E4"/>
    <w:rsid w:val="0051757C"/>
    <w:rsid w:val="00517681"/>
    <w:rsid w:val="005176D4"/>
    <w:rsid w:val="005177AF"/>
    <w:rsid w:val="005177C1"/>
    <w:rsid w:val="005179B8"/>
    <w:rsid w:val="00517D16"/>
    <w:rsid w:val="00517E6A"/>
    <w:rsid w:val="005200FF"/>
    <w:rsid w:val="005201E2"/>
    <w:rsid w:val="005202F4"/>
    <w:rsid w:val="0052032F"/>
    <w:rsid w:val="00520339"/>
    <w:rsid w:val="005203BA"/>
    <w:rsid w:val="005204F9"/>
    <w:rsid w:val="00520844"/>
    <w:rsid w:val="00520866"/>
    <w:rsid w:val="005208A9"/>
    <w:rsid w:val="005208DB"/>
    <w:rsid w:val="00520B84"/>
    <w:rsid w:val="00520D08"/>
    <w:rsid w:val="00520D0E"/>
    <w:rsid w:val="00520FEE"/>
    <w:rsid w:val="0052115F"/>
    <w:rsid w:val="005211BE"/>
    <w:rsid w:val="00521218"/>
    <w:rsid w:val="00521229"/>
    <w:rsid w:val="005212F9"/>
    <w:rsid w:val="00521494"/>
    <w:rsid w:val="0052164F"/>
    <w:rsid w:val="00521B38"/>
    <w:rsid w:val="00521C73"/>
    <w:rsid w:val="00521EE4"/>
    <w:rsid w:val="0052200A"/>
    <w:rsid w:val="00522340"/>
    <w:rsid w:val="005223B0"/>
    <w:rsid w:val="0052267C"/>
    <w:rsid w:val="005226BF"/>
    <w:rsid w:val="0052270E"/>
    <w:rsid w:val="005227B7"/>
    <w:rsid w:val="00522985"/>
    <w:rsid w:val="00522A58"/>
    <w:rsid w:val="00522CF7"/>
    <w:rsid w:val="00522D22"/>
    <w:rsid w:val="0052307E"/>
    <w:rsid w:val="00523A1B"/>
    <w:rsid w:val="00523F1D"/>
    <w:rsid w:val="005241A6"/>
    <w:rsid w:val="005242B0"/>
    <w:rsid w:val="00524790"/>
    <w:rsid w:val="005247E0"/>
    <w:rsid w:val="0052480A"/>
    <w:rsid w:val="0052492C"/>
    <w:rsid w:val="00524B9B"/>
    <w:rsid w:val="00524C70"/>
    <w:rsid w:val="00524CFB"/>
    <w:rsid w:val="00524EF4"/>
    <w:rsid w:val="00525025"/>
    <w:rsid w:val="00525282"/>
    <w:rsid w:val="005253DB"/>
    <w:rsid w:val="00525628"/>
    <w:rsid w:val="00525A62"/>
    <w:rsid w:val="00525CFF"/>
    <w:rsid w:val="0052612B"/>
    <w:rsid w:val="00526179"/>
    <w:rsid w:val="0052620E"/>
    <w:rsid w:val="00526588"/>
    <w:rsid w:val="00526877"/>
    <w:rsid w:val="0052690E"/>
    <w:rsid w:val="00526929"/>
    <w:rsid w:val="00526962"/>
    <w:rsid w:val="00526DCE"/>
    <w:rsid w:val="00526F4C"/>
    <w:rsid w:val="00527197"/>
    <w:rsid w:val="0052726F"/>
    <w:rsid w:val="0052730B"/>
    <w:rsid w:val="005276CB"/>
    <w:rsid w:val="005277A9"/>
    <w:rsid w:val="005279BC"/>
    <w:rsid w:val="005279EB"/>
    <w:rsid w:val="00527ABA"/>
    <w:rsid w:val="00527AED"/>
    <w:rsid w:val="00527CBF"/>
    <w:rsid w:val="00530013"/>
    <w:rsid w:val="0053017F"/>
    <w:rsid w:val="005303DB"/>
    <w:rsid w:val="005304D8"/>
    <w:rsid w:val="0053063C"/>
    <w:rsid w:val="00530770"/>
    <w:rsid w:val="00530971"/>
    <w:rsid w:val="0053099C"/>
    <w:rsid w:val="005309FA"/>
    <w:rsid w:val="00530A90"/>
    <w:rsid w:val="00530B63"/>
    <w:rsid w:val="00530CAC"/>
    <w:rsid w:val="00530D26"/>
    <w:rsid w:val="00530EDC"/>
    <w:rsid w:val="00530F5D"/>
    <w:rsid w:val="00530F9D"/>
    <w:rsid w:val="00531102"/>
    <w:rsid w:val="005312E2"/>
    <w:rsid w:val="00531520"/>
    <w:rsid w:val="00531522"/>
    <w:rsid w:val="00531828"/>
    <w:rsid w:val="00531AFF"/>
    <w:rsid w:val="00531B83"/>
    <w:rsid w:val="00531F63"/>
    <w:rsid w:val="005323FB"/>
    <w:rsid w:val="00532574"/>
    <w:rsid w:val="00532770"/>
    <w:rsid w:val="00532852"/>
    <w:rsid w:val="00532A26"/>
    <w:rsid w:val="00532A4D"/>
    <w:rsid w:val="00532D24"/>
    <w:rsid w:val="00532E73"/>
    <w:rsid w:val="00532F87"/>
    <w:rsid w:val="00533100"/>
    <w:rsid w:val="0053321D"/>
    <w:rsid w:val="00533252"/>
    <w:rsid w:val="005332D8"/>
    <w:rsid w:val="00533321"/>
    <w:rsid w:val="00533331"/>
    <w:rsid w:val="005335A6"/>
    <w:rsid w:val="005335D3"/>
    <w:rsid w:val="005335DC"/>
    <w:rsid w:val="00533720"/>
    <w:rsid w:val="0053388E"/>
    <w:rsid w:val="00533912"/>
    <w:rsid w:val="0053406F"/>
    <w:rsid w:val="0053443C"/>
    <w:rsid w:val="00534634"/>
    <w:rsid w:val="005348CB"/>
    <w:rsid w:val="00534A7E"/>
    <w:rsid w:val="00534B27"/>
    <w:rsid w:val="00534D96"/>
    <w:rsid w:val="00534DEF"/>
    <w:rsid w:val="00534E87"/>
    <w:rsid w:val="00534EBF"/>
    <w:rsid w:val="0053500A"/>
    <w:rsid w:val="005352C5"/>
    <w:rsid w:val="0053537D"/>
    <w:rsid w:val="0053539D"/>
    <w:rsid w:val="0053553C"/>
    <w:rsid w:val="005355C7"/>
    <w:rsid w:val="0053563D"/>
    <w:rsid w:val="0053565C"/>
    <w:rsid w:val="00535666"/>
    <w:rsid w:val="00535813"/>
    <w:rsid w:val="0053591C"/>
    <w:rsid w:val="00535D50"/>
    <w:rsid w:val="00535D66"/>
    <w:rsid w:val="0053609D"/>
    <w:rsid w:val="005361E1"/>
    <w:rsid w:val="005363B0"/>
    <w:rsid w:val="005363DF"/>
    <w:rsid w:val="00536445"/>
    <w:rsid w:val="00536515"/>
    <w:rsid w:val="00536813"/>
    <w:rsid w:val="00536AF3"/>
    <w:rsid w:val="00536BFE"/>
    <w:rsid w:val="00536F4E"/>
    <w:rsid w:val="00536F92"/>
    <w:rsid w:val="00537019"/>
    <w:rsid w:val="005374DE"/>
    <w:rsid w:val="005375EE"/>
    <w:rsid w:val="005376B9"/>
    <w:rsid w:val="00537719"/>
    <w:rsid w:val="00537851"/>
    <w:rsid w:val="00537881"/>
    <w:rsid w:val="00537923"/>
    <w:rsid w:val="00537C82"/>
    <w:rsid w:val="00537EF2"/>
    <w:rsid w:val="00537FE0"/>
    <w:rsid w:val="00540475"/>
    <w:rsid w:val="00540508"/>
    <w:rsid w:val="00540530"/>
    <w:rsid w:val="0054058B"/>
    <w:rsid w:val="005406DF"/>
    <w:rsid w:val="00540A31"/>
    <w:rsid w:val="00540E97"/>
    <w:rsid w:val="005410E6"/>
    <w:rsid w:val="00541232"/>
    <w:rsid w:val="005412BA"/>
    <w:rsid w:val="00541331"/>
    <w:rsid w:val="0054142E"/>
    <w:rsid w:val="005414C9"/>
    <w:rsid w:val="005415E7"/>
    <w:rsid w:val="005416DC"/>
    <w:rsid w:val="0054179C"/>
    <w:rsid w:val="00541A56"/>
    <w:rsid w:val="00541B29"/>
    <w:rsid w:val="00541E37"/>
    <w:rsid w:val="00541E7D"/>
    <w:rsid w:val="00541FF0"/>
    <w:rsid w:val="005421D2"/>
    <w:rsid w:val="005424D8"/>
    <w:rsid w:val="005427CD"/>
    <w:rsid w:val="005429FE"/>
    <w:rsid w:val="00542C39"/>
    <w:rsid w:val="00542F08"/>
    <w:rsid w:val="0054306E"/>
    <w:rsid w:val="00543081"/>
    <w:rsid w:val="005431BE"/>
    <w:rsid w:val="005431DF"/>
    <w:rsid w:val="0054350B"/>
    <w:rsid w:val="005436BC"/>
    <w:rsid w:val="00543D21"/>
    <w:rsid w:val="00543E7A"/>
    <w:rsid w:val="00543F51"/>
    <w:rsid w:val="005440B7"/>
    <w:rsid w:val="00544175"/>
    <w:rsid w:val="005441B4"/>
    <w:rsid w:val="00544803"/>
    <w:rsid w:val="00544AC6"/>
    <w:rsid w:val="00544B3D"/>
    <w:rsid w:val="00544D95"/>
    <w:rsid w:val="00544DB8"/>
    <w:rsid w:val="00544E3E"/>
    <w:rsid w:val="00544F46"/>
    <w:rsid w:val="00545092"/>
    <w:rsid w:val="00545379"/>
    <w:rsid w:val="005454CE"/>
    <w:rsid w:val="005454E2"/>
    <w:rsid w:val="005455F5"/>
    <w:rsid w:val="005459FA"/>
    <w:rsid w:val="00545AD7"/>
    <w:rsid w:val="00545B4C"/>
    <w:rsid w:val="00545D88"/>
    <w:rsid w:val="00545F51"/>
    <w:rsid w:val="00545F59"/>
    <w:rsid w:val="0054614F"/>
    <w:rsid w:val="00546219"/>
    <w:rsid w:val="0054627C"/>
    <w:rsid w:val="0054671E"/>
    <w:rsid w:val="0054680B"/>
    <w:rsid w:val="0054681A"/>
    <w:rsid w:val="00546A89"/>
    <w:rsid w:val="00546E77"/>
    <w:rsid w:val="00546FB5"/>
    <w:rsid w:val="0054713F"/>
    <w:rsid w:val="005473A1"/>
    <w:rsid w:val="0054761D"/>
    <w:rsid w:val="00547713"/>
    <w:rsid w:val="005477C8"/>
    <w:rsid w:val="00547B69"/>
    <w:rsid w:val="00547C2B"/>
    <w:rsid w:val="00547DA7"/>
    <w:rsid w:val="00547E99"/>
    <w:rsid w:val="00547F03"/>
    <w:rsid w:val="0055002E"/>
    <w:rsid w:val="00550253"/>
    <w:rsid w:val="0055028C"/>
    <w:rsid w:val="00550374"/>
    <w:rsid w:val="005505AF"/>
    <w:rsid w:val="005509A0"/>
    <w:rsid w:val="00550ABA"/>
    <w:rsid w:val="00550F3F"/>
    <w:rsid w:val="00551186"/>
    <w:rsid w:val="0055142E"/>
    <w:rsid w:val="0055143C"/>
    <w:rsid w:val="0055166A"/>
    <w:rsid w:val="005516C8"/>
    <w:rsid w:val="0055178C"/>
    <w:rsid w:val="005517CE"/>
    <w:rsid w:val="005518A2"/>
    <w:rsid w:val="00551B5F"/>
    <w:rsid w:val="00551DA2"/>
    <w:rsid w:val="00551EEC"/>
    <w:rsid w:val="00552134"/>
    <w:rsid w:val="005522E9"/>
    <w:rsid w:val="00552772"/>
    <w:rsid w:val="00552862"/>
    <w:rsid w:val="005528D9"/>
    <w:rsid w:val="005529CA"/>
    <w:rsid w:val="00552A18"/>
    <w:rsid w:val="00552A53"/>
    <w:rsid w:val="00552B1E"/>
    <w:rsid w:val="00552C21"/>
    <w:rsid w:val="00552D9E"/>
    <w:rsid w:val="00552F30"/>
    <w:rsid w:val="0055341D"/>
    <w:rsid w:val="005536DE"/>
    <w:rsid w:val="00553744"/>
    <w:rsid w:val="00553771"/>
    <w:rsid w:val="00553B73"/>
    <w:rsid w:val="00553F3B"/>
    <w:rsid w:val="005543BE"/>
    <w:rsid w:val="005545DA"/>
    <w:rsid w:val="0055493B"/>
    <w:rsid w:val="005549CB"/>
    <w:rsid w:val="00554B20"/>
    <w:rsid w:val="00554BF3"/>
    <w:rsid w:val="00554C37"/>
    <w:rsid w:val="00554DB0"/>
    <w:rsid w:val="00555443"/>
    <w:rsid w:val="0055546B"/>
    <w:rsid w:val="0055575E"/>
    <w:rsid w:val="005557C7"/>
    <w:rsid w:val="005558EB"/>
    <w:rsid w:val="00555BB2"/>
    <w:rsid w:val="00555FA2"/>
    <w:rsid w:val="005563BF"/>
    <w:rsid w:val="0055643A"/>
    <w:rsid w:val="005567F1"/>
    <w:rsid w:val="00556C1B"/>
    <w:rsid w:val="00556DA6"/>
    <w:rsid w:val="00556E7E"/>
    <w:rsid w:val="00557413"/>
    <w:rsid w:val="00557605"/>
    <w:rsid w:val="00557615"/>
    <w:rsid w:val="00557771"/>
    <w:rsid w:val="005577EC"/>
    <w:rsid w:val="00557C8E"/>
    <w:rsid w:val="00557D93"/>
    <w:rsid w:val="00560046"/>
    <w:rsid w:val="00560131"/>
    <w:rsid w:val="00560245"/>
    <w:rsid w:val="00560328"/>
    <w:rsid w:val="00560329"/>
    <w:rsid w:val="00560347"/>
    <w:rsid w:val="00560837"/>
    <w:rsid w:val="005609F8"/>
    <w:rsid w:val="00560A7F"/>
    <w:rsid w:val="00560C49"/>
    <w:rsid w:val="00560F3C"/>
    <w:rsid w:val="00560FBA"/>
    <w:rsid w:val="00561132"/>
    <w:rsid w:val="0056118E"/>
    <w:rsid w:val="00561195"/>
    <w:rsid w:val="005614E0"/>
    <w:rsid w:val="00561581"/>
    <w:rsid w:val="00561720"/>
    <w:rsid w:val="00561892"/>
    <w:rsid w:val="005618A7"/>
    <w:rsid w:val="00561922"/>
    <w:rsid w:val="00561957"/>
    <w:rsid w:val="00561BA3"/>
    <w:rsid w:val="00561CFF"/>
    <w:rsid w:val="00561DF1"/>
    <w:rsid w:val="00561ED6"/>
    <w:rsid w:val="005620F9"/>
    <w:rsid w:val="00562210"/>
    <w:rsid w:val="00562311"/>
    <w:rsid w:val="005625A5"/>
    <w:rsid w:val="005627F9"/>
    <w:rsid w:val="00562859"/>
    <w:rsid w:val="00562872"/>
    <w:rsid w:val="00562998"/>
    <w:rsid w:val="00562AE3"/>
    <w:rsid w:val="00562B0D"/>
    <w:rsid w:val="00562B9F"/>
    <w:rsid w:val="00562C5B"/>
    <w:rsid w:val="00562FC6"/>
    <w:rsid w:val="00563091"/>
    <w:rsid w:val="005639A1"/>
    <w:rsid w:val="00563A46"/>
    <w:rsid w:val="00563AF0"/>
    <w:rsid w:val="00563EF8"/>
    <w:rsid w:val="00564033"/>
    <w:rsid w:val="0056445A"/>
    <w:rsid w:val="0056482A"/>
    <w:rsid w:val="00564947"/>
    <w:rsid w:val="00564B23"/>
    <w:rsid w:val="00564B26"/>
    <w:rsid w:val="00564D74"/>
    <w:rsid w:val="00564E7C"/>
    <w:rsid w:val="00564ED2"/>
    <w:rsid w:val="00565051"/>
    <w:rsid w:val="005651D9"/>
    <w:rsid w:val="005657B3"/>
    <w:rsid w:val="00565893"/>
    <w:rsid w:val="00565986"/>
    <w:rsid w:val="00565A46"/>
    <w:rsid w:val="00565E3E"/>
    <w:rsid w:val="0056679B"/>
    <w:rsid w:val="005669A8"/>
    <w:rsid w:val="00566B35"/>
    <w:rsid w:val="00566C7F"/>
    <w:rsid w:val="00566DBF"/>
    <w:rsid w:val="00566DC8"/>
    <w:rsid w:val="00566FE5"/>
    <w:rsid w:val="00566FF8"/>
    <w:rsid w:val="00567119"/>
    <w:rsid w:val="0056716A"/>
    <w:rsid w:val="005674CB"/>
    <w:rsid w:val="00567904"/>
    <w:rsid w:val="00567950"/>
    <w:rsid w:val="00567C95"/>
    <w:rsid w:val="00567EA0"/>
    <w:rsid w:val="005703E0"/>
    <w:rsid w:val="005705E0"/>
    <w:rsid w:val="00570A1B"/>
    <w:rsid w:val="00570B78"/>
    <w:rsid w:val="00570BAB"/>
    <w:rsid w:val="00570C46"/>
    <w:rsid w:val="00570E13"/>
    <w:rsid w:val="00570FCE"/>
    <w:rsid w:val="00571370"/>
    <w:rsid w:val="00571375"/>
    <w:rsid w:val="005715CE"/>
    <w:rsid w:val="00571851"/>
    <w:rsid w:val="00571886"/>
    <w:rsid w:val="005719C6"/>
    <w:rsid w:val="005719F5"/>
    <w:rsid w:val="00571A21"/>
    <w:rsid w:val="00571B5B"/>
    <w:rsid w:val="0057228F"/>
    <w:rsid w:val="00572482"/>
    <w:rsid w:val="00572539"/>
    <w:rsid w:val="005726FF"/>
    <w:rsid w:val="00572939"/>
    <w:rsid w:val="005729F1"/>
    <w:rsid w:val="00572B01"/>
    <w:rsid w:val="00572B1F"/>
    <w:rsid w:val="00572BD0"/>
    <w:rsid w:val="00572ED9"/>
    <w:rsid w:val="00572F41"/>
    <w:rsid w:val="00573497"/>
    <w:rsid w:val="0057353D"/>
    <w:rsid w:val="00573582"/>
    <w:rsid w:val="00573812"/>
    <w:rsid w:val="00573930"/>
    <w:rsid w:val="00573B67"/>
    <w:rsid w:val="00573B7B"/>
    <w:rsid w:val="00573BCA"/>
    <w:rsid w:val="00573E43"/>
    <w:rsid w:val="005740E2"/>
    <w:rsid w:val="00574154"/>
    <w:rsid w:val="0057451A"/>
    <w:rsid w:val="00574547"/>
    <w:rsid w:val="00574749"/>
    <w:rsid w:val="005747B2"/>
    <w:rsid w:val="00574ABF"/>
    <w:rsid w:val="00574B92"/>
    <w:rsid w:val="00574C2F"/>
    <w:rsid w:val="00574D28"/>
    <w:rsid w:val="005752DA"/>
    <w:rsid w:val="0057545E"/>
    <w:rsid w:val="005756D5"/>
    <w:rsid w:val="00575738"/>
    <w:rsid w:val="005758B1"/>
    <w:rsid w:val="005759A4"/>
    <w:rsid w:val="00575ADD"/>
    <w:rsid w:val="00575B27"/>
    <w:rsid w:val="00575C3C"/>
    <w:rsid w:val="00575C54"/>
    <w:rsid w:val="0057620E"/>
    <w:rsid w:val="0057636C"/>
    <w:rsid w:val="005767CA"/>
    <w:rsid w:val="00576B9F"/>
    <w:rsid w:val="00576C1B"/>
    <w:rsid w:val="00576CB8"/>
    <w:rsid w:val="00576CB9"/>
    <w:rsid w:val="00576CDC"/>
    <w:rsid w:val="00576D53"/>
    <w:rsid w:val="00576DA3"/>
    <w:rsid w:val="00576F36"/>
    <w:rsid w:val="00576FC4"/>
    <w:rsid w:val="00577031"/>
    <w:rsid w:val="0057730B"/>
    <w:rsid w:val="005775E9"/>
    <w:rsid w:val="00577811"/>
    <w:rsid w:val="00577900"/>
    <w:rsid w:val="00577BFD"/>
    <w:rsid w:val="00577CFC"/>
    <w:rsid w:val="00577DFF"/>
    <w:rsid w:val="0058007E"/>
    <w:rsid w:val="00580204"/>
    <w:rsid w:val="005802E8"/>
    <w:rsid w:val="0058068A"/>
    <w:rsid w:val="00580A3A"/>
    <w:rsid w:val="005810D8"/>
    <w:rsid w:val="005812DE"/>
    <w:rsid w:val="00581600"/>
    <w:rsid w:val="0058163E"/>
    <w:rsid w:val="00581847"/>
    <w:rsid w:val="00581C77"/>
    <w:rsid w:val="00581E34"/>
    <w:rsid w:val="00581FB7"/>
    <w:rsid w:val="00581FF5"/>
    <w:rsid w:val="00582384"/>
    <w:rsid w:val="00582466"/>
    <w:rsid w:val="00582562"/>
    <w:rsid w:val="005825F0"/>
    <w:rsid w:val="00582789"/>
    <w:rsid w:val="00582840"/>
    <w:rsid w:val="005828C7"/>
    <w:rsid w:val="00582C03"/>
    <w:rsid w:val="00582C16"/>
    <w:rsid w:val="00582C77"/>
    <w:rsid w:val="00582D7E"/>
    <w:rsid w:val="00582E50"/>
    <w:rsid w:val="00582EB0"/>
    <w:rsid w:val="00582FE7"/>
    <w:rsid w:val="00583043"/>
    <w:rsid w:val="00583044"/>
    <w:rsid w:val="00583122"/>
    <w:rsid w:val="005832AF"/>
    <w:rsid w:val="005832B2"/>
    <w:rsid w:val="0058334E"/>
    <w:rsid w:val="0058337B"/>
    <w:rsid w:val="005834C3"/>
    <w:rsid w:val="00583511"/>
    <w:rsid w:val="00583784"/>
    <w:rsid w:val="0058394D"/>
    <w:rsid w:val="00583980"/>
    <w:rsid w:val="00583AAB"/>
    <w:rsid w:val="00583B9F"/>
    <w:rsid w:val="00583C4B"/>
    <w:rsid w:val="00583DFC"/>
    <w:rsid w:val="0058405C"/>
    <w:rsid w:val="0058415F"/>
    <w:rsid w:val="005841BB"/>
    <w:rsid w:val="00584233"/>
    <w:rsid w:val="005847EC"/>
    <w:rsid w:val="00584869"/>
    <w:rsid w:val="00584922"/>
    <w:rsid w:val="00584BBD"/>
    <w:rsid w:val="0058501C"/>
    <w:rsid w:val="00585070"/>
    <w:rsid w:val="00585476"/>
    <w:rsid w:val="00585676"/>
    <w:rsid w:val="00585A22"/>
    <w:rsid w:val="00585A39"/>
    <w:rsid w:val="00585A90"/>
    <w:rsid w:val="00585B0D"/>
    <w:rsid w:val="00585FF5"/>
    <w:rsid w:val="005860EF"/>
    <w:rsid w:val="00586201"/>
    <w:rsid w:val="00586287"/>
    <w:rsid w:val="005863F3"/>
    <w:rsid w:val="00586651"/>
    <w:rsid w:val="0058674D"/>
    <w:rsid w:val="00586ADA"/>
    <w:rsid w:val="00586B84"/>
    <w:rsid w:val="00586D10"/>
    <w:rsid w:val="00586E5C"/>
    <w:rsid w:val="00586F75"/>
    <w:rsid w:val="0058720B"/>
    <w:rsid w:val="0058749E"/>
    <w:rsid w:val="005874EE"/>
    <w:rsid w:val="00587557"/>
    <w:rsid w:val="0058757B"/>
    <w:rsid w:val="005875BB"/>
    <w:rsid w:val="00587722"/>
    <w:rsid w:val="00587843"/>
    <w:rsid w:val="00587890"/>
    <w:rsid w:val="005879C6"/>
    <w:rsid w:val="00587A3A"/>
    <w:rsid w:val="00587A56"/>
    <w:rsid w:val="00587A87"/>
    <w:rsid w:val="00587D57"/>
    <w:rsid w:val="0059000C"/>
    <w:rsid w:val="005900FA"/>
    <w:rsid w:val="00590178"/>
    <w:rsid w:val="005901C4"/>
    <w:rsid w:val="005905AB"/>
    <w:rsid w:val="005905BC"/>
    <w:rsid w:val="005907AC"/>
    <w:rsid w:val="005908AE"/>
    <w:rsid w:val="00590AA3"/>
    <w:rsid w:val="00590FA5"/>
    <w:rsid w:val="005911AC"/>
    <w:rsid w:val="005916DB"/>
    <w:rsid w:val="0059171F"/>
    <w:rsid w:val="00591AB2"/>
    <w:rsid w:val="005920AD"/>
    <w:rsid w:val="005924CC"/>
    <w:rsid w:val="00592681"/>
    <w:rsid w:val="00592959"/>
    <w:rsid w:val="00592987"/>
    <w:rsid w:val="00592A5A"/>
    <w:rsid w:val="00592A62"/>
    <w:rsid w:val="00592AB4"/>
    <w:rsid w:val="00592B9C"/>
    <w:rsid w:val="00592D94"/>
    <w:rsid w:val="00592F29"/>
    <w:rsid w:val="005931E2"/>
    <w:rsid w:val="0059349D"/>
    <w:rsid w:val="005934E5"/>
    <w:rsid w:val="0059352E"/>
    <w:rsid w:val="005935EA"/>
    <w:rsid w:val="0059364D"/>
    <w:rsid w:val="00593705"/>
    <w:rsid w:val="00593768"/>
    <w:rsid w:val="00593B45"/>
    <w:rsid w:val="00593E0F"/>
    <w:rsid w:val="00594227"/>
    <w:rsid w:val="00594231"/>
    <w:rsid w:val="005943B1"/>
    <w:rsid w:val="005944DE"/>
    <w:rsid w:val="005945FF"/>
    <w:rsid w:val="00594D5A"/>
    <w:rsid w:val="00594DD3"/>
    <w:rsid w:val="00594DDA"/>
    <w:rsid w:val="00594E48"/>
    <w:rsid w:val="00594E60"/>
    <w:rsid w:val="0059503F"/>
    <w:rsid w:val="00595089"/>
    <w:rsid w:val="005950B8"/>
    <w:rsid w:val="00595105"/>
    <w:rsid w:val="00595144"/>
    <w:rsid w:val="005951B2"/>
    <w:rsid w:val="00595213"/>
    <w:rsid w:val="0059532E"/>
    <w:rsid w:val="00595409"/>
    <w:rsid w:val="00595427"/>
    <w:rsid w:val="005956A6"/>
    <w:rsid w:val="00595983"/>
    <w:rsid w:val="00595AF0"/>
    <w:rsid w:val="00595BBE"/>
    <w:rsid w:val="00595D4F"/>
    <w:rsid w:val="0059602F"/>
    <w:rsid w:val="005960A3"/>
    <w:rsid w:val="00596182"/>
    <w:rsid w:val="00596436"/>
    <w:rsid w:val="00596469"/>
    <w:rsid w:val="005968BB"/>
    <w:rsid w:val="00596912"/>
    <w:rsid w:val="00597013"/>
    <w:rsid w:val="0059729C"/>
    <w:rsid w:val="005975F9"/>
    <w:rsid w:val="005976A0"/>
    <w:rsid w:val="005976B2"/>
    <w:rsid w:val="005979B9"/>
    <w:rsid w:val="005979BC"/>
    <w:rsid w:val="00597AE0"/>
    <w:rsid w:val="00597C1A"/>
    <w:rsid w:val="00597D09"/>
    <w:rsid w:val="00597D33"/>
    <w:rsid w:val="005A007E"/>
    <w:rsid w:val="005A0104"/>
    <w:rsid w:val="005A02CB"/>
    <w:rsid w:val="005A0337"/>
    <w:rsid w:val="005A0360"/>
    <w:rsid w:val="005A0596"/>
    <w:rsid w:val="005A0967"/>
    <w:rsid w:val="005A0A48"/>
    <w:rsid w:val="005A0B07"/>
    <w:rsid w:val="005A0B25"/>
    <w:rsid w:val="005A0B49"/>
    <w:rsid w:val="005A0D75"/>
    <w:rsid w:val="005A0EE4"/>
    <w:rsid w:val="005A1011"/>
    <w:rsid w:val="005A10A6"/>
    <w:rsid w:val="005A13B5"/>
    <w:rsid w:val="005A15FF"/>
    <w:rsid w:val="005A1774"/>
    <w:rsid w:val="005A178E"/>
    <w:rsid w:val="005A1846"/>
    <w:rsid w:val="005A19A4"/>
    <w:rsid w:val="005A19D5"/>
    <w:rsid w:val="005A19F6"/>
    <w:rsid w:val="005A1AD6"/>
    <w:rsid w:val="005A1C2B"/>
    <w:rsid w:val="005A1E2E"/>
    <w:rsid w:val="005A1E9F"/>
    <w:rsid w:val="005A1F7A"/>
    <w:rsid w:val="005A1FD7"/>
    <w:rsid w:val="005A2130"/>
    <w:rsid w:val="005A234E"/>
    <w:rsid w:val="005A2494"/>
    <w:rsid w:val="005A28DC"/>
    <w:rsid w:val="005A2AAF"/>
    <w:rsid w:val="005A2C99"/>
    <w:rsid w:val="005A2CAC"/>
    <w:rsid w:val="005A2D65"/>
    <w:rsid w:val="005A316C"/>
    <w:rsid w:val="005A31A0"/>
    <w:rsid w:val="005A3203"/>
    <w:rsid w:val="005A322E"/>
    <w:rsid w:val="005A350A"/>
    <w:rsid w:val="005A358E"/>
    <w:rsid w:val="005A35E0"/>
    <w:rsid w:val="005A3739"/>
    <w:rsid w:val="005A387F"/>
    <w:rsid w:val="005A38F0"/>
    <w:rsid w:val="005A3AFA"/>
    <w:rsid w:val="005A3BAF"/>
    <w:rsid w:val="005A3DE4"/>
    <w:rsid w:val="005A4008"/>
    <w:rsid w:val="005A4026"/>
    <w:rsid w:val="005A43E3"/>
    <w:rsid w:val="005A4417"/>
    <w:rsid w:val="005A453F"/>
    <w:rsid w:val="005A4635"/>
    <w:rsid w:val="005A469D"/>
    <w:rsid w:val="005A46B3"/>
    <w:rsid w:val="005A4703"/>
    <w:rsid w:val="005A4B50"/>
    <w:rsid w:val="005A4B66"/>
    <w:rsid w:val="005A4DD6"/>
    <w:rsid w:val="005A4E91"/>
    <w:rsid w:val="005A4ED7"/>
    <w:rsid w:val="005A50AF"/>
    <w:rsid w:val="005A532B"/>
    <w:rsid w:val="005A5422"/>
    <w:rsid w:val="005A546A"/>
    <w:rsid w:val="005A5741"/>
    <w:rsid w:val="005A57E2"/>
    <w:rsid w:val="005A5E11"/>
    <w:rsid w:val="005A5F69"/>
    <w:rsid w:val="005A6361"/>
    <w:rsid w:val="005A6570"/>
    <w:rsid w:val="005A65D3"/>
    <w:rsid w:val="005A68B8"/>
    <w:rsid w:val="005A6DD9"/>
    <w:rsid w:val="005A6EFF"/>
    <w:rsid w:val="005A6FE3"/>
    <w:rsid w:val="005A6FF0"/>
    <w:rsid w:val="005A7040"/>
    <w:rsid w:val="005A709A"/>
    <w:rsid w:val="005A7362"/>
    <w:rsid w:val="005A7684"/>
    <w:rsid w:val="005A769F"/>
    <w:rsid w:val="005A76DF"/>
    <w:rsid w:val="005A784F"/>
    <w:rsid w:val="005A78A5"/>
    <w:rsid w:val="005A78FF"/>
    <w:rsid w:val="005A7B66"/>
    <w:rsid w:val="005A7C4F"/>
    <w:rsid w:val="005A7CD0"/>
    <w:rsid w:val="005A7D7D"/>
    <w:rsid w:val="005A7E98"/>
    <w:rsid w:val="005A7F9C"/>
    <w:rsid w:val="005B01B2"/>
    <w:rsid w:val="005B01C2"/>
    <w:rsid w:val="005B03C9"/>
    <w:rsid w:val="005B0456"/>
    <w:rsid w:val="005B04F6"/>
    <w:rsid w:val="005B08D1"/>
    <w:rsid w:val="005B0A3D"/>
    <w:rsid w:val="005B0C1D"/>
    <w:rsid w:val="005B0CED"/>
    <w:rsid w:val="005B0D08"/>
    <w:rsid w:val="005B14D2"/>
    <w:rsid w:val="005B14D3"/>
    <w:rsid w:val="005B1794"/>
    <w:rsid w:val="005B17BB"/>
    <w:rsid w:val="005B186F"/>
    <w:rsid w:val="005B1A61"/>
    <w:rsid w:val="005B1B21"/>
    <w:rsid w:val="005B1FC5"/>
    <w:rsid w:val="005B2244"/>
    <w:rsid w:val="005B27C9"/>
    <w:rsid w:val="005B2902"/>
    <w:rsid w:val="005B2B7E"/>
    <w:rsid w:val="005B2CF7"/>
    <w:rsid w:val="005B2E85"/>
    <w:rsid w:val="005B2EA0"/>
    <w:rsid w:val="005B2F86"/>
    <w:rsid w:val="005B3026"/>
    <w:rsid w:val="005B339C"/>
    <w:rsid w:val="005B34D2"/>
    <w:rsid w:val="005B3684"/>
    <w:rsid w:val="005B3692"/>
    <w:rsid w:val="005B36D2"/>
    <w:rsid w:val="005B37DC"/>
    <w:rsid w:val="005B3B20"/>
    <w:rsid w:val="005B3C6D"/>
    <w:rsid w:val="005B3D42"/>
    <w:rsid w:val="005B3D54"/>
    <w:rsid w:val="005B3F59"/>
    <w:rsid w:val="005B453E"/>
    <w:rsid w:val="005B484E"/>
    <w:rsid w:val="005B4AE8"/>
    <w:rsid w:val="005B4DE7"/>
    <w:rsid w:val="005B4F2F"/>
    <w:rsid w:val="005B4F44"/>
    <w:rsid w:val="005B5670"/>
    <w:rsid w:val="005B5683"/>
    <w:rsid w:val="005B5802"/>
    <w:rsid w:val="005B5951"/>
    <w:rsid w:val="005B5A06"/>
    <w:rsid w:val="005B5C4B"/>
    <w:rsid w:val="005B5CE4"/>
    <w:rsid w:val="005B6107"/>
    <w:rsid w:val="005B642B"/>
    <w:rsid w:val="005B65F4"/>
    <w:rsid w:val="005B664E"/>
    <w:rsid w:val="005B698B"/>
    <w:rsid w:val="005B6CF7"/>
    <w:rsid w:val="005B6FC7"/>
    <w:rsid w:val="005B6FFA"/>
    <w:rsid w:val="005B7055"/>
    <w:rsid w:val="005B708D"/>
    <w:rsid w:val="005B714F"/>
    <w:rsid w:val="005B71CD"/>
    <w:rsid w:val="005B7243"/>
    <w:rsid w:val="005B7245"/>
    <w:rsid w:val="005B7323"/>
    <w:rsid w:val="005B74F5"/>
    <w:rsid w:val="005B75E0"/>
    <w:rsid w:val="005B76EE"/>
    <w:rsid w:val="005B7B80"/>
    <w:rsid w:val="005B7DA7"/>
    <w:rsid w:val="005B7FEF"/>
    <w:rsid w:val="005C0104"/>
    <w:rsid w:val="005C0190"/>
    <w:rsid w:val="005C030F"/>
    <w:rsid w:val="005C031C"/>
    <w:rsid w:val="005C0360"/>
    <w:rsid w:val="005C03EF"/>
    <w:rsid w:val="005C0552"/>
    <w:rsid w:val="005C0644"/>
    <w:rsid w:val="005C0893"/>
    <w:rsid w:val="005C08EA"/>
    <w:rsid w:val="005C0A3A"/>
    <w:rsid w:val="005C0C09"/>
    <w:rsid w:val="005C0CEF"/>
    <w:rsid w:val="005C14E4"/>
    <w:rsid w:val="005C159E"/>
    <w:rsid w:val="005C1655"/>
    <w:rsid w:val="005C188D"/>
    <w:rsid w:val="005C18D0"/>
    <w:rsid w:val="005C1942"/>
    <w:rsid w:val="005C1A06"/>
    <w:rsid w:val="005C1A2D"/>
    <w:rsid w:val="005C1BA7"/>
    <w:rsid w:val="005C1D83"/>
    <w:rsid w:val="005C2005"/>
    <w:rsid w:val="005C23FD"/>
    <w:rsid w:val="005C27BD"/>
    <w:rsid w:val="005C2952"/>
    <w:rsid w:val="005C2A60"/>
    <w:rsid w:val="005C2B33"/>
    <w:rsid w:val="005C2B52"/>
    <w:rsid w:val="005C2C5B"/>
    <w:rsid w:val="005C2FAD"/>
    <w:rsid w:val="005C32D1"/>
    <w:rsid w:val="005C3322"/>
    <w:rsid w:val="005C348D"/>
    <w:rsid w:val="005C3582"/>
    <w:rsid w:val="005C35AD"/>
    <w:rsid w:val="005C35C0"/>
    <w:rsid w:val="005C3764"/>
    <w:rsid w:val="005C37A3"/>
    <w:rsid w:val="005C381F"/>
    <w:rsid w:val="005C387B"/>
    <w:rsid w:val="005C3881"/>
    <w:rsid w:val="005C388A"/>
    <w:rsid w:val="005C38FE"/>
    <w:rsid w:val="005C3950"/>
    <w:rsid w:val="005C3B84"/>
    <w:rsid w:val="005C3D0F"/>
    <w:rsid w:val="005C3D89"/>
    <w:rsid w:val="005C3FF0"/>
    <w:rsid w:val="005C40AA"/>
    <w:rsid w:val="005C42A2"/>
    <w:rsid w:val="005C44EA"/>
    <w:rsid w:val="005C4574"/>
    <w:rsid w:val="005C4614"/>
    <w:rsid w:val="005C4784"/>
    <w:rsid w:val="005C4DF0"/>
    <w:rsid w:val="005C4F4D"/>
    <w:rsid w:val="005C4F82"/>
    <w:rsid w:val="005C50EA"/>
    <w:rsid w:val="005C5448"/>
    <w:rsid w:val="005C562B"/>
    <w:rsid w:val="005C56B6"/>
    <w:rsid w:val="005C5A5C"/>
    <w:rsid w:val="005C5BDA"/>
    <w:rsid w:val="005C5C15"/>
    <w:rsid w:val="005C5EEF"/>
    <w:rsid w:val="005C6084"/>
    <w:rsid w:val="005C634B"/>
    <w:rsid w:val="005C640F"/>
    <w:rsid w:val="005C64F3"/>
    <w:rsid w:val="005C6617"/>
    <w:rsid w:val="005C66FA"/>
    <w:rsid w:val="005C66FD"/>
    <w:rsid w:val="005C67FF"/>
    <w:rsid w:val="005C68E2"/>
    <w:rsid w:val="005C68ED"/>
    <w:rsid w:val="005C6960"/>
    <w:rsid w:val="005C69CE"/>
    <w:rsid w:val="005C6BEA"/>
    <w:rsid w:val="005C6C43"/>
    <w:rsid w:val="005C6D6F"/>
    <w:rsid w:val="005C6EBA"/>
    <w:rsid w:val="005C72C4"/>
    <w:rsid w:val="005C746C"/>
    <w:rsid w:val="005C759D"/>
    <w:rsid w:val="005C75D6"/>
    <w:rsid w:val="005C7ACC"/>
    <w:rsid w:val="005C7AFE"/>
    <w:rsid w:val="005C7B33"/>
    <w:rsid w:val="005C7B7D"/>
    <w:rsid w:val="005C7C15"/>
    <w:rsid w:val="005C7C8B"/>
    <w:rsid w:val="005C7DD7"/>
    <w:rsid w:val="005D0009"/>
    <w:rsid w:val="005D0032"/>
    <w:rsid w:val="005D0045"/>
    <w:rsid w:val="005D01DD"/>
    <w:rsid w:val="005D05E7"/>
    <w:rsid w:val="005D06BF"/>
    <w:rsid w:val="005D07C3"/>
    <w:rsid w:val="005D097F"/>
    <w:rsid w:val="005D0A5A"/>
    <w:rsid w:val="005D0B16"/>
    <w:rsid w:val="005D0B1B"/>
    <w:rsid w:val="005D0CB8"/>
    <w:rsid w:val="005D0D1A"/>
    <w:rsid w:val="005D0D65"/>
    <w:rsid w:val="005D0D86"/>
    <w:rsid w:val="005D0E8F"/>
    <w:rsid w:val="005D0FE6"/>
    <w:rsid w:val="005D1829"/>
    <w:rsid w:val="005D1C00"/>
    <w:rsid w:val="005D1C87"/>
    <w:rsid w:val="005D1EF5"/>
    <w:rsid w:val="005D1F0F"/>
    <w:rsid w:val="005D1F5F"/>
    <w:rsid w:val="005D2019"/>
    <w:rsid w:val="005D20A1"/>
    <w:rsid w:val="005D2145"/>
    <w:rsid w:val="005D21D2"/>
    <w:rsid w:val="005D22E0"/>
    <w:rsid w:val="005D2344"/>
    <w:rsid w:val="005D24C5"/>
    <w:rsid w:val="005D2617"/>
    <w:rsid w:val="005D262E"/>
    <w:rsid w:val="005D2635"/>
    <w:rsid w:val="005D28DC"/>
    <w:rsid w:val="005D2924"/>
    <w:rsid w:val="005D2974"/>
    <w:rsid w:val="005D29BA"/>
    <w:rsid w:val="005D2C5B"/>
    <w:rsid w:val="005D2D5D"/>
    <w:rsid w:val="005D2D77"/>
    <w:rsid w:val="005D2D8D"/>
    <w:rsid w:val="005D2E53"/>
    <w:rsid w:val="005D2EC4"/>
    <w:rsid w:val="005D30C5"/>
    <w:rsid w:val="005D30D2"/>
    <w:rsid w:val="005D3129"/>
    <w:rsid w:val="005D32C5"/>
    <w:rsid w:val="005D3372"/>
    <w:rsid w:val="005D3391"/>
    <w:rsid w:val="005D34AA"/>
    <w:rsid w:val="005D37B5"/>
    <w:rsid w:val="005D3B1F"/>
    <w:rsid w:val="005D3E6C"/>
    <w:rsid w:val="005D4015"/>
    <w:rsid w:val="005D448D"/>
    <w:rsid w:val="005D46D8"/>
    <w:rsid w:val="005D4782"/>
    <w:rsid w:val="005D4789"/>
    <w:rsid w:val="005D478D"/>
    <w:rsid w:val="005D4B9E"/>
    <w:rsid w:val="005D4CD7"/>
    <w:rsid w:val="005D5026"/>
    <w:rsid w:val="005D5149"/>
    <w:rsid w:val="005D5305"/>
    <w:rsid w:val="005D5558"/>
    <w:rsid w:val="005D57B0"/>
    <w:rsid w:val="005D58E4"/>
    <w:rsid w:val="005D5B02"/>
    <w:rsid w:val="005D5C38"/>
    <w:rsid w:val="005D5C8F"/>
    <w:rsid w:val="005D6002"/>
    <w:rsid w:val="005D613F"/>
    <w:rsid w:val="005D6189"/>
    <w:rsid w:val="005D656E"/>
    <w:rsid w:val="005D65D7"/>
    <w:rsid w:val="005D6677"/>
    <w:rsid w:val="005D66E9"/>
    <w:rsid w:val="005D677E"/>
    <w:rsid w:val="005D696C"/>
    <w:rsid w:val="005D6993"/>
    <w:rsid w:val="005D6B2E"/>
    <w:rsid w:val="005D6B8C"/>
    <w:rsid w:val="005D6D4E"/>
    <w:rsid w:val="005D6DF8"/>
    <w:rsid w:val="005D6EF6"/>
    <w:rsid w:val="005D7317"/>
    <w:rsid w:val="005D73BA"/>
    <w:rsid w:val="005D73FB"/>
    <w:rsid w:val="005D7436"/>
    <w:rsid w:val="005D74C1"/>
    <w:rsid w:val="005D75DA"/>
    <w:rsid w:val="005D770C"/>
    <w:rsid w:val="005D78BB"/>
    <w:rsid w:val="005D7CCE"/>
    <w:rsid w:val="005D7EC1"/>
    <w:rsid w:val="005D7F81"/>
    <w:rsid w:val="005E019A"/>
    <w:rsid w:val="005E02CC"/>
    <w:rsid w:val="005E0354"/>
    <w:rsid w:val="005E037C"/>
    <w:rsid w:val="005E0D6D"/>
    <w:rsid w:val="005E0DE2"/>
    <w:rsid w:val="005E0E45"/>
    <w:rsid w:val="005E0F27"/>
    <w:rsid w:val="005E0FF7"/>
    <w:rsid w:val="005E0FFC"/>
    <w:rsid w:val="005E1078"/>
    <w:rsid w:val="005E125C"/>
    <w:rsid w:val="005E14F9"/>
    <w:rsid w:val="005E1990"/>
    <w:rsid w:val="005E1C3F"/>
    <w:rsid w:val="005E1D2A"/>
    <w:rsid w:val="005E1D6F"/>
    <w:rsid w:val="005E201F"/>
    <w:rsid w:val="005E21C0"/>
    <w:rsid w:val="005E22DF"/>
    <w:rsid w:val="005E23E0"/>
    <w:rsid w:val="005E24A1"/>
    <w:rsid w:val="005E265F"/>
    <w:rsid w:val="005E26CC"/>
    <w:rsid w:val="005E270C"/>
    <w:rsid w:val="005E279A"/>
    <w:rsid w:val="005E2A61"/>
    <w:rsid w:val="005E2DEA"/>
    <w:rsid w:val="005E2F04"/>
    <w:rsid w:val="005E2FF1"/>
    <w:rsid w:val="005E2FF7"/>
    <w:rsid w:val="005E300A"/>
    <w:rsid w:val="005E309C"/>
    <w:rsid w:val="005E3201"/>
    <w:rsid w:val="005E3289"/>
    <w:rsid w:val="005E32A6"/>
    <w:rsid w:val="005E32CC"/>
    <w:rsid w:val="005E337A"/>
    <w:rsid w:val="005E34CA"/>
    <w:rsid w:val="005E363A"/>
    <w:rsid w:val="005E3CCB"/>
    <w:rsid w:val="005E3D5A"/>
    <w:rsid w:val="005E4074"/>
    <w:rsid w:val="005E4312"/>
    <w:rsid w:val="005E4967"/>
    <w:rsid w:val="005E4B22"/>
    <w:rsid w:val="005E50CC"/>
    <w:rsid w:val="005E50DE"/>
    <w:rsid w:val="005E5307"/>
    <w:rsid w:val="005E540C"/>
    <w:rsid w:val="005E541D"/>
    <w:rsid w:val="005E59A9"/>
    <w:rsid w:val="005E5ADC"/>
    <w:rsid w:val="005E5B71"/>
    <w:rsid w:val="005E5E35"/>
    <w:rsid w:val="005E5E38"/>
    <w:rsid w:val="005E6324"/>
    <w:rsid w:val="005E6491"/>
    <w:rsid w:val="005E66CC"/>
    <w:rsid w:val="005E6ADA"/>
    <w:rsid w:val="005E6BDC"/>
    <w:rsid w:val="005E7154"/>
    <w:rsid w:val="005E746B"/>
    <w:rsid w:val="005E7496"/>
    <w:rsid w:val="005E767B"/>
    <w:rsid w:val="005E76DB"/>
    <w:rsid w:val="005E778B"/>
    <w:rsid w:val="005E7902"/>
    <w:rsid w:val="005E7A00"/>
    <w:rsid w:val="005F00F1"/>
    <w:rsid w:val="005F00FA"/>
    <w:rsid w:val="005F03FD"/>
    <w:rsid w:val="005F0429"/>
    <w:rsid w:val="005F0447"/>
    <w:rsid w:val="005F044B"/>
    <w:rsid w:val="005F0D7F"/>
    <w:rsid w:val="005F0FBE"/>
    <w:rsid w:val="005F119E"/>
    <w:rsid w:val="005F126B"/>
    <w:rsid w:val="005F1282"/>
    <w:rsid w:val="005F12D2"/>
    <w:rsid w:val="005F15C9"/>
    <w:rsid w:val="005F16BA"/>
    <w:rsid w:val="005F1A42"/>
    <w:rsid w:val="005F1B07"/>
    <w:rsid w:val="005F1E3D"/>
    <w:rsid w:val="005F1E44"/>
    <w:rsid w:val="005F25F1"/>
    <w:rsid w:val="005F26AF"/>
    <w:rsid w:val="005F29C4"/>
    <w:rsid w:val="005F2B3F"/>
    <w:rsid w:val="005F3028"/>
    <w:rsid w:val="005F311C"/>
    <w:rsid w:val="005F34E5"/>
    <w:rsid w:val="005F3621"/>
    <w:rsid w:val="005F366F"/>
    <w:rsid w:val="005F36D9"/>
    <w:rsid w:val="005F3769"/>
    <w:rsid w:val="005F3D68"/>
    <w:rsid w:val="005F3DAF"/>
    <w:rsid w:val="005F3F91"/>
    <w:rsid w:val="005F40DC"/>
    <w:rsid w:val="005F4356"/>
    <w:rsid w:val="005F443A"/>
    <w:rsid w:val="005F44A5"/>
    <w:rsid w:val="005F45BA"/>
    <w:rsid w:val="005F4727"/>
    <w:rsid w:val="005F487A"/>
    <w:rsid w:val="005F490E"/>
    <w:rsid w:val="005F4BBD"/>
    <w:rsid w:val="005F4DB0"/>
    <w:rsid w:val="005F4DCD"/>
    <w:rsid w:val="005F5263"/>
    <w:rsid w:val="005F55F0"/>
    <w:rsid w:val="005F577B"/>
    <w:rsid w:val="005F57CB"/>
    <w:rsid w:val="005F5ACC"/>
    <w:rsid w:val="005F5B18"/>
    <w:rsid w:val="005F5D8A"/>
    <w:rsid w:val="005F5F7F"/>
    <w:rsid w:val="005F61CA"/>
    <w:rsid w:val="005F629B"/>
    <w:rsid w:val="005F6581"/>
    <w:rsid w:val="005F67AD"/>
    <w:rsid w:val="005F6ACD"/>
    <w:rsid w:val="005F6ADB"/>
    <w:rsid w:val="005F6C0A"/>
    <w:rsid w:val="005F6D13"/>
    <w:rsid w:val="005F7007"/>
    <w:rsid w:val="005F70A8"/>
    <w:rsid w:val="005F7319"/>
    <w:rsid w:val="005F7387"/>
    <w:rsid w:val="005F7499"/>
    <w:rsid w:val="005F75DD"/>
    <w:rsid w:val="005F782B"/>
    <w:rsid w:val="005F7881"/>
    <w:rsid w:val="005F7956"/>
    <w:rsid w:val="005F79EC"/>
    <w:rsid w:val="005F7A58"/>
    <w:rsid w:val="005F7CEE"/>
    <w:rsid w:val="005F7E10"/>
    <w:rsid w:val="005F7E17"/>
    <w:rsid w:val="005F7E23"/>
    <w:rsid w:val="005F7FB6"/>
    <w:rsid w:val="005F7FF3"/>
    <w:rsid w:val="006000DB"/>
    <w:rsid w:val="0060018E"/>
    <w:rsid w:val="0060031A"/>
    <w:rsid w:val="0060034E"/>
    <w:rsid w:val="00600367"/>
    <w:rsid w:val="006006DE"/>
    <w:rsid w:val="00600A21"/>
    <w:rsid w:val="00600B0A"/>
    <w:rsid w:val="00600DBE"/>
    <w:rsid w:val="00600EA9"/>
    <w:rsid w:val="00600EC2"/>
    <w:rsid w:val="00600FCE"/>
    <w:rsid w:val="006012F9"/>
    <w:rsid w:val="0060147E"/>
    <w:rsid w:val="0060148F"/>
    <w:rsid w:val="0060159E"/>
    <w:rsid w:val="0060161E"/>
    <w:rsid w:val="0060187B"/>
    <w:rsid w:val="0060187C"/>
    <w:rsid w:val="00601A15"/>
    <w:rsid w:val="00601A6D"/>
    <w:rsid w:val="00601AE8"/>
    <w:rsid w:val="00601FF6"/>
    <w:rsid w:val="00602002"/>
    <w:rsid w:val="006020EF"/>
    <w:rsid w:val="00602500"/>
    <w:rsid w:val="00602B49"/>
    <w:rsid w:val="00602C52"/>
    <w:rsid w:val="00602F9F"/>
    <w:rsid w:val="00603226"/>
    <w:rsid w:val="006032CD"/>
    <w:rsid w:val="006037C9"/>
    <w:rsid w:val="00603A0B"/>
    <w:rsid w:val="00603A8D"/>
    <w:rsid w:val="00603AD2"/>
    <w:rsid w:val="00603F01"/>
    <w:rsid w:val="006041D7"/>
    <w:rsid w:val="006041E0"/>
    <w:rsid w:val="0060443C"/>
    <w:rsid w:val="006045CA"/>
    <w:rsid w:val="0060464C"/>
    <w:rsid w:val="006046B1"/>
    <w:rsid w:val="00604721"/>
    <w:rsid w:val="006050AD"/>
    <w:rsid w:val="00605151"/>
    <w:rsid w:val="0060533A"/>
    <w:rsid w:val="0060566A"/>
    <w:rsid w:val="00605775"/>
    <w:rsid w:val="006058DC"/>
    <w:rsid w:val="00605B25"/>
    <w:rsid w:val="00605D44"/>
    <w:rsid w:val="00605E12"/>
    <w:rsid w:val="00605E33"/>
    <w:rsid w:val="00605F0B"/>
    <w:rsid w:val="0060610B"/>
    <w:rsid w:val="00606361"/>
    <w:rsid w:val="0060675B"/>
    <w:rsid w:val="006069F7"/>
    <w:rsid w:val="00606C5C"/>
    <w:rsid w:val="00606C7A"/>
    <w:rsid w:val="006070C0"/>
    <w:rsid w:val="006070D5"/>
    <w:rsid w:val="0060726A"/>
    <w:rsid w:val="00607322"/>
    <w:rsid w:val="00607739"/>
    <w:rsid w:val="00607832"/>
    <w:rsid w:val="00607835"/>
    <w:rsid w:val="006079A4"/>
    <w:rsid w:val="00607A71"/>
    <w:rsid w:val="00607A7F"/>
    <w:rsid w:val="00607C61"/>
    <w:rsid w:val="006101AC"/>
    <w:rsid w:val="00610203"/>
    <w:rsid w:val="0061048A"/>
    <w:rsid w:val="006106DA"/>
    <w:rsid w:val="006109F0"/>
    <w:rsid w:val="00610B88"/>
    <w:rsid w:val="00610CD2"/>
    <w:rsid w:val="00610D21"/>
    <w:rsid w:val="00610D78"/>
    <w:rsid w:val="00610F0F"/>
    <w:rsid w:val="00611274"/>
    <w:rsid w:val="006112D9"/>
    <w:rsid w:val="0061163C"/>
    <w:rsid w:val="00611678"/>
    <w:rsid w:val="006118AF"/>
    <w:rsid w:val="006118DE"/>
    <w:rsid w:val="00611CD6"/>
    <w:rsid w:val="00611CEC"/>
    <w:rsid w:val="00611D04"/>
    <w:rsid w:val="00611D70"/>
    <w:rsid w:val="00611ED3"/>
    <w:rsid w:val="00612391"/>
    <w:rsid w:val="00612625"/>
    <w:rsid w:val="006129D4"/>
    <w:rsid w:val="006129FC"/>
    <w:rsid w:val="00612A8E"/>
    <w:rsid w:val="00612A95"/>
    <w:rsid w:val="00612E84"/>
    <w:rsid w:val="00612FEE"/>
    <w:rsid w:val="00613018"/>
    <w:rsid w:val="00613103"/>
    <w:rsid w:val="006132B3"/>
    <w:rsid w:val="00613318"/>
    <w:rsid w:val="006134EB"/>
    <w:rsid w:val="00613BE6"/>
    <w:rsid w:val="00613C5E"/>
    <w:rsid w:val="00613D58"/>
    <w:rsid w:val="00613E3D"/>
    <w:rsid w:val="00613F4A"/>
    <w:rsid w:val="00613FF3"/>
    <w:rsid w:val="006140DF"/>
    <w:rsid w:val="0061413E"/>
    <w:rsid w:val="006144C6"/>
    <w:rsid w:val="006145AD"/>
    <w:rsid w:val="0061474D"/>
    <w:rsid w:val="006147E6"/>
    <w:rsid w:val="006148BE"/>
    <w:rsid w:val="00614BBA"/>
    <w:rsid w:val="00614D99"/>
    <w:rsid w:val="00614E5B"/>
    <w:rsid w:val="00614F7E"/>
    <w:rsid w:val="00614FB1"/>
    <w:rsid w:val="00614FD3"/>
    <w:rsid w:val="0061504F"/>
    <w:rsid w:val="00615375"/>
    <w:rsid w:val="006156F3"/>
    <w:rsid w:val="006157D2"/>
    <w:rsid w:val="006159A8"/>
    <w:rsid w:val="00615B3B"/>
    <w:rsid w:val="00615B3E"/>
    <w:rsid w:val="00615BAD"/>
    <w:rsid w:val="00615D30"/>
    <w:rsid w:val="00615D6E"/>
    <w:rsid w:val="00615E74"/>
    <w:rsid w:val="00616133"/>
    <w:rsid w:val="006164A5"/>
    <w:rsid w:val="00616699"/>
    <w:rsid w:val="00616772"/>
    <w:rsid w:val="00616847"/>
    <w:rsid w:val="006168F3"/>
    <w:rsid w:val="00616C91"/>
    <w:rsid w:val="00616D5A"/>
    <w:rsid w:val="00616EBA"/>
    <w:rsid w:val="00617001"/>
    <w:rsid w:val="006170D1"/>
    <w:rsid w:val="00617284"/>
    <w:rsid w:val="006172CC"/>
    <w:rsid w:val="0061731B"/>
    <w:rsid w:val="00617472"/>
    <w:rsid w:val="00617508"/>
    <w:rsid w:val="0061790B"/>
    <w:rsid w:val="00617968"/>
    <w:rsid w:val="00617B3B"/>
    <w:rsid w:val="00617CCE"/>
    <w:rsid w:val="00617D68"/>
    <w:rsid w:val="00617DAD"/>
    <w:rsid w:val="00617EC8"/>
    <w:rsid w:val="0062026D"/>
    <w:rsid w:val="0062049A"/>
    <w:rsid w:val="006205AE"/>
    <w:rsid w:val="006206CD"/>
    <w:rsid w:val="006206F9"/>
    <w:rsid w:val="00620825"/>
    <w:rsid w:val="00620A75"/>
    <w:rsid w:val="00620AB1"/>
    <w:rsid w:val="00620B97"/>
    <w:rsid w:val="00620BAC"/>
    <w:rsid w:val="00620C00"/>
    <w:rsid w:val="00620DD4"/>
    <w:rsid w:val="006212F9"/>
    <w:rsid w:val="00621309"/>
    <w:rsid w:val="0062142D"/>
    <w:rsid w:val="0062162F"/>
    <w:rsid w:val="00621757"/>
    <w:rsid w:val="006218A0"/>
    <w:rsid w:val="006218B5"/>
    <w:rsid w:val="00621B12"/>
    <w:rsid w:val="00621C89"/>
    <w:rsid w:val="00621D13"/>
    <w:rsid w:val="00621DA2"/>
    <w:rsid w:val="00621DDE"/>
    <w:rsid w:val="00621DF4"/>
    <w:rsid w:val="006220B1"/>
    <w:rsid w:val="0062211A"/>
    <w:rsid w:val="00622124"/>
    <w:rsid w:val="006224A6"/>
    <w:rsid w:val="006224F2"/>
    <w:rsid w:val="0062257E"/>
    <w:rsid w:val="0062260A"/>
    <w:rsid w:val="006227C7"/>
    <w:rsid w:val="00622845"/>
    <w:rsid w:val="00622A3F"/>
    <w:rsid w:val="00622D5B"/>
    <w:rsid w:val="00622E6E"/>
    <w:rsid w:val="00622F3F"/>
    <w:rsid w:val="0062319D"/>
    <w:rsid w:val="00623666"/>
    <w:rsid w:val="0062371A"/>
    <w:rsid w:val="00623746"/>
    <w:rsid w:val="00623E77"/>
    <w:rsid w:val="00623F6F"/>
    <w:rsid w:val="00623F84"/>
    <w:rsid w:val="006242DD"/>
    <w:rsid w:val="00624331"/>
    <w:rsid w:val="006243FF"/>
    <w:rsid w:val="0062456A"/>
    <w:rsid w:val="00624681"/>
    <w:rsid w:val="006247B1"/>
    <w:rsid w:val="006248A6"/>
    <w:rsid w:val="006249A4"/>
    <w:rsid w:val="00624A21"/>
    <w:rsid w:val="00624ABE"/>
    <w:rsid w:val="00624BBA"/>
    <w:rsid w:val="00624C45"/>
    <w:rsid w:val="00624CE3"/>
    <w:rsid w:val="00624E6E"/>
    <w:rsid w:val="00625085"/>
    <w:rsid w:val="006250D5"/>
    <w:rsid w:val="006250F6"/>
    <w:rsid w:val="0062524D"/>
    <w:rsid w:val="006252AC"/>
    <w:rsid w:val="00625372"/>
    <w:rsid w:val="00625486"/>
    <w:rsid w:val="006255DB"/>
    <w:rsid w:val="0062587C"/>
    <w:rsid w:val="00625DC4"/>
    <w:rsid w:val="00625EC4"/>
    <w:rsid w:val="006260A7"/>
    <w:rsid w:val="0062624B"/>
    <w:rsid w:val="0062632B"/>
    <w:rsid w:val="0062640B"/>
    <w:rsid w:val="00626421"/>
    <w:rsid w:val="00626621"/>
    <w:rsid w:val="0062674F"/>
    <w:rsid w:val="00626837"/>
    <w:rsid w:val="006268CE"/>
    <w:rsid w:val="006268E7"/>
    <w:rsid w:val="00626914"/>
    <w:rsid w:val="00626A78"/>
    <w:rsid w:val="00626B07"/>
    <w:rsid w:val="00626C8A"/>
    <w:rsid w:val="00626F9C"/>
    <w:rsid w:val="0062701A"/>
    <w:rsid w:val="006270D1"/>
    <w:rsid w:val="0062712A"/>
    <w:rsid w:val="006271BD"/>
    <w:rsid w:val="00627374"/>
    <w:rsid w:val="006276B9"/>
    <w:rsid w:val="00627A93"/>
    <w:rsid w:val="00627AEB"/>
    <w:rsid w:val="00627B4D"/>
    <w:rsid w:val="00627BA4"/>
    <w:rsid w:val="00627BF8"/>
    <w:rsid w:val="00627EB2"/>
    <w:rsid w:val="00627ECB"/>
    <w:rsid w:val="0063019F"/>
    <w:rsid w:val="006301D6"/>
    <w:rsid w:val="00630403"/>
    <w:rsid w:val="006308CE"/>
    <w:rsid w:val="00630E5E"/>
    <w:rsid w:val="00630F38"/>
    <w:rsid w:val="00630FB1"/>
    <w:rsid w:val="00630FD3"/>
    <w:rsid w:val="0063112C"/>
    <w:rsid w:val="006312BF"/>
    <w:rsid w:val="0063141C"/>
    <w:rsid w:val="006314DA"/>
    <w:rsid w:val="00631826"/>
    <w:rsid w:val="00631C67"/>
    <w:rsid w:val="00631C88"/>
    <w:rsid w:val="00631CE4"/>
    <w:rsid w:val="00631ED2"/>
    <w:rsid w:val="00631FB8"/>
    <w:rsid w:val="00632064"/>
    <w:rsid w:val="006320B6"/>
    <w:rsid w:val="00632211"/>
    <w:rsid w:val="00632233"/>
    <w:rsid w:val="0063223F"/>
    <w:rsid w:val="00632256"/>
    <w:rsid w:val="00632394"/>
    <w:rsid w:val="00632511"/>
    <w:rsid w:val="006325A6"/>
    <w:rsid w:val="006326ED"/>
    <w:rsid w:val="00632919"/>
    <w:rsid w:val="006329D4"/>
    <w:rsid w:val="00632B17"/>
    <w:rsid w:val="00632B22"/>
    <w:rsid w:val="00632F4A"/>
    <w:rsid w:val="00632FC9"/>
    <w:rsid w:val="00633004"/>
    <w:rsid w:val="00633011"/>
    <w:rsid w:val="00633018"/>
    <w:rsid w:val="00633106"/>
    <w:rsid w:val="006331BE"/>
    <w:rsid w:val="00633212"/>
    <w:rsid w:val="0063337B"/>
    <w:rsid w:val="00633548"/>
    <w:rsid w:val="0063369B"/>
    <w:rsid w:val="00633829"/>
    <w:rsid w:val="00633ABE"/>
    <w:rsid w:val="00633AEE"/>
    <w:rsid w:val="00633FE8"/>
    <w:rsid w:val="0063432B"/>
    <w:rsid w:val="006347D2"/>
    <w:rsid w:val="006348AA"/>
    <w:rsid w:val="00634BC2"/>
    <w:rsid w:val="00634D74"/>
    <w:rsid w:val="00634E68"/>
    <w:rsid w:val="00634F57"/>
    <w:rsid w:val="00634F5F"/>
    <w:rsid w:val="00634FB0"/>
    <w:rsid w:val="0063508D"/>
    <w:rsid w:val="0063516A"/>
    <w:rsid w:val="00635243"/>
    <w:rsid w:val="00635516"/>
    <w:rsid w:val="00635529"/>
    <w:rsid w:val="0063566E"/>
    <w:rsid w:val="00635B8D"/>
    <w:rsid w:val="00635BC5"/>
    <w:rsid w:val="00635C75"/>
    <w:rsid w:val="00635D1D"/>
    <w:rsid w:val="00635D2E"/>
    <w:rsid w:val="00635D99"/>
    <w:rsid w:val="00635F40"/>
    <w:rsid w:val="00635F43"/>
    <w:rsid w:val="00635F50"/>
    <w:rsid w:val="006360E4"/>
    <w:rsid w:val="0063630A"/>
    <w:rsid w:val="00636355"/>
    <w:rsid w:val="0063654F"/>
    <w:rsid w:val="00636969"/>
    <w:rsid w:val="00636A20"/>
    <w:rsid w:val="00636BCE"/>
    <w:rsid w:val="00636E35"/>
    <w:rsid w:val="00636F2D"/>
    <w:rsid w:val="006371BE"/>
    <w:rsid w:val="00637354"/>
    <w:rsid w:val="0063735C"/>
    <w:rsid w:val="0063766B"/>
    <w:rsid w:val="0063779E"/>
    <w:rsid w:val="00637895"/>
    <w:rsid w:val="00637AD9"/>
    <w:rsid w:val="00637AF7"/>
    <w:rsid w:val="00637D3D"/>
    <w:rsid w:val="00637DE7"/>
    <w:rsid w:val="00637E38"/>
    <w:rsid w:val="006401DE"/>
    <w:rsid w:val="00640236"/>
    <w:rsid w:val="0064032F"/>
    <w:rsid w:val="00640633"/>
    <w:rsid w:val="006409D8"/>
    <w:rsid w:val="006409E2"/>
    <w:rsid w:val="00640A17"/>
    <w:rsid w:val="00640B24"/>
    <w:rsid w:val="00641349"/>
    <w:rsid w:val="006414D1"/>
    <w:rsid w:val="0064158E"/>
    <w:rsid w:val="006415C6"/>
    <w:rsid w:val="00641736"/>
    <w:rsid w:val="006417B5"/>
    <w:rsid w:val="00641817"/>
    <w:rsid w:val="006418C3"/>
    <w:rsid w:val="00641930"/>
    <w:rsid w:val="00641AD2"/>
    <w:rsid w:val="00641F42"/>
    <w:rsid w:val="00641F48"/>
    <w:rsid w:val="00641F8D"/>
    <w:rsid w:val="00641FB5"/>
    <w:rsid w:val="00642197"/>
    <w:rsid w:val="006423E8"/>
    <w:rsid w:val="006427C1"/>
    <w:rsid w:val="00642A5E"/>
    <w:rsid w:val="00642C1D"/>
    <w:rsid w:val="00642CCE"/>
    <w:rsid w:val="00642E0A"/>
    <w:rsid w:val="0064334F"/>
    <w:rsid w:val="0064355E"/>
    <w:rsid w:val="00643A9B"/>
    <w:rsid w:val="00643C37"/>
    <w:rsid w:val="00643FDF"/>
    <w:rsid w:val="006441AB"/>
    <w:rsid w:val="0064425F"/>
    <w:rsid w:val="00644341"/>
    <w:rsid w:val="006447A9"/>
    <w:rsid w:val="00644931"/>
    <w:rsid w:val="00644AAF"/>
    <w:rsid w:val="00644CD3"/>
    <w:rsid w:val="00644EAF"/>
    <w:rsid w:val="00645334"/>
    <w:rsid w:val="0064551A"/>
    <w:rsid w:val="0064563D"/>
    <w:rsid w:val="00645718"/>
    <w:rsid w:val="0064580B"/>
    <w:rsid w:val="006459A9"/>
    <w:rsid w:val="00645AA7"/>
    <w:rsid w:val="00645DBA"/>
    <w:rsid w:val="00645DCD"/>
    <w:rsid w:val="00646249"/>
    <w:rsid w:val="00646266"/>
    <w:rsid w:val="00646438"/>
    <w:rsid w:val="006468F9"/>
    <w:rsid w:val="0064699B"/>
    <w:rsid w:val="006469CE"/>
    <w:rsid w:val="00646B02"/>
    <w:rsid w:val="00646BB5"/>
    <w:rsid w:val="00646C8B"/>
    <w:rsid w:val="00646D6F"/>
    <w:rsid w:val="006470A7"/>
    <w:rsid w:val="006472A1"/>
    <w:rsid w:val="00647302"/>
    <w:rsid w:val="0064758A"/>
    <w:rsid w:val="0064796B"/>
    <w:rsid w:val="00647A00"/>
    <w:rsid w:val="00647C18"/>
    <w:rsid w:val="00647DE3"/>
    <w:rsid w:val="006500A8"/>
    <w:rsid w:val="00650200"/>
    <w:rsid w:val="00650318"/>
    <w:rsid w:val="006504A8"/>
    <w:rsid w:val="006507A3"/>
    <w:rsid w:val="00650801"/>
    <w:rsid w:val="0065081D"/>
    <w:rsid w:val="00650C16"/>
    <w:rsid w:val="00650EE9"/>
    <w:rsid w:val="00651094"/>
    <w:rsid w:val="006510D7"/>
    <w:rsid w:val="00651109"/>
    <w:rsid w:val="00651158"/>
    <w:rsid w:val="0065127A"/>
    <w:rsid w:val="0065166B"/>
    <w:rsid w:val="00651970"/>
    <w:rsid w:val="006519ED"/>
    <w:rsid w:val="00651B6F"/>
    <w:rsid w:val="00651B9D"/>
    <w:rsid w:val="00651BAB"/>
    <w:rsid w:val="00651CE3"/>
    <w:rsid w:val="00652331"/>
    <w:rsid w:val="00652423"/>
    <w:rsid w:val="00652596"/>
    <w:rsid w:val="0065265E"/>
    <w:rsid w:val="006526B6"/>
    <w:rsid w:val="00652716"/>
    <w:rsid w:val="00652886"/>
    <w:rsid w:val="0065291B"/>
    <w:rsid w:val="00652938"/>
    <w:rsid w:val="006529E8"/>
    <w:rsid w:val="00652D29"/>
    <w:rsid w:val="00652D9D"/>
    <w:rsid w:val="00652DA2"/>
    <w:rsid w:val="00652DD1"/>
    <w:rsid w:val="00652EB8"/>
    <w:rsid w:val="00652F73"/>
    <w:rsid w:val="00652F86"/>
    <w:rsid w:val="006533DA"/>
    <w:rsid w:val="00653493"/>
    <w:rsid w:val="006536D9"/>
    <w:rsid w:val="006538FB"/>
    <w:rsid w:val="00653DAF"/>
    <w:rsid w:val="00653E05"/>
    <w:rsid w:val="0065400A"/>
    <w:rsid w:val="0065411B"/>
    <w:rsid w:val="006542BD"/>
    <w:rsid w:val="006543C8"/>
    <w:rsid w:val="006547D9"/>
    <w:rsid w:val="006548F6"/>
    <w:rsid w:val="0065490D"/>
    <w:rsid w:val="00654C75"/>
    <w:rsid w:val="00654D40"/>
    <w:rsid w:val="00654F7D"/>
    <w:rsid w:val="006550C3"/>
    <w:rsid w:val="00655201"/>
    <w:rsid w:val="00655231"/>
    <w:rsid w:val="0065526B"/>
    <w:rsid w:val="0065527C"/>
    <w:rsid w:val="006553C3"/>
    <w:rsid w:val="00655427"/>
    <w:rsid w:val="00655455"/>
    <w:rsid w:val="0065556B"/>
    <w:rsid w:val="00655576"/>
    <w:rsid w:val="006556EC"/>
    <w:rsid w:val="00655840"/>
    <w:rsid w:val="00655A5D"/>
    <w:rsid w:val="00655B98"/>
    <w:rsid w:val="00655E82"/>
    <w:rsid w:val="00655EC4"/>
    <w:rsid w:val="00655F1C"/>
    <w:rsid w:val="0065634A"/>
    <w:rsid w:val="006564D9"/>
    <w:rsid w:val="0065656C"/>
    <w:rsid w:val="0065692E"/>
    <w:rsid w:val="00656B0B"/>
    <w:rsid w:val="00656C4A"/>
    <w:rsid w:val="00656DBA"/>
    <w:rsid w:val="00656F98"/>
    <w:rsid w:val="00657053"/>
    <w:rsid w:val="0065721F"/>
    <w:rsid w:val="0065726F"/>
    <w:rsid w:val="00657390"/>
    <w:rsid w:val="006573EA"/>
    <w:rsid w:val="00657441"/>
    <w:rsid w:val="00657589"/>
    <w:rsid w:val="006577C0"/>
    <w:rsid w:val="006577D1"/>
    <w:rsid w:val="00657AD2"/>
    <w:rsid w:val="00657BA1"/>
    <w:rsid w:val="00657BB0"/>
    <w:rsid w:val="00657D01"/>
    <w:rsid w:val="00657D42"/>
    <w:rsid w:val="00657F81"/>
    <w:rsid w:val="0066008A"/>
    <w:rsid w:val="00660301"/>
    <w:rsid w:val="0066053B"/>
    <w:rsid w:val="00660540"/>
    <w:rsid w:val="006605B3"/>
    <w:rsid w:val="006606B7"/>
    <w:rsid w:val="00660C06"/>
    <w:rsid w:val="00660E32"/>
    <w:rsid w:val="00660F32"/>
    <w:rsid w:val="00661251"/>
    <w:rsid w:val="0066133F"/>
    <w:rsid w:val="0066144B"/>
    <w:rsid w:val="00661478"/>
    <w:rsid w:val="00661523"/>
    <w:rsid w:val="0066154C"/>
    <w:rsid w:val="006616EA"/>
    <w:rsid w:val="00661724"/>
    <w:rsid w:val="00661D2E"/>
    <w:rsid w:val="00661DFD"/>
    <w:rsid w:val="00661F2B"/>
    <w:rsid w:val="006620E0"/>
    <w:rsid w:val="0066248D"/>
    <w:rsid w:val="0066250E"/>
    <w:rsid w:val="0066252F"/>
    <w:rsid w:val="0066267C"/>
    <w:rsid w:val="00662913"/>
    <w:rsid w:val="0066294E"/>
    <w:rsid w:val="00662953"/>
    <w:rsid w:val="00662AB4"/>
    <w:rsid w:val="00662C5A"/>
    <w:rsid w:val="00662DED"/>
    <w:rsid w:val="00662FEC"/>
    <w:rsid w:val="006631E0"/>
    <w:rsid w:val="00663539"/>
    <w:rsid w:val="00663549"/>
    <w:rsid w:val="00663658"/>
    <w:rsid w:val="00663859"/>
    <w:rsid w:val="006638EF"/>
    <w:rsid w:val="00663972"/>
    <w:rsid w:val="00663A86"/>
    <w:rsid w:val="00663B3C"/>
    <w:rsid w:val="00663D1C"/>
    <w:rsid w:val="00663E11"/>
    <w:rsid w:val="00663E8C"/>
    <w:rsid w:val="00664022"/>
    <w:rsid w:val="006641DA"/>
    <w:rsid w:val="00664219"/>
    <w:rsid w:val="006644AC"/>
    <w:rsid w:val="006645C5"/>
    <w:rsid w:val="0066490D"/>
    <w:rsid w:val="00664938"/>
    <w:rsid w:val="00664BA9"/>
    <w:rsid w:val="00664EF8"/>
    <w:rsid w:val="006651CE"/>
    <w:rsid w:val="0066528C"/>
    <w:rsid w:val="0066540A"/>
    <w:rsid w:val="006654AB"/>
    <w:rsid w:val="00665C02"/>
    <w:rsid w:val="00665DAC"/>
    <w:rsid w:val="00665DBD"/>
    <w:rsid w:val="00665EF2"/>
    <w:rsid w:val="00665EF6"/>
    <w:rsid w:val="00665FB9"/>
    <w:rsid w:val="00666069"/>
    <w:rsid w:val="00666103"/>
    <w:rsid w:val="00666446"/>
    <w:rsid w:val="006664D6"/>
    <w:rsid w:val="006666B5"/>
    <w:rsid w:val="00666AA0"/>
    <w:rsid w:val="00666B33"/>
    <w:rsid w:val="00666CE4"/>
    <w:rsid w:val="00666EFC"/>
    <w:rsid w:val="00666FAA"/>
    <w:rsid w:val="006670E3"/>
    <w:rsid w:val="00667328"/>
    <w:rsid w:val="0066736A"/>
    <w:rsid w:val="006674E2"/>
    <w:rsid w:val="006678E1"/>
    <w:rsid w:val="00667977"/>
    <w:rsid w:val="00667983"/>
    <w:rsid w:val="00667FA7"/>
    <w:rsid w:val="00670192"/>
    <w:rsid w:val="00670524"/>
    <w:rsid w:val="0067061E"/>
    <w:rsid w:val="00670A77"/>
    <w:rsid w:val="00670AAF"/>
    <w:rsid w:val="00670C46"/>
    <w:rsid w:val="006713F5"/>
    <w:rsid w:val="0067174E"/>
    <w:rsid w:val="00671754"/>
    <w:rsid w:val="00671785"/>
    <w:rsid w:val="00671797"/>
    <w:rsid w:val="006718F1"/>
    <w:rsid w:val="006719FA"/>
    <w:rsid w:val="00671B04"/>
    <w:rsid w:val="00671D64"/>
    <w:rsid w:val="00671E13"/>
    <w:rsid w:val="00671E71"/>
    <w:rsid w:val="00671F20"/>
    <w:rsid w:val="0067223F"/>
    <w:rsid w:val="0067228E"/>
    <w:rsid w:val="00672359"/>
    <w:rsid w:val="00672371"/>
    <w:rsid w:val="006723EA"/>
    <w:rsid w:val="006725C5"/>
    <w:rsid w:val="006729B6"/>
    <w:rsid w:val="00672B6B"/>
    <w:rsid w:val="00672CA6"/>
    <w:rsid w:val="00672D63"/>
    <w:rsid w:val="00672E56"/>
    <w:rsid w:val="00672FA2"/>
    <w:rsid w:val="0067303A"/>
    <w:rsid w:val="00673252"/>
    <w:rsid w:val="006735CC"/>
    <w:rsid w:val="00673897"/>
    <w:rsid w:val="00673917"/>
    <w:rsid w:val="006739F7"/>
    <w:rsid w:val="00673A1E"/>
    <w:rsid w:val="00673A66"/>
    <w:rsid w:val="00673B9D"/>
    <w:rsid w:val="00673C23"/>
    <w:rsid w:val="00673F15"/>
    <w:rsid w:val="00673F2F"/>
    <w:rsid w:val="00673FF2"/>
    <w:rsid w:val="006743BF"/>
    <w:rsid w:val="00674795"/>
    <w:rsid w:val="00674A07"/>
    <w:rsid w:val="00674C84"/>
    <w:rsid w:val="00674D6A"/>
    <w:rsid w:val="00674E8D"/>
    <w:rsid w:val="006750AA"/>
    <w:rsid w:val="00675242"/>
    <w:rsid w:val="006754C2"/>
    <w:rsid w:val="00675505"/>
    <w:rsid w:val="00675586"/>
    <w:rsid w:val="006755DF"/>
    <w:rsid w:val="00675711"/>
    <w:rsid w:val="006758F6"/>
    <w:rsid w:val="006759F5"/>
    <w:rsid w:val="00675B54"/>
    <w:rsid w:val="00675B59"/>
    <w:rsid w:val="00675B8C"/>
    <w:rsid w:val="00676164"/>
    <w:rsid w:val="006763DE"/>
    <w:rsid w:val="006764BF"/>
    <w:rsid w:val="006765D2"/>
    <w:rsid w:val="00676600"/>
    <w:rsid w:val="006766EC"/>
    <w:rsid w:val="006767C1"/>
    <w:rsid w:val="00676980"/>
    <w:rsid w:val="00676A9A"/>
    <w:rsid w:val="00676CAE"/>
    <w:rsid w:val="00676E99"/>
    <w:rsid w:val="00676FBA"/>
    <w:rsid w:val="00677032"/>
    <w:rsid w:val="006771E8"/>
    <w:rsid w:val="00677885"/>
    <w:rsid w:val="00677B25"/>
    <w:rsid w:val="00677C9D"/>
    <w:rsid w:val="00677F5B"/>
    <w:rsid w:val="006800AB"/>
    <w:rsid w:val="0068013C"/>
    <w:rsid w:val="00680189"/>
    <w:rsid w:val="006801D4"/>
    <w:rsid w:val="00680269"/>
    <w:rsid w:val="00680395"/>
    <w:rsid w:val="00680471"/>
    <w:rsid w:val="006804D1"/>
    <w:rsid w:val="0068084F"/>
    <w:rsid w:val="006809E4"/>
    <w:rsid w:val="006809EB"/>
    <w:rsid w:val="00680C2B"/>
    <w:rsid w:val="00680DEA"/>
    <w:rsid w:val="00680ED3"/>
    <w:rsid w:val="00680ED7"/>
    <w:rsid w:val="0068150D"/>
    <w:rsid w:val="00681543"/>
    <w:rsid w:val="00681AA4"/>
    <w:rsid w:val="00681B85"/>
    <w:rsid w:val="00681E44"/>
    <w:rsid w:val="0068203E"/>
    <w:rsid w:val="00682152"/>
    <w:rsid w:val="006821D1"/>
    <w:rsid w:val="00682205"/>
    <w:rsid w:val="0068241A"/>
    <w:rsid w:val="00682ABB"/>
    <w:rsid w:val="00682BCA"/>
    <w:rsid w:val="00682D32"/>
    <w:rsid w:val="00682F22"/>
    <w:rsid w:val="00682FCC"/>
    <w:rsid w:val="00683056"/>
    <w:rsid w:val="0068315F"/>
    <w:rsid w:val="0068320D"/>
    <w:rsid w:val="00683399"/>
    <w:rsid w:val="0068347D"/>
    <w:rsid w:val="0068369C"/>
    <w:rsid w:val="006839DF"/>
    <w:rsid w:val="00683A20"/>
    <w:rsid w:val="00683E4A"/>
    <w:rsid w:val="00683EE4"/>
    <w:rsid w:val="00683FCF"/>
    <w:rsid w:val="00684004"/>
    <w:rsid w:val="006840A4"/>
    <w:rsid w:val="006842B3"/>
    <w:rsid w:val="00684371"/>
    <w:rsid w:val="006843CD"/>
    <w:rsid w:val="0068445F"/>
    <w:rsid w:val="00684902"/>
    <w:rsid w:val="00684919"/>
    <w:rsid w:val="0068493A"/>
    <w:rsid w:val="00684A21"/>
    <w:rsid w:val="00684A57"/>
    <w:rsid w:val="00684BE1"/>
    <w:rsid w:val="00684EC7"/>
    <w:rsid w:val="00685746"/>
    <w:rsid w:val="00685981"/>
    <w:rsid w:val="00685B01"/>
    <w:rsid w:val="00685C70"/>
    <w:rsid w:val="00685D2D"/>
    <w:rsid w:val="00685E83"/>
    <w:rsid w:val="006861BC"/>
    <w:rsid w:val="00686651"/>
    <w:rsid w:val="00686687"/>
    <w:rsid w:val="00686A54"/>
    <w:rsid w:val="00686E3D"/>
    <w:rsid w:val="00686E4B"/>
    <w:rsid w:val="00686F0E"/>
    <w:rsid w:val="00686F58"/>
    <w:rsid w:val="00686F92"/>
    <w:rsid w:val="0068712B"/>
    <w:rsid w:val="006871EC"/>
    <w:rsid w:val="0068723B"/>
    <w:rsid w:val="0068724B"/>
    <w:rsid w:val="006872D7"/>
    <w:rsid w:val="006872DD"/>
    <w:rsid w:val="006873CC"/>
    <w:rsid w:val="0068764A"/>
    <w:rsid w:val="00687776"/>
    <w:rsid w:val="00687AAF"/>
    <w:rsid w:val="00687B89"/>
    <w:rsid w:val="00687BDD"/>
    <w:rsid w:val="00687C69"/>
    <w:rsid w:val="00687C7A"/>
    <w:rsid w:val="00687D1A"/>
    <w:rsid w:val="00687D6F"/>
    <w:rsid w:val="00687E39"/>
    <w:rsid w:val="00687EBB"/>
    <w:rsid w:val="00687F34"/>
    <w:rsid w:val="0069005B"/>
    <w:rsid w:val="006902DF"/>
    <w:rsid w:val="0069034A"/>
    <w:rsid w:val="00690351"/>
    <w:rsid w:val="00690681"/>
    <w:rsid w:val="006907A4"/>
    <w:rsid w:val="00690909"/>
    <w:rsid w:val="0069090F"/>
    <w:rsid w:val="00690922"/>
    <w:rsid w:val="00690CA7"/>
    <w:rsid w:val="00690CDE"/>
    <w:rsid w:val="00690DA4"/>
    <w:rsid w:val="00690E62"/>
    <w:rsid w:val="0069106B"/>
    <w:rsid w:val="006910D2"/>
    <w:rsid w:val="006913E5"/>
    <w:rsid w:val="006914F5"/>
    <w:rsid w:val="00691707"/>
    <w:rsid w:val="0069174B"/>
    <w:rsid w:val="006918FD"/>
    <w:rsid w:val="006919CD"/>
    <w:rsid w:val="00691A55"/>
    <w:rsid w:val="00691B0D"/>
    <w:rsid w:val="00691BF4"/>
    <w:rsid w:val="00691DDC"/>
    <w:rsid w:val="006920F5"/>
    <w:rsid w:val="00692334"/>
    <w:rsid w:val="0069256A"/>
    <w:rsid w:val="0069268E"/>
    <w:rsid w:val="0069289A"/>
    <w:rsid w:val="006928CC"/>
    <w:rsid w:val="00692F8A"/>
    <w:rsid w:val="00693031"/>
    <w:rsid w:val="006930AB"/>
    <w:rsid w:val="00693119"/>
    <w:rsid w:val="0069326E"/>
    <w:rsid w:val="006932EF"/>
    <w:rsid w:val="006933F3"/>
    <w:rsid w:val="00693425"/>
    <w:rsid w:val="006934F9"/>
    <w:rsid w:val="00693795"/>
    <w:rsid w:val="0069386F"/>
    <w:rsid w:val="006939EC"/>
    <w:rsid w:val="00693B3C"/>
    <w:rsid w:val="00693D14"/>
    <w:rsid w:val="00693E46"/>
    <w:rsid w:val="00693F23"/>
    <w:rsid w:val="00693F97"/>
    <w:rsid w:val="0069414B"/>
    <w:rsid w:val="0069423C"/>
    <w:rsid w:val="006943E1"/>
    <w:rsid w:val="0069440D"/>
    <w:rsid w:val="0069464A"/>
    <w:rsid w:val="006948F9"/>
    <w:rsid w:val="00694908"/>
    <w:rsid w:val="00694968"/>
    <w:rsid w:val="00694B5E"/>
    <w:rsid w:val="00694BD1"/>
    <w:rsid w:val="00694D5C"/>
    <w:rsid w:val="006950E8"/>
    <w:rsid w:val="006950FF"/>
    <w:rsid w:val="006951C4"/>
    <w:rsid w:val="0069538E"/>
    <w:rsid w:val="006953A7"/>
    <w:rsid w:val="006954A9"/>
    <w:rsid w:val="00695643"/>
    <w:rsid w:val="00695774"/>
    <w:rsid w:val="00695811"/>
    <w:rsid w:val="00695838"/>
    <w:rsid w:val="00695C32"/>
    <w:rsid w:val="00695D5D"/>
    <w:rsid w:val="00695F39"/>
    <w:rsid w:val="0069612B"/>
    <w:rsid w:val="00696146"/>
    <w:rsid w:val="00696183"/>
    <w:rsid w:val="006961C2"/>
    <w:rsid w:val="0069620D"/>
    <w:rsid w:val="00696463"/>
    <w:rsid w:val="00696797"/>
    <w:rsid w:val="00696B81"/>
    <w:rsid w:val="00696B8B"/>
    <w:rsid w:val="00696CD5"/>
    <w:rsid w:val="00696DAA"/>
    <w:rsid w:val="00696E87"/>
    <w:rsid w:val="00696E91"/>
    <w:rsid w:val="0069705B"/>
    <w:rsid w:val="00697498"/>
    <w:rsid w:val="00697572"/>
    <w:rsid w:val="006978BB"/>
    <w:rsid w:val="0069796B"/>
    <w:rsid w:val="00697983"/>
    <w:rsid w:val="00697AAE"/>
    <w:rsid w:val="00697BB8"/>
    <w:rsid w:val="00697D40"/>
    <w:rsid w:val="00697F39"/>
    <w:rsid w:val="006A0200"/>
    <w:rsid w:val="006A0527"/>
    <w:rsid w:val="006A0595"/>
    <w:rsid w:val="006A05FC"/>
    <w:rsid w:val="006A076F"/>
    <w:rsid w:val="006A0B03"/>
    <w:rsid w:val="006A10BF"/>
    <w:rsid w:val="006A1109"/>
    <w:rsid w:val="006A111A"/>
    <w:rsid w:val="006A1181"/>
    <w:rsid w:val="006A12AA"/>
    <w:rsid w:val="006A1312"/>
    <w:rsid w:val="006A13C6"/>
    <w:rsid w:val="006A15D2"/>
    <w:rsid w:val="006A170C"/>
    <w:rsid w:val="006A1755"/>
    <w:rsid w:val="006A188B"/>
    <w:rsid w:val="006A1904"/>
    <w:rsid w:val="006A192A"/>
    <w:rsid w:val="006A19A5"/>
    <w:rsid w:val="006A1E8E"/>
    <w:rsid w:val="006A1EFE"/>
    <w:rsid w:val="006A2140"/>
    <w:rsid w:val="006A21E9"/>
    <w:rsid w:val="006A23BE"/>
    <w:rsid w:val="006A2548"/>
    <w:rsid w:val="006A261F"/>
    <w:rsid w:val="006A2651"/>
    <w:rsid w:val="006A26D8"/>
    <w:rsid w:val="006A272E"/>
    <w:rsid w:val="006A2877"/>
    <w:rsid w:val="006A28CC"/>
    <w:rsid w:val="006A2A36"/>
    <w:rsid w:val="006A3081"/>
    <w:rsid w:val="006A32F4"/>
    <w:rsid w:val="006A32F8"/>
    <w:rsid w:val="006A3594"/>
    <w:rsid w:val="006A3761"/>
    <w:rsid w:val="006A377A"/>
    <w:rsid w:val="006A3939"/>
    <w:rsid w:val="006A3BB3"/>
    <w:rsid w:val="006A3BC4"/>
    <w:rsid w:val="006A3EB6"/>
    <w:rsid w:val="006A42A8"/>
    <w:rsid w:val="006A42D5"/>
    <w:rsid w:val="006A4519"/>
    <w:rsid w:val="006A451C"/>
    <w:rsid w:val="006A4616"/>
    <w:rsid w:val="006A4656"/>
    <w:rsid w:val="006A47F7"/>
    <w:rsid w:val="006A4813"/>
    <w:rsid w:val="006A4B29"/>
    <w:rsid w:val="006A4ED6"/>
    <w:rsid w:val="006A5070"/>
    <w:rsid w:val="006A518C"/>
    <w:rsid w:val="006A5330"/>
    <w:rsid w:val="006A53A2"/>
    <w:rsid w:val="006A53F9"/>
    <w:rsid w:val="006A54E0"/>
    <w:rsid w:val="006A56BB"/>
    <w:rsid w:val="006A5829"/>
    <w:rsid w:val="006A5878"/>
    <w:rsid w:val="006A58B7"/>
    <w:rsid w:val="006A5CC8"/>
    <w:rsid w:val="006A5D2B"/>
    <w:rsid w:val="006A5D4C"/>
    <w:rsid w:val="006A5DE8"/>
    <w:rsid w:val="006A615B"/>
    <w:rsid w:val="006A6446"/>
    <w:rsid w:val="006A6624"/>
    <w:rsid w:val="006A6699"/>
    <w:rsid w:val="006A66FE"/>
    <w:rsid w:val="006A67D5"/>
    <w:rsid w:val="006A685A"/>
    <w:rsid w:val="006A691B"/>
    <w:rsid w:val="006A6999"/>
    <w:rsid w:val="006A6B7A"/>
    <w:rsid w:val="006A6C67"/>
    <w:rsid w:val="006A6EF5"/>
    <w:rsid w:val="006A6F7E"/>
    <w:rsid w:val="006A7197"/>
    <w:rsid w:val="006A755B"/>
    <w:rsid w:val="006A7775"/>
    <w:rsid w:val="006A7D4F"/>
    <w:rsid w:val="006A7F04"/>
    <w:rsid w:val="006B0034"/>
    <w:rsid w:val="006B01D1"/>
    <w:rsid w:val="006B027E"/>
    <w:rsid w:val="006B03C6"/>
    <w:rsid w:val="006B03E8"/>
    <w:rsid w:val="006B04B2"/>
    <w:rsid w:val="006B0624"/>
    <w:rsid w:val="006B06C9"/>
    <w:rsid w:val="006B07EA"/>
    <w:rsid w:val="006B09BF"/>
    <w:rsid w:val="006B0A22"/>
    <w:rsid w:val="006B0B1C"/>
    <w:rsid w:val="006B0E78"/>
    <w:rsid w:val="006B10C5"/>
    <w:rsid w:val="006B13BC"/>
    <w:rsid w:val="006B1A2D"/>
    <w:rsid w:val="006B1ADF"/>
    <w:rsid w:val="006B1B1D"/>
    <w:rsid w:val="006B1BBC"/>
    <w:rsid w:val="006B1D31"/>
    <w:rsid w:val="006B1D6C"/>
    <w:rsid w:val="006B29CA"/>
    <w:rsid w:val="006B2A4A"/>
    <w:rsid w:val="006B2A87"/>
    <w:rsid w:val="006B2C58"/>
    <w:rsid w:val="006B2E7F"/>
    <w:rsid w:val="006B2FC0"/>
    <w:rsid w:val="006B3083"/>
    <w:rsid w:val="006B3108"/>
    <w:rsid w:val="006B3461"/>
    <w:rsid w:val="006B34FF"/>
    <w:rsid w:val="006B3559"/>
    <w:rsid w:val="006B366E"/>
    <w:rsid w:val="006B37A7"/>
    <w:rsid w:val="006B37F9"/>
    <w:rsid w:val="006B3A12"/>
    <w:rsid w:val="006B3ACC"/>
    <w:rsid w:val="006B3C70"/>
    <w:rsid w:val="006B3FA8"/>
    <w:rsid w:val="006B414E"/>
    <w:rsid w:val="006B430D"/>
    <w:rsid w:val="006B4513"/>
    <w:rsid w:val="006B452D"/>
    <w:rsid w:val="006B453D"/>
    <w:rsid w:val="006B453E"/>
    <w:rsid w:val="006B458A"/>
    <w:rsid w:val="006B467F"/>
    <w:rsid w:val="006B489F"/>
    <w:rsid w:val="006B4CDC"/>
    <w:rsid w:val="006B4CEB"/>
    <w:rsid w:val="006B4D70"/>
    <w:rsid w:val="006B4DAC"/>
    <w:rsid w:val="006B4DE3"/>
    <w:rsid w:val="006B51D6"/>
    <w:rsid w:val="006B51FE"/>
    <w:rsid w:val="006B528D"/>
    <w:rsid w:val="006B52C5"/>
    <w:rsid w:val="006B53F6"/>
    <w:rsid w:val="006B5594"/>
    <w:rsid w:val="006B5959"/>
    <w:rsid w:val="006B5B7D"/>
    <w:rsid w:val="006B5BA7"/>
    <w:rsid w:val="006B5E6F"/>
    <w:rsid w:val="006B5F2E"/>
    <w:rsid w:val="006B5F4E"/>
    <w:rsid w:val="006B61FE"/>
    <w:rsid w:val="006B65CE"/>
    <w:rsid w:val="006B65ED"/>
    <w:rsid w:val="006B6A4C"/>
    <w:rsid w:val="006B6A60"/>
    <w:rsid w:val="006B6A62"/>
    <w:rsid w:val="006B6B42"/>
    <w:rsid w:val="006B7149"/>
    <w:rsid w:val="006B7172"/>
    <w:rsid w:val="006B742A"/>
    <w:rsid w:val="006B7699"/>
    <w:rsid w:val="006B7763"/>
    <w:rsid w:val="006B77C5"/>
    <w:rsid w:val="006B77D1"/>
    <w:rsid w:val="006B7C13"/>
    <w:rsid w:val="006B7C65"/>
    <w:rsid w:val="006B7DD9"/>
    <w:rsid w:val="006B7F9C"/>
    <w:rsid w:val="006C00C3"/>
    <w:rsid w:val="006C0152"/>
    <w:rsid w:val="006C015A"/>
    <w:rsid w:val="006C03F0"/>
    <w:rsid w:val="006C094B"/>
    <w:rsid w:val="006C0E03"/>
    <w:rsid w:val="006C0F70"/>
    <w:rsid w:val="006C1123"/>
    <w:rsid w:val="006C141C"/>
    <w:rsid w:val="006C1966"/>
    <w:rsid w:val="006C1C57"/>
    <w:rsid w:val="006C1CEB"/>
    <w:rsid w:val="006C219D"/>
    <w:rsid w:val="006C23DA"/>
    <w:rsid w:val="006C24AC"/>
    <w:rsid w:val="006C24D8"/>
    <w:rsid w:val="006C2559"/>
    <w:rsid w:val="006C2651"/>
    <w:rsid w:val="006C26BB"/>
    <w:rsid w:val="006C276C"/>
    <w:rsid w:val="006C2855"/>
    <w:rsid w:val="006C28FA"/>
    <w:rsid w:val="006C29EA"/>
    <w:rsid w:val="006C2A18"/>
    <w:rsid w:val="006C2D72"/>
    <w:rsid w:val="006C2F70"/>
    <w:rsid w:val="006C307C"/>
    <w:rsid w:val="006C30E8"/>
    <w:rsid w:val="006C32AE"/>
    <w:rsid w:val="006C3343"/>
    <w:rsid w:val="006C339A"/>
    <w:rsid w:val="006C3483"/>
    <w:rsid w:val="006C365B"/>
    <w:rsid w:val="006C3846"/>
    <w:rsid w:val="006C3917"/>
    <w:rsid w:val="006C3F41"/>
    <w:rsid w:val="006C40B8"/>
    <w:rsid w:val="006C418F"/>
    <w:rsid w:val="006C4408"/>
    <w:rsid w:val="006C44CE"/>
    <w:rsid w:val="006C46BF"/>
    <w:rsid w:val="006C47E0"/>
    <w:rsid w:val="006C4889"/>
    <w:rsid w:val="006C49D3"/>
    <w:rsid w:val="006C4AF0"/>
    <w:rsid w:val="006C4B20"/>
    <w:rsid w:val="006C4D89"/>
    <w:rsid w:val="006C4DDE"/>
    <w:rsid w:val="006C4E04"/>
    <w:rsid w:val="006C4E71"/>
    <w:rsid w:val="006C4F74"/>
    <w:rsid w:val="006C516C"/>
    <w:rsid w:val="006C5218"/>
    <w:rsid w:val="006C526F"/>
    <w:rsid w:val="006C52BA"/>
    <w:rsid w:val="006C5456"/>
    <w:rsid w:val="006C5536"/>
    <w:rsid w:val="006C553D"/>
    <w:rsid w:val="006C5704"/>
    <w:rsid w:val="006C57F3"/>
    <w:rsid w:val="006C57F8"/>
    <w:rsid w:val="006C5921"/>
    <w:rsid w:val="006C5C89"/>
    <w:rsid w:val="006C5CC0"/>
    <w:rsid w:val="006C614A"/>
    <w:rsid w:val="006C6165"/>
    <w:rsid w:val="006C6308"/>
    <w:rsid w:val="006C6445"/>
    <w:rsid w:val="006C644F"/>
    <w:rsid w:val="006C6874"/>
    <w:rsid w:val="006C692D"/>
    <w:rsid w:val="006C6B2F"/>
    <w:rsid w:val="006C74B8"/>
    <w:rsid w:val="006C7599"/>
    <w:rsid w:val="006C769D"/>
    <w:rsid w:val="006C7C5C"/>
    <w:rsid w:val="006C7CD1"/>
    <w:rsid w:val="006C7DFC"/>
    <w:rsid w:val="006C7E64"/>
    <w:rsid w:val="006C7E80"/>
    <w:rsid w:val="006C7F04"/>
    <w:rsid w:val="006D011C"/>
    <w:rsid w:val="006D01AD"/>
    <w:rsid w:val="006D0407"/>
    <w:rsid w:val="006D047D"/>
    <w:rsid w:val="006D05AE"/>
    <w:rsid w:val="006D084F"/>
    <w:rsid w:val="006D0B94"/>
    <w:rsid w:val="006D0DF5"/>
    <w:rsid w:val="006D0ED5"/>
    <w:rsid w:val="006D10FF"/>
    <w:rsid w:val="006D1861"/>
    <w:rsid w:val="006D18A3"/>
    <w:rsid w:val="006D191F"/>
    <w:rsid w:val="006D1CB4"/>
    <w:rsid w:val="006D1E33"/>
    <w:rsid w:val="006D1E84"/>
    <w:rsid w:val="006D1EF1"/>
    <w:rsid w:val="006D21C8"/>
    <w:rsid w:val="006D23E5"/>
    <w:rsid w:val="006D28ED"/>
    <w:rsid w:val="006D2A5D"/>
    <w:rsid w:val="006D2B60"/>
    <w:rsid w:val="006D2C2B"/>
    <w:rsid w:val="006D2D95"/>
    <w:rsid w:val="006D3174"/>
    <w:rsid w:val="006D32B1"/>
    <w:rsid w:val="006D342B"/>
    <w:rsid w:val="006D3469"/>
    <w:rsid w:val="006D34F7"/>
    <w:rsid w:val="006D37D4"/>
    <w:rsid w:val="006D396E"/>
    <w:rsid w:val="006D3C7F"/>
    <w:rsid w:val="006D3E6D"/>
    <w:rsid w:val="006D3F51"/>
    <w:rsid w:val="006D41FB"/>
    <w:rsid w:val="006D43A7"/>
    <w:rsid w:val="006D4493"/>
    <w:rsid w:val="006D4496"/>
    <w:rsid w:val="006D44B7"/>
    <w:rsid w:val="006D44CC"/>
    <w:rsid w:val="006D48B9"/>
    <w:rsid w:val="006D49F9"/>
    <w:rsid w:val="006D4A7A"/>
    <w:rsid w:val="006D4BB8"/>
    <w:rsid w:val="006D4C9A"/>
    <w:rsid w:val="006D4E7D"/>
    <w:rsid w:val="006D4FFB"/>
    <w:rsid w:val="006D508A"/>
    <w:rsid w:val="006D5108"/>
    <w:rsid w:val="006D5137"/>
    <w:rsid w:val="006D5404"/>
    <w:rsid w:val="006D5450"/>
    <w:rsid w:val="006D56CA"/>
    <w:rsid w:val="006D5B14"/>
    <w:rsid w:val="006D5C1C"/>
    <w:rsid w:val="006D5E55"/>
    <w:rsid w:val="006D5F67"/>
    <w:rsid w:val="006D6054"/>
    <w:rsid w:val="006D60AC"/>
    <w:rsid w:val="006D623D"/>
    <w:rsid w:val="006D62EE"/>
    <w:rsid w:val="006D6510"/>
    <w:rsid w:val="006D6773"/>
    <w:rsid w:val="006D67A0"/>
    <w:rsid w:val="006D6850"/>
    <w:rsid w:val="006D69D4"/>
    <w:rsid w:val="006D6A3F"/>
    <w:rsid w:val="006D6A8A"/>
    <w:rsid w:val="006D702F"/>
    <w:rsid w:val="006D7503"/>
    <w:rsid w:val="006D7552"/>
    <w:rsid w:val="006D774A"/>
    <w:rsid w:val="006D78F9"/>
    <w:rsid w:val="006D79D1"/>
    <w:rsid w:val="006D7A5C"/>
    <w:rsid w:val="006D7AB8"/>
    <w:rsid w:val="006D7C3C"/>
    <w:rsid w:val="006E0196"/>
    <w:rsid w:val="006E03E9"/>
    <w:rsid w:val="006E04BF"/>
    <w:rsid w:val="006E0B8E"/>
    <w:rsid w:val="006E0DDE"/>
    <w:rsid w:val="006E0E46"/>
    <w:rsid w:val="006E0EE6"/>
    <w:rsid w:val="006E1135"/>
    <w:rsid w:val="006E128A"/>
    <w:rsid w:val="006E1545"/>
    <w:rsid w:val="006E162D"/>
    <w:rsid w:val="006E16C2"/>
    <w:rsid w:val="006E173C"/>
    <w:rsid w:val="006E177E"/>
    <w:rsid w:val="006E19D3"/>
    <w:rsid w:val="006E1D24"/>
    <w:rsid w:val="006E1E61"/>
    <w:rsid w:val="006E1ECD"/>
    <w:rsid w:val="006E1EF3"/>
    <w:rsid w:val="006E1FB0"/>
    <w:rsid w:val="006E20D8"/>
    <w:rsid w:val="006E2107"/>
    <w:rsid w:val="006E232C"/>
    <w:rsid w:val="006E23DA"/>
    <w:rsid w:val="006E248B"/>
    <w:rsid w:val="006E24DF"/>
    <w:rsid w:val="006E2512"/>
    <w:rsid w:val="006E267E"/>
    <w:rsid w:val="006E2691"/>
    <w:rsid w:val="006E2748"/>
    <w:rsid w:val="006E2768"/>
    <w:rsid w:val="006E2798"/>
    <w:rsid w:val="006E2819"/>
    <w:rsid w:val="006E286C"/>
    <w:rsid w:val="006E2CD6"/>
    <w:rsid w:val="006E30CE"/>
    <w:rsid w:val="006E30EC"/>
    <w:rsid w:val="006E33D4"/>
    <w:rsid w:val="006E3440"/>
    <w:rsid w:val="006E3584"/>
    <w:rsid w:val="006E37DB"/>
    <w:rsid w:val="006E3813"/>
    <w:rsid w:val="006E3BA5"/>
    <w:rsid w:val="006E3C08"/>
    <w:rsid w:val="006E3DD0"/>
    <w:rsid w:val="006E3E01"/>
    <w:rsid w:val="006E3FA3"/>
    <w:rsid w:val="006E421D"/>
    <w:rsid w:val="006E4230"/>
    <w:rsid w:val="006E44DE"/>
    <w:rsid w:val="006E4963"/>
    <w:rsid w:val="006E49CB"/>
    <w:rsid w:val="006E49E2"/>
    <w:rsid w:val="006E4B01"/>
    <w:rsid w:val="006E4B45"/>
    <w:rsid w:val="006E4B75"/>
    <w:rsid w:val="006E4BE8"/>
    <w:rsid w:val="006E4E6C"/>
    <w:rsid w:val="006E4EEB"/>
    <w:rsid w:val="006E52FE"/>
    <w:rsid w:val="006E53B1"/>
    <w:rsid w:val="006E552B"/>
    <w:rsid w:val="006E5577"/>
    <w:rsid w:val="006E561E"/>
    <w:rsid w:val="006E5714"/>
    <w:rsid w:val="006E5759"/>
    <w:rsid w:val="006E586D"/>
    <w:rsid w:val="006E5BE6"/>
    <w:rsid w:val="006E5E38"/>
    <w:rsid w:val="006E610D"/>
    <w:rsid w:val="006E6358"/>
    <w:rsid w:val="006E63B6"/>
    <w:rsid w:val="006E641C"/>
    <w:rsid w:val="006E6521"/>
    <w:rsid w:val="006E66FA"/>
    <w:rsid w:val="006E67F8"/>
    <w:rsid w:val="006E6832"/>
    <w:rsid w:val="006E68A7"/>
    <w:rsid w:val="006E697D"/>
    <w:rsid w:val="006E6B84"/>
    <w:rsid w:val="006E6C7F"/>
    <w:rsid w:val="006E6DB0"/>
    <w:rsid w:val="006E6F54"/>
    <w:rsid w:val="006E71B7"/>
    <w:rsid w:val="006E745F"/>
    <w:rsid w:val="006E7479"/>
    <w:rsid w:val="006E74E5"/>
    <w:rsid w:val="006E756C"/>
    <w:rsid w:val="006E77E7"/>
    <w:rsid w:val="006E7802"/>
    <w:rsid w:val="006E796C"/>
    <w:rsid w:val="006E7AF8"/>
    <w:rsid w:val="006E7C49"/>
    <w:rsid w:val="006E7D4D"/>
    <w:rsid w:val="006E7E5F"/>
    <w:rsid w:val="006E7EA3"/>
    <w:rsid w:val="006F00D9"/>
    <w:rsid w:val="006F00E3"/>
    <w:rsid w:val="006F0125"/>
    <w:rsid w:val="006F0307"/>
    <w:rsid w:val="006F0339"/>
    <w:rsid w:val="006F03C9"/>
    <w:rsid w:val="006F0476"/>
    <w:rsid w:val="006F0563"/>
    <w:rsid w:val="006F082F"/>
    <w:rsid w:val="006F09A9"/>
    <w:rsid w:val="006F0E3B"/>
    <w:rsid w:val="006F0E73"/>
    <w:rsid w:val="006F1134"/>
    <w:rsid w:val="006F116F"/>
    <w:rsid w:val="006F1190"/>
    <w:rsid w:val="006F129E"/>
    <w:rsid w:val="006F154E"/>
    <w:rsid w:val="006F155F"/>
    <w:rsid w:val="006F1720"/>
    <w:rsid w:val="006F180B"/>
    <w:rsid w:val="006F192B"/>
    <w:rsid w:val="006F19C2"/>
    <w:rsid w:val="006F1B87"/>
    <w:rsid w:val="006F1EB1"/>
    <w:rsid w:val="006F215D"/>
    <w:rsid w:val="006F23E9"/>
    <w:rsid w:val="006F2507"/>
    <w:rsid w:val="006F27DE"/>
    <w:rsid w:val="006F29A1"/>
    <w:rsid w:val="006F2C6D"/>
    <w:rsid w:val="006F2E89"/>
    <w:rsid w:val="006F2F1E"/>
    <w:rsid w:val="006F2F3F"/>
    <w:rsid w:val="006F3106"/>
    <w:rsid w:val="006F31EF"/>
    <w:rsid w:val="006F3274"/>
    <w:rsid w:val="006F37BD"/>
    <w:rsid w:val="006F3A41"/>
    <w:rsid w:val="006F3A45"/>
    <w:rsid w:val="006F3AB0"/>
    <w:rsid w:val="006F3ADB"/>
    <w:rsid w:val="006F3F90"/>
    <w:rsid w:val="006F425A"/>
    <w:rsid w:val="006F44F5"/>
    <w:rsid w:val="006F4829"/>
    <w:rsid w:val="006F485C"/>
    <w:rsid w:val="006F4A5A"/>
    <w:rsid w:val="006F4A6A"/>
    <w:rsid w:val="006F4F78"/>
    <w:rsid w:val="006F5436"/>
    <w:rsid w:val="006F54E5"/>
    <w:rsid w:val="006F54E7"/>
    <w:rsid w:val="006F5759"/>
    <w:rsid w:val="006F595F"/>
    <w:rsid w:val="006F5977"/>
    <w:rsid w:val="006F59B4"/>
    <w:rsid w:val="006F5A15"/>
    <w:rsid w:val="006F5A2F"/>
    <w:rsid w:val="006F5BAE"/>
    <w:rsid w:val="006F5CE0"/>
    <w:rsid w:val="006F5F06"/>
    <w:rsid w:val="006F60B4"/>
    <w:rsid w:val="006F65C7"/>
    <w:rsid w:val="006F66F6"/>
    <w:rsid w:val="006F68A8"/>
    <w:rsid w:val="006F6977"/>
    <w:rsid w:val="006F69E4"/>
    <w:rsid w:val="006F6BE3"/>
    <w:rsid w:val="006F6E8A"/>
    <w:rsid w:val="006F6EBF"/>
    <w:rsid w:val="006F70E1"/>
    <w:rsid w:val="006F7386"/>
    <w:rsid w:val="006F7565"/>
    <w:rsid w:val="006F77CD"/>
    <w:rsid w:val="006F78B4"/>
    <w:rsid w:val="006F7B50"/>
    <w:rsid w:val="006F7CAD"/>
    <w:rsid w:val="006F7F9F"/>
    <w:rsid w:val="0070066F"/>
    <w:rsid w:val="00700AA4"/>
    <w:rsid w:val="00700B33"/>
    <w:rsid w:val="00700B74"/>
    <w:rsid w:val="00701093"/>
    <w:rsid w:val="0070141A"/>
    <w:rsid w:val="00701516"/>
    <w:rsid w:val="00701551"/>
    <w:rsid w:val="007018D3"/>
    <w:rsid w:val="00701ABE"/>
    <w:rsid w:val="00701C94"/>
    <w:rsid w:val="00701DC9"/>
    <w:rsid w:val="00701EB4"/>
    <w:rsid w:val="007021EE"/>
    <w:rsid w:val="00702368"/>
    <w:rsid w:val="0070257C"/>
    <w:rsid w:val="00702647"/>
    <w:rsid w:val="0070265D"/>
    <w:rsid w:val="007027ED"/>
    <w:rsid w:val="007028B2"/>
    <w:rsid w:val="007028DC"/>
    <w:rsid w:val="007029EC"/>
    <w:rsid w:val="00702A66"/>
    <w:rsid w:val="00702B7A"/>
    <w:rsid w:val="00702CCB"/>
    <w:rsid w:val="007033BC"/>
    <w:rsid w:val="00703AD8"/>
    <w:rsid w:val="00703AF3"/>
    <w:rsid w:val="00703BBF"/>
    <w:rsid w:val="00703BEC"/>
    <w:rsid w:val="00703D71"/>
    <w:rsid w:val="0070416B"/>
    <w:rsid w:val="00704AC0"/>
    <w:rsid w:val="00704B9E"/>
    <w:rsid w:val="00704CC2"/>
    <w:rsid w:val="00704EE2"/>
    <w:rsid w:val="0070520A"/>
    <w:rsid w:val="00705358"/>
    <w:rsid w:val="00705648"/>
    <w:rsid w:val="007057CD"/>
    <w:rsid w:val="00705A16"/>
    <w:rsid w:val="00705C86"/>
    <w:rsid w:val="00705D94"/>
    <w:rsid w:val="00705DC2"/>
    <w:rsid w:val="00705E6C"/>
    <w:rsid w:val="00705F00"/>
    <w:rsid w:val="007061D2"/>
    <w:rsid w:val="00706257"/>
    <w:rsid w:val="0070625A"/>
    <w:rsid w:val="007063AC"/>
    <w:rsid w:val="0070640B"/>
    <w:rsid w:val="0070658F"/>
    <w:rsid w:val="00706598"/>
    <w:rsid w:val="00706695"/>
    <w:rsid w:val="00706747"/>
    <w:rsid w:val="00706A47"/>
    <w:rsid w:val="00706A5F"/>
    <w:rsid w:val="00706A9D"/>
    <w:rsid w:val="00706BCC"/>
    <w:rsid w:val="00706C3B"/>
    <w:rsid w:val="007070D8"/>
    <w:rsid w:val="007071E0"/>
    <w:rsid w:val="007071EF"/>
    <w:rsid w:val="007071FF"/>
    <w:rsid w:val="00707254"/>
    <w:rsid w:val="00707256"/>
    <w:rsid w:val="007073CD"/>
    <w:rsid w:val="007073DC"/>
    <w:rsid w:val="0070777B"/>
    <w:rsid w:val="00707D64"/>
    <w:rsid w:val="00707E4E"/>
    <w:rsid w:val="00707FC6"/>
    <w:rsid w:val="007100C4"/>
    <w:rsid w:val="007100CF"/>
    <w:rsid w:val="0071011A"/>
    <w:rsid w:val="007102DB"/>
    <w:rsid w:val="007106CE"/>
    <w:rsid w:val="007107AC"/>
    <w:rsid w:val="0071095F"/>
    <w:rsid w:val="00710AA6"/>
    <w:rsid w:val="00710CA6"/>
    <w:rsid w:val="00710EA4"/>
    <w:rsid w:val="00710FF5"/>
    <w:rsid w:val="0071100D"/>
    <w:rsid w:val="007112DD"/>
    <w:rsid w:val="007112E5"/>
    <w:rsid w:val="00711376"/>
    <w:rsid w:val="007114EF"/>
    <w:rsid w:val="00711675"/>
    <w:rsid w:val="007117E3"/>
    <w:rsid w:val="00711823"/>
    <w:rsid w:val="00711957"/>
    <w:rsid w:val="00711DC2"/>
    <w:rsid w:val="00711F76"/>
    <w:rsid w:val="00711F91"/>
    <w:rsid w:val="00712025"/>
    <w:rsid w:val="007122C1"/>
    <w:rsid w:val="007125CD"/>
    <w:rsid w:val="007127DA"/>
    <w:rsid w:val="007129AE"/>
    <w:rsid w:val="00712C11"/>
    <w:rsid w:val="00712D3C"/>
    <w:rsid w:val="00712DEE"/>
    <w:rsid w:val="00712ECA"/>
    <w:rsid w:val="00712FB7"/>
    <w:rsid w:val="00713221"/>
    <w:rsid w:val="0071362C"/>
    <w:rsid w:val="00713719"/>
    <w:rsid w:val="00713878"/>
    <w:rsid w:val="00713C27"/>
    <w:rsid w:val="00713CB9"/>
    <w:rsid w:val="00713D54"/>
    <w:rsid w:val="007140DD"/>
    <w:rsid w:val="007140EF"/>
    <w:rsid w:val="007140FE"/>
    <w:rsid w:val="00714360"/>
    <w:rsid w:val="00714366"/>
    <w:rsid w:val="0071454A"/>
    <w:rsid w:val="0071467C"/>
    <w:rsid w:val="007146C0"/>
    <w:rsid w:val="00714800"/>
    <w:rsid w:val="0071486F"/>
    <w:rsid w:val="007148CD"/>
    <w:rsid w:val="00714A85"/>
    <w:rsid w:val="00714D75"/>
    <w:rsid w:val="00714DF2"/>
    <w:rsid w:val="00714EC9"/>
    <w:rsid w:val="00714FC1"/>
    <w:rsid w:val="00715174"/>
    <w:rsid w:val="00715504"/>
    <w:rsid w:val="0071561F"/>
    <w:rsid w:val="00715661"/>
    <w:rsid w:val="0071567E"/>
    <w:rsid w:val="00715913"/>
    <w:rsid w:val="007159AE"/>
    <w:rsid w:val="00715A48"/>
    <w:rsid w:val="00715AA6"/>
    <w:rsid w:val="00715B97"/>
    <w:rsid w:val="00715C4E"/>
    <w:rsid w:val="00715DB2"/>
    <w:rsid w:val="00715DE7"/>
    <w:rsid w:val="00715E16"/>
    <w:rsid w:val="00715EB1"/>
    <w:rsid w:val="00715F40"/>
    <w:rsid w:val="0071616E"/>
    <w:rsid w:val="007162F6"/>
    <w:rsid w:val="0071632A"/>
    <w:rsid w:val="00716441"/>
    <w:rsid w:val="00716458"/>
    <w:rsid w:val="0071645A"/>
    <w:rsid w:val="0071650B"/>
    <w:rsid w:val="0071656C"/>
    <w:rsid w:val="007166E4"/>
    <w:rsid w:val="00716901"/>
    <w:rsid w:val="00716C59"/>
    <w:rsid w:val="00716C5F"/>
    <w:rsid w:val="00716D1E"/>
    <w:rsid w:val="0071707A"/>
    <w:rsid w:val="007175E9"/>
    <w:rsid w:val="007175F9"/>
    <w:rsid w:val="00717AD3"/>
    <w:rsid w:val="00717C67"/>
    <w:rsid w:val="00717CE8"/>
    <w:rsid w:val="00717D85"/>
    <w:rsid w:val="00717FA1"/>
    <w:rsid w:val="007202F6"/>
    <w:rsid w:val="0072032A"/>
    <w:rsid w:val="00720343"/>
    <w:rsid w:val="00720556"/>
    <w:rsid w:val="00720700"/>
    <w:rsid w:val="00720858"/>
    <w:rsid w:val="00720A21"/>
    <w:rsid w:val="00720F3B"/>
    <w:rsid w:val="00721096"/>
    <w:rsid w:val="007211D7"/>
    <w:rsid w:val="00721393"/>
    <w:rsid w:val="00721741"/>
    <w:rsid w:val="00721D57"/>
    <w:rsid w:val="00721FC5"/>
    <w:rsid w:val="0072210D"/>
    <w:rsid w:val="0072220D"/>
    <w:rsid w:val="00722422"/>
    <w:rsid w:val="0072249B"/>
    <w:rsid w:val="00722AE4"/>
    <w:rsid w:val="00722D64"/>
    <w:rsid w:val="00722F08"/>
    <w:rsid w:val="0072306C"/>
    <w:rsid w:val="007231C7"/>
    <w:rsid w:val="007232F7"/>
    <w:rsid w:val="00723308"/>
    <w:rsid w:val="00723A08"/>
    <w:rsid w:val="00723C99"/>
    <w:rsid w:val="00724103"/>
    <w:rsid w:val="0072427B"/>
    <w:rsid w:val="007249AC"/>
    <w:rsid w:val="00724BC0"/>
    <w:rsid w:val="00724DDF"/>
    <w:rsid w:val="00724F6C"/>
    <w:rsid w:val="007251D6"/>
    <w:rsid w:val="00725384"/>
    <w:rsid w:val="0072578E"/>
    <w:rsid w:val="00725921"/>
    <w:rsid w:val="00725956"/>
    <w:rsid w:val="00725986"/>
    <w:rsid w:val="00725CA8"/>
    <w:rsid w:val="00725EF0"/>
    <w:rsid w:val="00725F5B"/>
    <w:rsid w:val="00725FD7"/>
    <w:rsid w:val="0072633B"/>
    <w:rsid w:val="00726392"/>
    <w:rsid w:val="00726500"/>
    <w:rsid w:val="0072661C"/>
    <w:rsid w:val="0072684F"/>
    <w:rsid w:val="00726B41"/>
    <w:rsid w:val="00726C15"/>
    <w:rsid w:val="00726D63"/>
    <w:rsid w:val="00726EB5"/>
    <w:rsid w:val="00726FE4"/>
    <w:rsid w:val="007274C1"/>
    <w:rsid w:val="00727690"/>
    <w:rsid w:val="0072778B"/>
    <w:rsid w:val="00727947"/>
    <w:rsid w:val="0072794F"/>
    <w:rsid w:val="00727D02"/>
    <w:rsid w:val="00727D05"/>
    <w:rsid w:val="00727D64"/>
    <w:rsid w:val="00727F61"/>
    <w:rsid w:val="00727FD5"/>
    <w:rsid w:val="0073021A"/>
    <w:rsid w:val="007302A2"/>
    <w:rsid w:val="0073056A"/>
    <w:rsid w:val="00730791"/>
    <w:rsid w:val="00730B61"/>
    <w:rsid w:val="00730B97"/>
    <w:rsid w:val="00730C00"/>
    <w:rsid w:val="007316DA"/>
    <w:rsid w:val="00731705"/>
    <w:rsid w:val="0073171C"/>
    <w:rsid w:val="00731911"/>
    <w:rsid w:val="00731A7A"/>
    <w:rsid w:val="00731C00"/>
    <w:rsid w:val="00731D6E"/>
    <w:rsid w:val="00731E79"/>
    <w:rsid w:val="0073207C"/>
    <w:rsid w:val="007321EE"/>
    <w:rsid w:val="0073234F"/>
    <w:rsid w:val="007324AB"/>
    <w:rsid w:val="00732766"/>
    <w:rsid w:val="0073277E"/>
    <w:rsid w:val="00732A47"/>
    <w:rsid w:val="00732BEF"/>
    <w:rsid w:val="00732BF5"/>
    <w:rsid w:val="00732D75"/>
    <w:rsid w:val="007331DC"/>
    <w:rsid w:val="00733822"/>
    <w:rsid w:val="00733A95"/>
    <w:rsid w:val="00733AFC"/>
    <w:rsid w:val="00733CC0"/>
    <w:rsid w:val="00733CC4"/>
    <w:rsid w:val="00733DBA"/>
    <w:rsid w:val="00733E0A"/>
    <w:rsid w:val="00734023"/>
    <w:rsid w:val="007340EE"/>
    <w:rsid w:val="00734333"/>
    <w:rsid w:val="007348B9"/>
    <w:rsid w:val="007349AB"/>
    <w:rsid w:val="00734B16"/>
    <w:rsid w:val="00734B8F"/>
    <w:rsid w:val="00734BBE"/>
    <w:rsid w:val="00734FC6"/>
    <w:rsid w:val="007350D8"/>
    <w:rsid w:val="007350FA"/>
    <w:rsid w:val="0073510B"/>
    <w:rsid w:val="00735149"/>
    <w:rsid w:val="00735191"/>
    <w:rsid w:val="00735415"/>
    <w:rsid w:val="00735449"/>
    <w:rsid w:val="00735541"/>
    <w:rsid w:val="007355E7"/>
    <w:rsid w:val="0073569C"/>
    <w:rsid w:val="00735700"/>
    <w:rsid w:val="0073577B"/>
    <w:rsid w:val="00735784"/>
    <w:rsid w:val="00735831"/>
    <w:rsid w:val="007358AB"/>
    <w:rsid w:val="0073592B"/>
    <w:rsid w:val="00735A06"/>
    <w:rsid w:val="00735BAA"/>
    <w:rsid w:val="00735C14"/>
    <w:rsid w:val="00735DBD"/>
    <w:rsid w:val="00736049"/>
    <w:rsid w:val="007360D3"/>
    <w:rsid w:val="00736199"/>
    <w:rsid w:val="00736226"/>
    <w:rsid w:val="0073630E"/>
    <w:rsid w:val="007363DD"/>
    <w:rsid w:val="00736533"/>
    <w:rsid w:val="00736537"/>
    <w:rsid w:val="0073665B"/>
    <w:rsid w:val="00736A7B"/>
    <w:rsid w:val="00736D07"/>
    <w:rsid w:val="00736DFE"/>
    <w:rsid w:val="00736F8C"/>
    <w:rsid w:val="00737244"/>
    <w:rsid w:val="007372E6"/>
    <w:rsid w:val="007373EF"/>
    <w:rsid w:val="00737421"/>
    <w:rsid w:val="00737803"/>
    <w:rsid w:val="00737864"/>
    <w:rsid w:val="007378F8"/>
    <w:rsid w:val="00737987"/>
    <w:rsid w:val="007379DC"/>
    <w:rsid w:val="00737B57"/>
    <w:rsid w:val="00737CB6"/>
    <w:rsid w:val="00737CBB"/>
    <w:rsid w:val="00737E77"/>
    <w:rsid w:val="00740152"/>
    <w:rsid w:val="007405BB"/>
    <w:rsid w:val="007405F3"/>
    <w:rsid w:val="007406BD"/>
    <w:rsid w:val="007407C7"/>
    <w:rsid w:val="00740853"/>
    <w:rsid w:val="00740B17"/>
    <w:rsid w:val="00740BDC"/>
    <w:rsid w:val="00740C98"/>
    <w:rsid w:val="00740CBF"/>
    <w:rsid w:val="00740CE1"/>
    <w:rsid w:val="00740D2B"/>
    <w:rsid w:val="00740E43"/>
    <w:rsid w:val="00740EB7"/>
    <w:rsid w:val="00740EE2"/>
    <w:rsid w:val="00740F7E"/>
    <w:rsid w:val="007411F1"/>
    <w:rsid w:val="00741246"/>
    <w:rsid w:val="0074133A"/>
    <w:rsid w:val="0074147D"/>
    <w:rsid w:val="007415AF"/>
    <w:rsid w:val="007415C7"/>
    <w:rsid w:val="00741778"/>
    <w:rsid w:val="00741857"/>
    <w:rsid w:val="007418F0"/>
    <w:rsid w:val="00741A26"/>
    <w:rsid w:val="00741AEA"/>
    <w:rsid w:val="00741B7B"/>
    <w:rsid w:val="00741C53"/>
    <w:rsid w:val="00741E28"/>
    <w:rsid w:val="00741FFA"/>
    <w:rsid w:val="007420C3"/>
    <w:rsid w:val="007420D5"/>
    <w:rsid w:val="007421BC"/>
    <w:rsid w:val="007422E1"/>
    <w:rsid w:val="0074232E"/>
    <w:rsid w:val="0074246E"/>
    <w:rsid w:val="007426AA"/>
    <w:rsid w:val="00742753"/>
    <w:rsid w:val="00742778"/>
    <w:rsid w:val="00742791"/>
    <w:rsid w:val="0074287F"/>
    <w:rsid w:val="00742E1A"/>
    <w:rsid w:val="00742F91"/>
    <w:rsid w:val="0074304A"/>
    <w:rsid w:val="00743673"/>
    <w:rsid w:val="007437A8"/>
    <w:rsid w:val="00743816"/>
    <w:rsid w:val="00743B82"/>
    <w:rsid w:val="00743BAD"/>
    <w:rsid w:val="00743E64"/>
    <w:rsid w:val="00743F4A"/>
    <w:rsid w:val="00743F89"/>
    <w:rsid w:val="007440DA"/>
    <w:rsid w:val="0074458B"/>
    <w:rsid w:val="00744B96"/>
    <w:rsid w:val="00744D23"/>
    <w:rsid w:val="00744EF2"/>
    <w:rsid w:val="00744F8D"/>
    <w:rsid w:val="007456D6"/>
    <w:rsid w:val="007457AE"/>
    <w:rsid w:val="00745840"/>
    <w:rsid w:val="00745887"/>
    <w:rsid w:val="00745994"/>
    <w:rsid w:val="00745C57"/>
    <w:rsid w:val="00745DB3"/>
    <w:rsid w:val="00745DD0"/>
    <w:rsid w:val="00745EAA"/>
    <w:rsid w:val="00746097"/>
    <w:rsid w:val="00746276"/>
    <w:rsid w:val="00746830"/>
    <w:rsid w:val="00746841"/>
    <w:rsid w:val="00746AB7"/>
    <w:rsid w:val="00746B0A"/>
    <w:rsid w:val="00746C36"/>
    <w:rsid w:val="00746C4B"/>
    <w:rsid w:val="00746DB3"/>
    <w:rsid w:val="00746FDF"/>
    <w:rsid w:val="0074704A"/>
    <w:rsid w:val="00747160"/>
    <w:rsid w:val="007471EB"/>
    <w:rsid w:val="00747260"/>
    <w:rsid w:val="007476E3"/>
    <w:rsid w:val="00747753"/>
    <w:rsid w:val="007478FB"/>
    <w:rsid w:val="00747943"/>
    <w:rsid w:val="007479AF"/>
    <w:rsid w:val="00747A8A"/>
    <w:rsid w:val="00747B00"/>
    <w:rsid w:val="00747B36"/>
    <w:rsid w:val="00747B4F"/>
    <w:rsid w:val="00747BC1"/>
    <w:rsid w:val="00747EFD"/>
    <w:rsid w:val="00750032"/>
    <w:rsid w:val="007500C6"/>
    <w:rsid w:val="007503BB"/>
    <w:rsid w:val="007504AD"/>
    <w:rsid w:val="00750A04"/>
    <w:rsid w:val="00750C45"/>
    <w:rsid w:val="00750D1A"/>
    <w:rsid w:val="00750E5A"/>
    <w:rsid w:val="00750F12"/>
    <w:rsid w:val="00751159"/>
    <w:rsid w:val="007511D8"/>
    <w:rsid w:val="00751812"/>
    <w:rsid w:val="00751A7D"/>
    <w:rsid w:val="00751AA7"/>
    <w:rsid w:val="00751B95"/>
    <w:rsid w:val="00751C15"/>
    <w:rsid w:val="00751E33"/>
    <w:rsid w:val="00751F4B"/>
    <w:rsid w:val="00752088"/>
    <w:rsid w:val="007523E0"/>
    <w:rsid w:val="007524B4"/>
    <w:rsid w:val="00752533"/>
    <w:rsid w:val="00752910"/>
    <w:rsid w:val="00752A92"/>
    <w:rsid w:val="00752B13"/>
    <w:rsid w:val="00752F2B"/>
    <w:rsid w:val="0075308A"/>
    <w:rsid w:val="0075327C"/>
    <w:rsid w:val="0075328A"/>
    <w:rsid w:val="007533A4"/>
    <w:rsid w:val="00753838"/>
    <w:rsid w:val="00753BBB"/>
    <w:rsid w:val="00753D52"/>
    <w:rsid w:val="00753D7D"/>
    <w:rsid w:val="007541C1"/>
    <w:rsid w:val="0075431E"/>
    <w:rsid w:val="0075437B"/>
    <w:rsid w:val="007543AA"/>
    <w:rsid w:val="0075443E"/>
    <w:rsid w:val="0075462E"/>
    <w:rsid w:val="007546DF"/>
    <w:rsid w:val="00754844"/>
    <w:rsid w:val="00754C07"/>
    <w:rsid w:val="00754CF4"/>
    <w:rsid w:val="007550A0"/>
    <w:rsid w:val="007551A2"/>
    <w:rsid w:val="0075528E"/>
    <w:rsid w:val="00755334"/>
    <w:rsid w:val="00755451"/>
    <w:rsid w:val="0075558D"/>
    <w:rsid w:val="007557C1"/>
    <w:rsid w:val="00755A0E"/>
    <w:rsid w:val="00755E87"/>
    <w:rsid w:val="00755F51"/>
    <w:rsid w:val="007562F9"/>
    <w:rsid w:val="007564CD"/>
    <w:rsid w:val="00756647"/>
    <w:rsid w:val="007566AA"/>
    <w:rsid w:val="00756AA3"/>
    <w:rsid w:val="00756BD0"/>
    <w:rsid w:val="00756DD9"/>
    <w:rsid w:val="00756E05"/>
    <w:rsid w:val="00756E23"/>
    <w:rsid w:val="00757237"/>
    <w:rsid w:val="0075723F"/>
    <w:rsid w:val="00757288"/>
    <w:rsid w:val="0075760E"/>
    <w:rsid w:val="007578F8"/>
    <w:rsid w:val="00757A0F"/>
    <w:rsid w:val="00757B74"/>
    <w:rsid w:val="00757C55"/>
    <w:rsid w:val="0076001D"/>
    <w:rsid w:val="00760121"/>
    <w:rsid w:val="0076086B"/>
    <w:rsid w:val="007609B8"/>
    <w:rsid w:val="00760AD4"/>
    <w:rsid w:val="00760B25"/>
    <w:rsid w:val="00760C5D"/>
    <w:rsid w:val="00760DC2"/>
    <w:rsid w:val="00760DE7"/>
    <w:rsid w:val="00761087"/>
    <w:rsid w:val="0076123F"/>
    <w:rsid w:val="00761442"/>
    <w:rsid w:val="0076150B"/>
    <w:rsid w:val="00761565"/>
    <w:rsid w:val="007616B2"/>
    <w:rsid w:val="007616EB"/>
    <w:rsid w:val="007617F8"/>
    <w:rsid w:val="00761884"/>
    <w:rsid w:val="00761937"/>
    <w:rsid w:val="007619D9"/>
    <w:rsid w:val="00761B10"/>
    <w:rsid w:val="00761C59"/>
    <w:rsid w:val="00761E72"/>
    <w:rsid w:val="0076215C"/>
    <w:rsid w:val="00762166"/>
    <w:rsid w:val="00762217"/>
    <w:rsid w:val="007624D3"/>
    <w:rsid w:val="007628CD"/>
    <w:rsid w:val="007628F6"/>
    <w:rsid w:val="00762B34"/>
    <w:rsid w:val="00762EF3"/>
    <w:rsid w:val="00762EF4"/>
    <w:rsid w:val="00763022"/>
    <w:rsid w:val="00763028"/>
    <w:rsid w:val="00763036"/>
    <w:rsid w:val="00763103"/>
    <w:rsid w:val="0076313E"/>
    <w:rsid w:val="00763283"/>
    <w:rsid w:val="0076362D"/>
    <w:rsid w:val="00763650"/>
    <w:rsid w:val="0076375B"/>
    <w:rsid w:val="00763856"/>
    <w:rsid w:val="00763BF9"/>
    <w:rsid w:val="00763D4B"/>
    <w:rsid w:val="00763EB7"/>
    <w:rsid w:val="0076415E"/>
    <w:rsid w:val="007641BE"/>
    <w:rsid w:val="0076468C"/>
    <w:rsid w:val="00764B6C"/>
    <w:rsid w:val="00764C1D"/>
    <w:rsid w:val="007651AA"/>
    <w:rsid w:val="0076536B"/>
    <w:rsid w:val="007659F0"/>
    <w:rsid w:val="00765AD9"/>
    <w:rsid w:val="00765B40"/>
    <w:rsid w:val="00765BFF"/>
    <w:rsid w:val="00765DEC"/>
    <w:rsid w:val="00765E82"/>
    <w:rsid w:val="00765F04"/>
    <w:rsid w:val="007660AA"/>
    <w:rsid w:val="00766190"/>
    <w:rsid w:val="0076621E"/>
    <w:rsid w:val="007663A2"/>
    <w:rsid w:val="007667ED"/>
    <w:rsid w:val="007668AF"/>
    <w:rsid w:val="00766B35"/>
    <w:rsid w:val="00766BBF"/>
    <w:rsid w:val="00766C36"/>
    <w:rsid w:val="00766E5C"/>
    <w:rsid w:val="00766EE1"/>
    <w:rsid w:val="00766EFD"/>
    <w:rsid w:val="00766F60"/>
    <w:rsid w:val="007672E6"/>
    <w:rsid w:val="0076742B"/>
    <w:rsid w:val="00767444"/>
    <w:rsid w:val="007679FB"/>
    <w:rsid w:val="00767AE8"/>
    <w:rsid w:val="00767C45"/>
    <w:rsid w:val="00767D31"/>
    <w:rsid w:val="00767D6A"/>
    <w:rsid w:val="00767DA2"/>
    <w:rsid w:val="00767FF4"/>
    <w:rsid w:val="00770076"/>
    <w:rsid w:val="00770153"/>
    <w:rsid w:val="0077041F"/>
    <w:rsid w:val="0077061C"/>
    <w:rsid w:val="00770725"/>
    <w:rsid w:val="007708F1"/>
    <w:rsid w:val="007709F9"/>
    <w:rsid w:val="00770B7C"/>
    <w:rsid w:val="00770B94"/>
    <w:rsid w:val="00770CF2"/>
    <w:rsid w:val="00770F29"/>
    <w:rsid w:val="00771225"/>
    <w:rsid w:val="0077126D"/>
    <w:rsid w:val="007713EC"/>
    <w:rsid w:val="00771550"/>
    <w:rsid w:val="0077174F"/>
    <w:rsid w:val="00771989"/>
    <w:rsid w:val="00771ADB"/>
    <w:rsid w:val="00771D1C"/>
    <w:rsid w:val="00771F65"/>
    <w:rsid w:val="00771FA5"/>
    <w:rsid w:val="00771FB0"/>
    <w:rsid w:val="007720C2"/>
    <w:rsid w:val="00772277"/>
    <w:rsid w:val="007722A9"/>
    <w:rsid w:val="007722B4"/>
    <w:rsid w:val="007724DB"/>
    <w:rsid w:val="00772748"/>
    <w:rsid w:val="00772842"/>
    <w:rsid w:val="00772858"/>
    <w:rsid w:val="00772CE3"/>
    <w:rsid w:val="00772E4C"/>
    <w:rsid w:val="00773105"/>
    <w:rsid w:val="007731A6"/>
    <w:rsid w:val="007732DA"/>
    <w:rsid w:val="00773304"/>
    <w:rsid w:val="0077366D"/>
    <w:rsid w:val="007736E5"/>
    <w:rsid w:val="00773914"/>
    <w:rsid w:val="00773CC1"/>
    <w:rsid w:val="00773D75"/>
    <w:rsid w:val="00773F53"/>
    <w:rsid w:val="007740DC"/>
    <w:rsid w:val="00774175"/>
    <w:rsid w:val="007744C9"/>
    <w:rsid w:val="007745ED"/>
    <w:rsid w:val="007748E3"/>
    <w:rsid w:val="00774A32"/>
    <w:rsid w:val="00774B04"/>
    <w:rsid w:val="00774D50"/>
    <w:rsid w:val="00774E49"/>
    <w:rsid w:val="0077507A"/>
    <w:rsid w:val="007755CB"/>
    <w:rsid w:val="00775622"/>
    <w:rsid w:val="0077563E"/>
    <w:rsid w:val="007759F2"/>
    <w:rsid w:val="00775A1D"/>
    <w:rsid w:val="00775AC6"/>
    <w:rsid w:val="00775ACD"/>
    <w:rsid w:val="00775CE4"/>
    <w:rsid w:val="00775F05"/>
    <w:rsid w:val="00775F90"/>
    <w:rsid w:val="007761DD"/>
    <w:rsid w:val="0077622F"/>
    <w:rsid w:val="007765A9"/>
    <w:rsid w:val="00776767"/>
    <w:rsid w:val="00776813"/>
    <w:rsid w:val="00776A13"/>
    <w:rsid w:val="00776A69"/>
    <w:rsid w:val="00776AD1"/>
    <w:rsid w:val="00776B23"/>
    <w:rsid w:val="00776FDA"/>
    <w:rsid w:val="007773B2"/>
    <w:rsid w:val="007773B7"/>
    <w:rsid w:val="007773F4"/>
    <w:rsid w:val="00777529"/>
    <w:rsid w:val="0077764C"/>
    <w:rsid w:val="007776B7"/>
    <w:rsid w:val="0077788C"/>
    <w:rsid w:val="007778C5"/>
    <w:rsid w:val="007778EC"/>
    <w:rsid w:val="0077792F"/>
    <w:rsid w:val="00777A35"/>
    <w:rsid w:val="00777B5F"/>
    <w:rsid w:val="0077F6DE"/>
    <w:rsid w:val="0078008A"/>
    <w:rsid w:val="00780443"/>
    <w:rsid w:val="00780763"/>
    <w:rsid w:val="00780AEA"/>
    <w:rsid w:val="00780B54"/>
    <w:rsid w:val="00780BBF"/>
    <w:rsid w:val="00780CD3"/>
    <w:rsid w:val="00780E56"/>
    <w:rsid w:val="00781097"/>
    <w:rsid w:val="00781186"/>
    <w:rsid w:val="00781222"/>
    <w:rsid w:val="0078122F"/>
    <w:rsid w:val="00781258"/>
    <w:rsid w:val="007812D0"/>
    <w:rsid w:val="007812D2"/>
    <w:rsid w:val="0078149F"/>
    <w:rsid w:val="00781519"/>
    <w:rsid w:val="00781588"/>
    <w:rsid w:val="007816C9"/>
    <w:rsid w:val="00781705"/>
    <w:rsid w:val="00781853"/>
    <w:rsid w:val="00781A80"/>
    <w:rsid w:val="00781BD8"/>
    <w:rsid w:val="00781C18"/>
    <w:rsid w:val="00781F94"/>
    <w:rsid w:val="00781FCE"/>
    <w:rsid w:val="00782256"/>
    <w:rsid w:val="0078253F"/>
    <w:rsid w:val="007825B0"/>
    <w:rsid w:val="007825FC"/>
    <w:rsid w:val="00782779"/>
    <w:rsid w:val="00782B15"/>
    <w:rsid w:val="00782D4D"/>
    <w:rsid w:val="00782DF0"/>
    <w:rsid w:val="00782F23"/>
    <w:rsid w:val="00782FF9"/>
    <w:rsid w:val="00783004"/>
    <w:rsid w:val="00783173"/>
    <w:rsid w:val="007831F8"/>
    <w:rsid w:val="0078322B"/>
    <w:rsid w:val="0078331C"/>
    <w:rsid w:val="00783474"/>
    <w:rsid w:val="007835D4"/>
    <w:rsid w:val="0078362E"/>
    <w:rsid w:val="007838C4"/>
    <w:rsid w:val="00783B30"/>
    <w:rsid w:val="00783C1C"/>
    <w:rsid w:val="00783DCB"/>
    <w:rsid w:val="00783E03"/>
    <w:rsid w:val="00783E50"/>
    <w:rsid w:val="00783F13"/>
    <w:rsid w:val="007840BE"/>
    <w:rsid w:val="00784148"/>
    <w:rsid w:val="0078427C"/>
    <w:rsid w:val="007844A7"/>
    <w:rsid w:val="007845A0"/>
    <w:rsid w:val="007846C3"/>
    <w:rsid w:val="00784709"/>
    <w:rsid w:val="00784853"/>
    <w:rsid w:val="00784FA6"/>
    <w:rsid w:val="0078512D"/>
    <w:rsid w:val="00785448"/>
    <w:rsid w:val="0078556E"/>
    <w:rsid w:val="00785ACF"/>
    <w:rsid w:val="00785B8D"/>
    <w:rsid w:val="00785BAA"/>
    <w:rsid w:val="00785C12"/>
    <w:rsid w:val="0078601B"/>
    <w:rsid w:val="007860AD"/>
    <w:rsid w:val="007860F9"/>
    <w:rsid w:val="007861C8"/>
    <w:rsid w:val="0078640B"/>
    <w:rsid w:val="00786516"/>
    <w:rsid w:val="00786518"/>
    <w:rsid w:val="00786740"/>
    <w:rsid w:val="007868B9"/>
    <w:rsid w:val="00786930"/>
    <w:rsid w:val="00786B07"/>
    <w:rsid w:val="00786C02"/>
    <w:rsid w:val="00786D5C"/>
    <w:rsid w:val="0078703F"/>
    <w:rsid w:val="0078735D"/>
    <w:rsid w:val="0078766E"/>
    <w:rsid w:val="007876C4"/>
    <w:rsid w:val="0078790E"/>
    <w:rsid w:val="00787A93"/>
    <w:rsid w:val="00787E2C"/>
    <w:rsid w:val="0079002C"/>
    <w:rsid w:val="007902D8"/>
    <w:rsid w:val="00790309"/>
    <w:rsid w:val="00790545"/>
    <w:rsid w:val="00790742"/>
    <w:rsid w:val="00790788"/>
    <w:rsid w:val="00790D35"/>
    <w:rsid w:val="00790DEA"/>
    <w:rsid w:val="00790E19"/>
    <w:rsid w:val="00790F74"/>
    <w:rsid w:val="00790FB9"/>
    <w:rsid w:val="00791018"/>
    <w:rsid w:val="0079107B"/>
    <w:rsid w:val="00791106"/>
    <w:rsid w:val="0079118B"/>
    <w:rsid w:val="0079153C"/>
    <w:rsid w:val="00791549"/>
    <w:rsid w:val="0079184B"/>
    <w:rsid w:val="0079185B"/>
    <w:rsid w:val="007918CF"/>
    <w:rsid w:val="0079190A"/>
    <w:rsid w:val="00791A3F"/>
    <w:rsid w:val="00791A4B"/>
    <w:rsid w:val="00791BA7"/>
    <w:rsid w:val="00791C04"/>
    <w:rsid w:val="00791F73"/>
    <w:rsid w:val="0079221B"/>
    <w:rsid w:val="00792269"/>
    <w:rsid w:val="0079233F"/>
    <w:rsid w:val="00792477"/>
    <w:rsid w:val="00792805"/>
    <w:rsid w:val="0079280A"/>
    <w:rsid w:val="0079299B"/>
    <w:rsid w:val="00792ABD"/>
    <w:rsid w:val="00792AC1"/>
    <w:rsid w:val="00792F4B"/>
    <w:rsid w:val="0079314B"/>
    <w:rsid w:val="00793151"/>
    <w:rsid w:val="00793278"/>
    <w:rsid w:val="007933B8"/>
    <w:rsid w:val="0079340D"/>
    <w:rsid w:val="007934FE"/>
    <w:rsid w:val="0079350D"/>
    <w:rsid w:val="00793578"/>
    <w:rsid w:val="007936C5"/>
    <w:rsid w:val="00793944"/>
    <w:rsid w:val="00793989"/>
    <w:rsid w:val="007939A4"/>
    <w:rsid w:val="007939C2"/>
    <w:rsid w:val="00793B30"/>
    <w:rsid w:val="00793E54"/>
    <w:rsid w:val="00794104"/>
    <w:rsid w:val="00794168"/>
    <w:rsid w:val="007942CD"/>
    <w:rsid w:val="00794345"/>
    <w:rsid w:val="007943BF"/>
    <w:rsid w:val="00794764"/>
    <w:rsid w:val="0079486A"/>
    <w:rsid w:val="00794939"/>
    <w:rsid w:val="00794A54"/>
    <w:rsid w:val="00794A5A"/>
    <w:rsid w:val="00794BE9"/>
    <w:rsid w:val="00794C9C"/>
    <w:rsid w:val="00794FB3"/>
    <w:rsid w:val="00795085"/>
    <w:rsid w:val="00795350"/>
    <w:rsid w:val="0079555F"/>
    <w:rsid w:val="00795637"/>
    <w:rsid w:val="00795838"/>
    <w:rsid w:val="0079584E"/>
    <w:rsid w:val="00795866"/>
    <w:rsid w:val="00795C96"/>
    <w:rsid w:val="00795CE1"/>
    <w:rsid w:val="00795CE3"/>
    <w:rsid w:val="00795D45"/>
    <w:rsid w:val="00795F23"/>
    <w:rsid w:val="007960FD"/>
    <w:rsid w:val="00796276"/>
    <w:rsid w:val="0079638C"/>
    <w:rsid w:val="0079649F"/>
    <w:rsid w:val="00796532"/>
    <w:rsid w:val="00796566"/>
    <w:rsid w:val="00796684"/>
    <w:rsid w:val="0079674C"/>
    <w:rsid w:val="007967A3"/>
    <w:rsid w:val="007967DF"/>
    <w:rsid w:val="007968DF"/>
    <w:rsid w:val="00796A1C"/>
    <w:rsid w:val="00796A79"/>
    <w:rsid w:val="00796AB6"/>
    <w:rsid w:val="00796C12"/>
    <w:rsid w:val="00796F48"/>
    <w:rsid w:val="00797155"/>
    <w:rsid w:val="00797364"/>
    <w:rsid w:val="00797532"/>
    <w:rsid w:val="007975F7"/>
    <w:rsid w:val="00797644"/>
    <w:rsid w:val="00797987"/>
    <w:rsid w:val="00797A06"/>
    <w:rsid w:val="00797A78"/>
    <w:rsid w:val="00797A8C"/>
    <w:rsid w:val="00797CD5"/>
    <w:rsid w:val="00797D15"/>
    <w:rsid w:val="007A00B4"/>
    <w:rsid w:val="007A015F"/>
    <w:rsid w:val="007A0254"/>
    <w:rsid w:val="007A080A"/>
    <w:rsid w:val="007A0813"/>
    <w:rsid w:val="007A0825"/>
    <w:rsid w:val="007A0D42"/>
    <w:rsid w:val="007A0E20"/>
    <w:rsid w:val="007A0E70"/>
    <w:rsid w:val="007A10D3"/>
    <w:rsid w:val="007A1322"/>
    <w:rsid w:val="007A159A"/>
    <w:rsid w:val="007A16D2"/>
    <w:rsid w:val="007A1D46"/>
    <w:rsid w:val="007A1FD6"/>
    <w:rsid w:val="007A2118"/>
    <w:rsid w:val="007A223A"/>
    <w:rsid w:val="007A2253"/>
    <w:rsid w:val="007A2336"/>
    <w:rsid w:val="007A24ED"/>
    <w:rsid w:val="007A2B3C"/>
    <w:rsid w:val="007A2B5B"/>
    <w:rsid w:val="007A2D55"/>
    <w:rsid w:val="007A328C"/>
    <w:rsid w:val="007A3301"/>
    <w:rsid w:val="007A33E6"/>
    <w:rsid w:val="007A3617"/>
    <w:rsid w:val="007A361B"/>
    <w:rsid w:val="007A376A"/>
    <w:rsid w:val="007A39EA"/>
    <w:rsid w:val="007A3B51"/>
    <w:rsid w:val="007A3C10"/>
    <w:rsid w:val="007A3F80"/>
    <w:rsid w:val="007A3FBE"/>
    <w:rsid w:val="007A4198"/>
    <w:rsid w:val="007A426F"/>
    <w:rsid w:val="007A4587"/>
    <w:rsid w:val="007A46DB"/>
    <w:rsid w:val="007A490B"/>
    <w:rsid w:val="007A4A9E"/>
    <w:rsid w:val="007A4BB2"/>
    <w:rsid w:val="007A5038"/>
    <w:rsid w:val="007A5137"/>
    <w:rsid w:val="007A5238"/>
    <w:rsid w:val="007A52B7"/>
    <w:rsid w:val="007A54CA"/>
    <w:rsid w:val="007A566B"/>
    <w:rsid w:val="007A5A2E"/>
    <w:rsid w:val="007A5ABF"/>
    <w:rsid w:val="007A5B42"/>
    <w:rsid w:val="007A5B4F"/>
    <w:rsid w:val="007A5CDB"/>
    <w:rsid w:val="007A5DA3"/>
    <w:rsid w:val="007A5E9F"/>
    <w:rsid w:val="007A5EDF"/>
    <w:rsid w:val="007A61FB"/>
    <w:rsid w:val="007A647D"/>
    <w:rsid w:val="007A6564"/>
    <w:rsid w:val="007A66ED"/>
    <w:rsid w:val="007A67A1"/>
    <w:rsid w:val="007A6BE9"/>
    <w:rsid w:val="007A6F21"/>
    <w:rsid w:val="007A7190"/>
    <w:rsid w:val="007A7392"/>
    <w:rsid w:val="007A7590"/>
    <w:rsid w:val="007A75C8"/>
    <w:rsid w:val="007A765F"/>
    <w:rsid w:val="007A76CF"/>
    <w:rsid w:val="007A7852"/>
    <w:rsid w:val="007A792B"/>
    <w:rsid w:val="007A7990"/>
    <w:rsid w:val="007A7B34"/>
    <w:rsid w:val="007A7E91"/>
    <w:rsid w:val="007A7EA5"/>
    <w:rsid w:val="007B015E"/>
    <w:rsid w:val="007B019B"/>
    <w:rsid w:val="007B01AA"/>
    <w:rsid w:val="007B026D"/>
    <w:rsid w:val="007B02B0"/>
    <w:rsid w:val="007B031F"/>
    <w:rsid w:val="007B0700"/>
    <w:rsid w:val="007B0757"/>
    <w:rsid w:val="007B083E"/>
    <w:rsid w:val="007B0850"/>
    <w:rsid w:val="007B08E1"/>
    <w:rsid w:val="007B091C"/>
    <w:rsid w:val="007B098C"/>
    <w:rsid w:val="007B0ACA"/>
    <w:rsid w:val="007B0B39"/>
    <w:rsid w:val="007B0E21"/>
    <w:rsid w:val="007B0E96"/>
    <w:rsid w:val="007B104A"/>
    <w:rsid w:val="007B10C7"/>
    <w:rsid w:val="007B142A"/>
    <w:rsid w:val="007B14AD"/>
    <w:rsid w:val="007B150C"/>
    <w:rsid w:val="007B1689"/>
    <w:rsid w:val="007B1DA8"/>
    <w:rsid w:val="007B223F"/>
    <w:rsid w:val="007B232D"/>
    <w:rsid w:val="007B2619"/>
    <w:rsid w:val="007B2B78"/>
    <w:rsid w:val="007B2B83"/>
    <w:rsid w:val="007B2B93"/>
    <w:rsid w:val="007B2CA1"/>
    <w:rsid w:val="007B2E84"/>
    <w:rsid w:val="007B2EB3"/>
    <w:rsid w:val="007B2F43"/>
    <w:rsid w:val="007B3178"/>
    <w:rsid w:val="007B3330"/>
    <w:rsid w:val="007B334E"/>
    <w:rsid w:val="007B3428"/>
    <w:rsid w:val="007B3478"/>
    <w:rsid w:val="007B35B6"/>
    <w:rsid w:val="007B3CA6"/>
    <w:rsid w:val="007B3CDC"/>
    <w:rsid w:val="007B42CC"/>
    <w:rsid w:val="007B4468"/>
    <w:rsid w:val="007B47DA"/>
    <w:rsid w:val="007B493F"/>
    <w:rsid w:val="007B4A0A"/>
    <w:rsid w:val="007B4DB0"/>
    <w:rsid w:val="007B4F05"/>
    <w:rsid w:val="007B4FE4"/>
    <w:rsid w:val="007B546F"/>
    <w:rsid w:val="007B5560"/>
    <w:rsid w:val="007B5638"/>
    <w:rsid w:val="007B5648"/>
    <w:rsid w:val="007B5696"/>
    <w:rsid w:val="007B58D0"/>
    <w:rsid w:val="007B5B80"/>
    <w:rsid w:val="007B5CF6"/>
    <w:rsid w:val="007B6057"/>
    <w:rsid w:val="007B6345"/>
    <w:rsid w:val="007B649C"/>
    <w:rsid w:val="007B64AF"/>
    <w:rsid w:val="007B6659"/>
    <w:rsid w:val="007B6820"/>
    <w:rsid w:val="007B699F"/>
    <w:rsid w:val="007B69C6"/>
    <w:rsid w:val="007B69F9"/>
    <w:rsid w:val="007B6A91"/>
    <w:rsid w:val="007B6C6F"/>
    <w:rsid w:val="007B6E49"/>
    <w:rsid w:val="007B6F51"/>
    <w:rsid w:val="007B6F8E"/>
    <w:rsid w:val="007B7221"/>
    <w:rsid w:val="007B7338"/>
    <w:rsid w:val="007B7383"/>
    <w:rsid w:val="007B7549"/>
    <w:rsid w:val="007B7954"/>
    <w:rsid w:val="007B7CF5"/>
    <w:rsid w:val="007C010A"/>
    <w:rsid w:val="007C015C"/>
    <w:rsid w:val="007C02A8"/>
    <w:rsid w:val="007C086F"/>
    <w:rsid w:val="007C0A48"/>
    <w:rsid w:val="007C0A89"/>
    <w:rsid w:val="007C0ABF"/>
    <w:rsid w:val="007C0B38"/>
    <w:rsid w:val="007C0C30"/>
    <w:rsid w:val="007C0C5E"/>
    <w:rsid w:val="007C0CD4"/>
    <w:rsid w:val="007C0EBB"/>
    <w:rsid w:val="007C0EBE"/>
    <w:rsid w:val="007C1086"/>
    <w:rsid w:val="007C1234"/>
    <w:rsid w:val="007C1240"/>
    <w:rsid w:val="007C13C9"/>
    <w:rsid w:val="007C196A"/>
    <w:rsid w:val="007C2000"/>
    <w:rsid w:val="007C22A8"/>
    <w:rsid w:val="007C22D3"/>
    <w:rsid w:val="007C2356"/>
    <w:rsid w:val="007C23EE"/>
    <w:rsid w:val="007C24B2"/>
    <w:rsid w:val="007C270B"/>
    <w:rsid w:val="007C28CB"/>
    <w:rsid w:val="007C29EE"/>
    <w:rsid w:val="007C2BFA"/>
    <w:rsid w:val="007C2D24"/>
    <w:rsid w:val="007C2F50"/>
    <w:rsid w:val="007C31E7"/>
    <w:rsid w:val="007C3408"/>
    <w:rsid w:val="007C3446"/>
    <w:rsid w:val="007C349B"/>
    <w:rsid w:val="007C36EC"/>
    <w:rsid w:val="007C3945"/>
    <w:rsid w:val="007C3AB8"/>
    <w:rsid w:val="007C3CAD"/>
    <w:rsid w:val="007C3D4B"/>
    <w:rsid w:val="007C3DF6"/>
    <w:rsid w:val="007C3ED6"/>
    <w:rsid w:val="007C3FAA"/>
    <w:rsid w:val="007C42D0"/>
    <w:rsid w:val="007C44EE"/>
    <w:rsid w:val="007C4728"/>
    <w:rsid w:val="007C4959"/>
    <w:rsid w:val="007C49B7"/>
    <w:rsid w:val="007C4A33"/>
    <w:rsid w:val="007C4D9A"/>
    <w:rsid w:val="007C4F1E"/>
    <w:rsid w:val="007C4FF3"/>
    <w:rsid w:val="007C512E"/>
    <w:rsid w:val="007C5262"/>
    <w:rsid w:val="007C5371"/>
    <w:rsid w:val="007C5386"/>
    <w:rsid w:val="007C5583"/>
    <w:rsid w:val="007C561E"/>
    <w:rsid w:val="007C5835"/>
    <w:rsid w:val="007C5859"/>
    <w:rsid w:val="007C593D"/>
    <w:rsid w:val="007C596A"/>
    <w:rsid w:val="007C5D8D"/>
    <w:rsid w:val="007C5E93"/>
    <w:rsid w:val="007C6696"/>
    <w:rsid w:val="007C6747"/>
    <w:rsid w:val="007C69A7"/>
    <w:rsid w:val="007C6AD1"/>
    <w:rsid w:val="007C6CD8"/>
    <w:rsid w:val="007C6E82"/>
    <w:rsid w:val="007C6F29"/>
    <w:rsid w:val="007C7681"/>
    <w:rsid w:val="007C77DC"/>
    <w:rsid w:val="007C7D20"/>
    <w:rsid w:val="007C7D22"/>
    <w:rsid w:val="007C7F29"/>
    <w:rsid w:val="007D005F"/>
    <w:rsid w:val="007D03E6"/>
    <w:rsid w:val="007D0656"/>
    <w:rsid w:val="007D08B4"/>
    <w:rsid w:val="007D0B96"/>
    <w:rsid w:val="007D0CF0"/>
    <w:rsid w:val="007D0F35"/>
    <w:rsid w:val="007D1046"/>
    <w:rsid w:val="007D135F"/>
    <w:rsid w:val="007D17EE"/>
    <w:rsid w:val="007D1A7C"/>
    <w:rsid w:val="007D1BF9"/>
    <w:rsid w:val="007D1E99"/>
    <w:rsid w:val="007D1EE9"/>
    <w:rsid w:val="007D20D5"/>
    <w:rsid w:val="007D20F2"/>
    <w:rsid w:val="007D215F"/>
    <w:rsid w:val="007D2462"/>
    <w:rsid w:val="007D2536"/>
    <w:rsid w:val="007D26D6"/>
    <w:rsid w:val="007D2844"/>
    <w:rsid w:val="007D2D19"/>
    <w:rsid w:val="007D2E11"/>
    <w:rsid w:val="007D2F61"/>
    <w:rsid w:val="007D30C1"/>
    <w:rsid w:val="007D3191"/>
    <w:rsid w:val="007D31EC"/>
    <w:rsid w:val="007D36FB"/>
    <w:rsid w:val="007D39CA"/>
    <w:rsid w:val="007D3AB4"/>
    <w:rsid w:val="007D3B20"/>
    <w:rsid w:val="007D3B6A"/>
    <w:rsid w:val="007D3C0F"/>
    <w:rsid w:val="007D3DB1"/>
    <w:rsid w:val="007D400C"/>
    <w:rsid w:val="007D4343"/>
    <w:rsid w:val="007D4579"/>
    <w:rsid w:val="007D470E"/>
    <w:rsid w:val="007D4725"/>
    <w:rsid w:val="007D49F4"/>
    <w:rsid w:val="007D4A82"/>
    <w:rsid w:val="007D4FA1"/>
    <w:rsid w:val="007D539F"/>
    <w:rsid w:val="007D5431"/>
    <w:rsid w:val="007D558B"/>
    <w:rsid w:val="007D55DA"/>
    <w:rsid w:val="007D562A"/>
    <w:rsid w:val="007D570E"/>
    <w:rsid w:val="007D5719"/>
    <w:rsid w:val="007D59B1"/>
    <w:rsid w:val="007D5D7C"/>
    <w:rsid w:val="007D5E0F"/>
    <w:rsid w:val="007D5F76"/>
    <w:rsid w:val="007D61DA"/>
    <w:rsid w:val="007D623C"/>
    <w:rsid w:val="007D64AB"/>
    <w:rsid w:val="007D6A90"/>
    <w:rsid w:val="007D6F1A"/>
    <w:rsid w:val="007D6F88"/>
    <w:rsid w:val="007D7096"/>
    <w:rsid w:val="007D7150"/>
    <w:rsid w:val="007D71AE"/>
    <w:rsid w:val="007D7200"/>
    <w:rsid w:val="007D728E"/>
    <w:rsid w:val="007D7499"/>
    <w:rsid w:val="007D75E5"/>
    <w:rsid w:val="007D76BE"/>
    <w:rsid w:val="007D772B"/>
    <w:rsid w:val="007D78BC"/>
    <w:rsid w:val="007D78D0"/>
    <w:rsid w:val="007D7A7C"/>
    <w:rsid w:val="007D7B1E"/>
    <w:rsid w:val="007D7B36"/>
    <w:rsid w:val="007E0073"/>
    <w:rsid w:val="007E0212"/>
    <w:rsid w:val="007E0302"/>
    <w:rsid w:val="007E03D6"/>
    <w:rsid w:val="007E045D"/>
    <w:rsid w:val="007E0502"/>
    <w:rsid w:val="007E0575"/>
    <w:rsid w:val="007E08CC"/>
    <w:rsid w:val="007E09B0"/>
    <w:rsid w:val="007E0B0B"/>
    <w:rsid w:val="007E0DAB"/>
    <w:rsid w:val="007E0E03"/>
    <w:rsid w:val="007E0E9E"/>
    <w:rsid w:val="007E1044"/>
    <w:rsid w:val="007E1256"/>
    <w:rsid w:val="007E129F"/>
    <w:rsid w:val="007E1307"/>
    <w:rsid w:val="007E1CB1"/>
    <w:rsid w:val="007E1E62"/>
    <w:rsid w:val="007E1F0B"/>
    <w:rsid w:val="007E1FB6"/>
    <w:rsid w:val="007E2047"/>
    <w:rsid w:val="007E2229"/>
    <w:rsid w:val="007E250F"/>
    <w:rsid w:val="007E2874"/>
    <w:rsid w:val="007E29EE"/>
    <w:rsid w:val="007E29F0"/>
    <w:rsid w:val="007E2F4D"/>
    <w:rsid w:val="007E2FAC"/>
    <w:rsid w:val="007E308F"/>
    <w:rsid w:val="007E34DB"/>
    <w:rsid w:val="007E361F"/>
    <w:rsid w:val="007E36CA"/>
    <w:rsid w:val="007E3806"/>
    <w:rsid w:val="007E39D1"/>
    <w:rsid w:val="007E3AAD"/>
    <w:rsid w:val="007E3AE3"/>
    <w:rsid w:val="007E3BAF"/>
    <w:rsid w:val="007E3D7C"/>
    <w:rsid w:val="007E3DAC"/>
    <w:rsid w:val="007E3F3E"/>
    <w:rsid w:val="007E3FFE"/>
    <w:rsid w:val="007E41FE"/>
    <w:rsid w:val="007E4A12"/>
    <w:rsid w:val="007E4B4C"/>
    <w:rsid w:val="007E4C15"/>
    <w:rsid w:val="007E4CB1"/>
    <w:rsid w:val="007E4D97"/>
    <w:rsid w:val="007E4FE5"/>
    <w:rsid w:val="007E52D0"/>
    <w:rsid w:val="007E5324"/>
    <w:rsid w:val="007E5446"/>
    <w:rsid w:val="007E551A"/>
    <w:rsid w:val="007E569D"/>
    <w:rsid w:val="007E56F7"/>
    <w:rsid w:val="007E5755"/>
    <w:rsid w:val="007E5833"/>
    <w:rsid w:val="007E5839"/>
    <w:rsid w:val="007E589E"/>
    <w:rsid w:val="007E599C"/>
    <w:rsid w:val="007E5B88"/>
    <w:rsid w:val="007E5C96"/>
    <w:rsid w:val="007E5CEA"/>
    <w:rsid w:val="007E5E22"/>
    <w:rsid w:val="007E605D"/>
    <w:rsid w:val="007E60B0"/>
    <w:rsid w:val="007E6348"/>
    <w:rsid w:val="007E6377"/>
    <w:rsid w:val="007E638E"/>
    <w:rsid w:val="007E64E5"/>
    <w:rsid w:val="007E6562"/>
    <w:rsid w:val="007E6618"/>
    <w:rsid w:val="007E6693"/>
    <w:rsid w:val="007E6747"/>
    <w:rsid w:val="007E6969"/>
    <w:rsid w:val="007E6A9F"/>
    <w:rsid w:val="007E6B1D"/>
    <w:rsid w:val="007E6B52"/>
    <w:rsid w:val="007E6C3B"/>
    <w:rsid w:val="007E6CA4"/>
    <w:rsid w:val="007E6D7F"/>
    <w:rsid w:val="007E6FD9"/>
    <w:rsid w:val="007E7484"/>
    <w:rsid w:val="007E75E9"/>
    <w:rsid w:val="007E783E"/>
    <w:rsid w:val="007E786F"/>
    <w:rsid w:val="007E7A69"/>
    <w:rsid w:val="007E7A95"/>
    <w:rsid w:val="007E7C2F"/>
    <w:rsid w:val="007E7C70"/>
    <w:rsid w:val="007E7CFE"/>
    <w:rsid w:val="007F0296"/>
    <w:rsid w:val="007F033F"/>
    <w:rsid w:val="007F04B4"/>
    <w:rsid w:val="007F0714"/>
    <w:rsid w:val="007F07BA"/>
    <w:rsid w:val="007F08D5"/>
    <w:rsid w:val="007F093D"/>
    <w:rsid w:val="007F0B1E"/>
    <w:rsid w:val="007F0C66"/>
    <w:rsid w:val="007F0CDF"/>
    <w:rsid w:val="007F0DF3"/>
    <w:rsid w:val="007F0F1F"/>
    <w:rsid w:val="007F0F47"/>
    <w:rsid w:val="007F142B"/>
    <w:rsid w:val="007F14BC"/>
    <w:rsid w:val="007F1556"/>
    <w:rsid w:val="007F1739"/>
    <w:rsid w:val="007F17CF"/>
    <w:rsid w:val="007F17ED"/>
    <w:rsid w:val="007F1A77"/>
    <w:rsid w:val="007F1AE3"/>
    <w:rsid w:val="007F1B88"/>
    <w:rsid w:val="007F1E77"/>
    <w:rsid w:val="007F2075"/>
    <w:rsid w:val="007F207C"/>
    <w:rsid w:val="007F220B"/>
    <w:rsid w:val="007F22A2"/>
    <w:rsid w:val="007F237B"/>
    <w:rsid w:val="007F2504"/>
    <w:rsid w:val="007F273B"/>
    <w:rsid w:val="007F2753"/>
    <w:rsid w:val="007F2832"/>
    <w:rsid w:val="007F29E7"/>
    <w:rsid w:val="007F2A0C"/>
    <w:rsid w:val="007F2A87"/>
    <w:rsid w:val="007F2BBC"/>
    <w:rsid w:val="007F2BD1"/>
    <w:rsid w:val="007F2C93"/>
    <w:rsid w:val="007F2CA9"/>
    <w:rsid w:val="007F315E"/>
    <w:rsid w:val="007F3479"/>
    <w:rsid w:val="007F34D0"/>
    <w:rsid w:val="007F3576"/>
    <w:rsid w:val="007F3689"/>
    <w:rsid w:val="007F36D8"/>
    <w:rsid w:val="007F3860"/>
    <w:rsid w:val="007F3A2C"/>
    <w:rsid w:val="007F3A44"/>
    <w:rsid w:val="007F3DB2"/>
    <w:rsid w:val="007F3EC6"/>
    <w:rsid w:val="007F41EE"/>
    <w:rsid w:val="007F4341"/>
    <w:rsid w:val="007F4721"/>
    <w:rsid w:val="007F4B1F"/>
    <w:rsid w:val="007F4BA5"/>
    <w:rsid w:val="007F4DCF"/>
    <w:rsid w:val="007F4DF7"/>
    <w:rsid w:val="007F4DF8"/>
    <w:rsid w:val="007F4F40"/>
    <w:rsid w:val="007F5009"/>
    <w:rsid w:val="007F509D"/>
    <w:rsid w:val="007F556D"/>
    <w:rsid w:val="007F5586"/>
    <w:rsid w:val="007F57DC"/>
    <w:rsid w:val="007F57EA"/>
    <w:rsid w:val="007F5D2C"/>
    <w:rsid w:val="007F5DC6"/>
    <w:rsid w:val="007F5EA5"/>
    <w:rsid w:val="007F60BB"/>
    <w:rsid w:val="007F60D3"/>
    <w:rsid w:val="007F636A"/>
    <w:rsid w:val="007F645F"/>
    <w:rsid w:val="007F6628"/>
    <w:rsid w:val="007F6A67"/>
    <w:rsid w:val="007F6BFD"/>
    <w:rsid w:val="007F6CE5"/>
    <w:rsid w:val="007F6F4F"/>
    <w:rsid w:val="007F708F"/>
    <w:rsid w:val="007F70BD"/>
    <w:rsid w:val="007F71A2"/>
    <w:rsid w:val="007F72DC"/>
    <w:rsid w:val="007F7650"/>
    <w:rsid w:val="007F76BA"/>
    <w:rsid w:val="007F774D"/>
    <w:rsid w:val="007F7789"/>
    <w:rsid w:val="007F79C1"/>
    <w:rsid w:val="007F79D9"/>
    <w:rsid w:val="007F7C44"/>
    <w:rsid w:val="007F7C5C"/>
    <w:rsid w:val="007F7CDF"/>
    <w:rsid w:val="007F7CF5"/>
    <w:rsid w:val="007F7DF2"/>
    <w:rsid w:val="007F7E12"/>
    <w:rsid w:val="008004B1"/>
    <w:rsid w:val="008005A0"/>
    <w:rsid w:val="008005AB"/>
    <w:rsid w:val="008005C3"/>
    <w:rsid w:val="00800678"/>
    <w:rsid w:val="008008A1"/>
    <w:rsid w:val="00800945"/>
    <w:rsid w:val="00800AC9"/>
    <w:rsid w:val="00800BE9"/>
    <w:rsid w:val="00800C0F"/>
    <w:rsid w:val="0080114D"/>
    <w:rsid w:val="008012B4"/>
    <w:rsid w:val="00801301"/>
    <w:rsid w:val="00801350"/>
    <w:rsid w:val="008014F3"/>
    <w:rsid w:val="0080153D"/>
    <w:rsid w:val="008015AE"/>
    <w:rsid w:val="00801AC1"/>
    <w:rsid w:val="00801C9D"/>
    <w:rsid w:val="00801F6A"/>
    <w:rsid w:val="008020FD"/>
    <w:rsid w:val="00802235"/>
    <w:rsid w:val="00802556"/>
    <w:rsid w:val="008027A7"/>
    <w:rsid w:val="008028C1"/>
    <w:rsid w:val="00802B17"/>
    <w:rsid w:val="00802E1E"/>
    <w:rsid w:val="00802F21"/>
    <w:rsid w:val="008034A6"/>
    <w:rsid w:val="0080352F"/>
    <w:rsid w:val="008036EC"/>
    <w:rsid w:val="00803805"/>
    <w:rsid w:val="008038C6"/>
    <w:rsid w:val="00803A3D"/>
    <w:rsid w:val="00803A43"/>
    <w:rsid w:val="00803F42"/>
    <w:rsid w:val="00803F5C"/>
    <w:rsid w:val="00803F7A"/>
    <w:rsid w:val="00804148"/>
    <w:rsid w:val="00804376"/>
    <w:rsid w:val="0080437F"/>
    <w:rsid w:val="008047E6"/>
    <w:rsid w:val="00804AD9"/>
    <w:rsid w:val="00804CE0"/>
    <w:rsid w:val="00804D57"/>
    <w:rsid w:val="00804F14"/>
    <w:rsid w:val="00804F19"/>
    <w:rsid w:val="00804F3B"/>
    <w:rsid w:val="00804F66"/>
    <w:rsid w:val="008050E3"/>
    <w:rsid w:val="00805279"/>
    <w:rsid w:val="00805317"/>
    <w:rsid w:val="00805338"/>
    <w:rsid w:val="0080533A"/>
    <w:rsid w:val="008054E7"/>
    <w:rsid w:val="00805681"/>
    <w:rsid w:val="00805BDF"/>
    <w:rsid w:val="00805C36"/>
    <w:rsid w:val="00805D09"/>
    <w:rsid w:val="00805D31"/>
    <w:rsid w:val="00805D53"/>
    <w:rsid w:val="00805F9B"/>
    <w:rsid w:val="00806002"/>
    <w:rsid w:val="008060B5"/>
    <w:rsid w:val="00806123"/>
    <w:rsid w:val="008061FC"/>
    <w:rsid w:val="0080620F"/>
    <w:rsid w:val="00806482"/>
    <w:rsid w:val="0080648D"/>
    <w:rsid w:val="00806658"/>
    <w:rsid w:val="008066A3"/>
    <w:rsid w:val="008067FC"/>
    <w:rsid w:val="00806B1F"/>
    <w:rsid w:val="00806B36"/>
    <w:rsid w:val="00806C0F"/>
    <w:rsid w:val="00806E7E"/>
    <w:rsid w:val="00806F51"/>
    <w:rsid w:val="00806FBE"/>
    <w:rsid w:val="00807091"/>
    <w:rsid w:val="008070C6"/>
    <w:rsid w:val="0080733C"/>
    <w:rsid w:val="008077F9"/>
    <w:rsid w:val="00807817"/>
    <w:rsid w:val="00807903"/>
    <w:rsid w:val="00807965"/>
    <w:rsid w:val="00807AC9"/>
    <w:rsid w:val="00807C4D"/>
    <w:rsid w:val="00807FFA"/>
    <w:rsid w:val="0081001B"/>
    <w:rsid w:val="008101C4"/>
    <w:rsid w:val="0081023B"/>
    <w:rsid w:val="008102FD"/>
    <w:rsid w:val="00810388"/>
    <w:rsid w:val="0081082E"/>
    <w:rsid w:val="0081085C"/>
    <w:rsid w:val="00810BE2"/>
    <w:rsid w:val="00810FE9"/>
    <w:rsid w:val="00811287"/>
    <w:rsid w:val="00811456"/>
    <w:rsid w:val="00811469"/>
    <w:rsid w:val="00811522"/>
    <w:rsid w:val="00811579"/>
    <w:rsid w:val="008117D1"/>
    <w:rsid w:val="00811AA4"/>
    <w:rsid w:val="00811AE9"/>
    <w:rsid w:val="00811AF0"/>
    <w:rsid w:val="00811C3A"/>
    <w:rsid w:val="00811DA7"/>
    <w:rsid w:val="00811FC0"/>
    <w:rsid w:val="00811FE9"/>
    <w:rsid w:val="00812298"/>
    <w:rsid w:val="008123C6"/>
    <w:rsid w:val="008124ED"/>
    <w:rsid w:val="0081268A"/>
    <w:rsid w:val="008132DB"/>
    <w:rsid w:val="008133DD"/>
    <w:rsid w:val="008133F6"/>
    <w:rsid w:val="00813845"/>
    <w:rsid w:val="008138AE"/>
    <w:rsid w:val="008138DE"/>
    <w:rsid w:val="00813B01"/>
    <w:rsid w:val="00813B46"/>
    <w:rsid w:val="00813D21"/>
    <w:rsid w:val="00813DE7"/>
    <w:rsid w:val="00813E36"/>
    <w:rsid w:val="00813FCC"/>
    <w:rsid w:val="008140B7"/>
    <w:rsid w:val="00814457"/>
    <w:rsid w:val="008146D3"/>
    <w:rsid w:val="0081485F"/>
    <w:rsid w:val="00814C1E"/>
    <w:rsid w:val="00814CA9"/>
    <w:rsid w:val="00814D62"/>
    <w:rsid w:val="00814E05"/>
    <w:rsid w:val="00814E68"/>
    <w:rsid w:val="00814E97"/>
    <w:rsid w:val="0081525D"/>
    <w:rsid w:val="008152C1"/>
    <w:rsid w:val="00815741"/>
    <w:rsid w:val="008158C9"/>
    <w:rsid w:val="008159F1"/>
    <w:rsid w:val="00815B50"/>
    <w:rsid w:val="00815B5D"/>
    <w:rsid w:val="00815D3A"/>
    <w:rsid w:val="00815ECF"/>
    <w:rsid w:val="00815EF0"/>
    <w:rsid w:val="00815F9E"/>
    <w:rsid w:val="00815FDD"/>
    <w:rsid w:val="00816029"/>
    <w:rsid w:val="00816426"/>
    <w:rsid w:val="00816477"/>
    <w:rsid w:val="008168DF"/>
    <w:rsid w:val="00816AB4"/>
    <w:rsid w:val="00816C81"/>
    <w:rsid w:val="00816CF3"/>
    <w:rsid w:val="00816E55"/>
    <w:rsid w:val="00816EAF"/>
    <w:rsid w:val="00816F07"/>
    <w:rsid w:val="00816F7B"/>
    <w:rsid w:val="00817132"/>
    <w:rsid w:val="008172DA"/>
    <w:rsid w:val="008172DD"/>
    <w:rsid w:val="00817537"/>
    <w:rsid w:val="00817672"/>
    <w:rsid w:val="008176B1"/>
    <w:rsid w:val="008176E8"/>
    <w:rsid w:val="008177B7"/>
    <w:rsid w:val="00817A5D"/>
    <w:rsid w:val="00817A7B"/>
    <w:rsid w:val="00817A9C"/>
    <w:rsid w:val="00817B79"/>
    <w:rsid w:val="00817CE0"/>
    <w:rsid w:val="00817E66"/>
    <w:rsid w:val="00817EE0"/>
    <w:rsid w:val="0082020B"/>
    <w:rsid w:val="0082040A"/>
    <w:rsid w:val="0082065F"/>
    <w:rsid w:val="00820720"/>
    <w:rsid w:val="00820942"/>
    <w:rsid w:val="00820987"/>
    <w:rsid w:val="008209BF"/>
    <w:rsid w:val="00820A62"/>
    <w:rsid w:val="00820A8B"/>
    <w:rsid w:val="00820AC8"/>
    <w:rsid w:val="00820CC8"/>
    <w:rsid w:val="00820DBB"/>
    <w:rsid w:val="00820E59"/>
    <w:rsid w:val="00820F0B"/>
    <w:rsid w:val="008211F4"/>
    <w:rsid w:val="008212D3"/>
    <w:rsid w:val="0082155E"/>
    <w:rsid w:val="00821590"/>
    <w:rsid w:val="008216FA"/>
    <w:rsid w:val="00821A5A"/>
    <w:rsid w:val="00821C60"/>
    <w:rsid w:val="00821D2E"/>
    <w:rsid w:val="00821DAB"/>
    <w:rsid w:val="00821DCE"/>
    <w:rsid w:val="008226C1"/>
    <w:rsid w:val="00822943"/>
    <w:rsid w:val="00822BE4"/>
    <w:rsid w:val="00822EFA"/>
    <w:rsid w:val="0082302B"/>
    <w:rsid w:val="00823060"/>
    <w:rsid w:val="0082315F"/>
    <w:rsid w:val="008231C6"/>
    <w:rsid w:val="008231EF"/>
    <w:rsid w:val="0082379B"/>
    <w:rsid w:val="00823816"/>
    <w:rsid w:val="00823966"/>
    <w:rsid w:val="0082410C"/>
    <w:rsid w:val="0082426D"/>
    <w:rsid w:val="0082470C"/>
    <w:rsid w:val="008248D3"/>
    <w:rsid w:val="00824A5A"/>
    <w:rsid w:val="00824A78"/>
    <w:rsid w:val="00824B8F"/>
    <w:rsid w:val="00824DD8"/>
    <w:rsid w:val="00824FD2"/>
    <w:rsid w:val="0082517A"/>
    <w:rsid w:val="008251F9"/>
    <w:rsid w:val="008254A9"/>
    <w:rsid w:val="00825D67"/>
    <w:rsid w:val="008261E5"/>
    <w:rsid w:val="008261ED"/>
    <w:rsid w:val="00826208"/>
    <w:rsid w:val="00826584"/>
    <w:rsid w:val="00826888"/>
    <w:rsid w:val="008269D4"/>
    <w:rsid w:val="008269FD"/>
    <w:rsid w:val="00826E31"/>
    <w:rsid w:val="00827075"/>
    <w:rsid w:val="008270A5"/>
    <w:rsid w:val="00827125"/>
    <w:rsid w:val="00827134"/>
    <w:rsid w:val="0082725C"/>
    <w:rsid w:val="0082733F"/>
    <w:rsid w:val="008274D9"/>
    <w:rsid w:val="00827681"/>
    <w:rsid w:val="008277B5"/>
    <w:rsid w:val="008278EA"/>
    <w:rsid w:val="00827A1B"/>
    <w:rsid w:val="00827B3A"/>
    <w:rsid w:val="00827BEA"/>
    <w:rsid w:val="00827DBD"/>
    <w:rsid w:val="00827E71"/>
    <w:rsid w:val="00827F10"/>
    <w:rsid w:val="00827FE7"/>
    <w:rsid w:val="0083007C"/>
    <w:rsid w:val="008301DD"/>
    <w:rsid w:val="008302F3"/>
    <w:rsid w:val="008305A6"/>
    <w:rsid w:val="008306E8"/>
    <w:rsid w:val="00830738"/>
    <w:rsid w:val="00830799"/>
    <w:rsid w:val="0083089B"/>
    <w:rsid w:val="00830A3E"/>
    <w:rsid w:val="00830A97"/>
    <w:rsid w:val="00830E62"/>
    <w:rsid w:val="00830F17"/>
    <w:rsid w:val="00831048"/>
    <w:rsid w:val="00831084"/>
    <w:rsid w:val="008312E0"/>
    <w:rsid w:val="00831854"/>
    <w:rsid w:val="008319F5"/>
    <w:rsid w:val="00831AF3"/>
    <w:rsid w:val="00831CBA"/>
    <w:rsid w:val="00831D0B"/>
    <w:rsid w:val="00831EDE"/>
    <w:rsid w:val="00831FE0"/>
    <w:rsid w:val="00832438"/>
    <w:rsid w:val="0083253C"/>
    <w:rsid w:val="0083261E"/>
    <w:rsid w:val="00832694"/>
    <w:rsid w:val="00832792"/>
    <w:rsid w:val="00832965"/>
    <w:rsid w:val="00832ACC"/>
    <w:rsid w:val="00832BEE"/>
    <w:rsid w:val="00832CCC"/>
    <w:rsid w:val="00832D19"/>
    <w:rsid w:val="00833090"/>
    <w:rsid w:val="00833120"/>
    <w:rsid w:val="0083312F"/>
    <w:rsid w:val="008333E3"/>
    <w:rsid w:val="0083345E"/>
    <w:rsid w:val="008334FB"/>
    <w:rsid w:val="00833533"/>
    <w:rsid w:val="00833558"/>
    <w:rsid w:val="00833562"/>
    <w:rsid w:val="00833685"/>
    <w:rsid w:val="00833929"/>
    <w:rsid w:val="00833A44"/>
    <w:rsid w:val="00833B98"/>
    <w:rsid w:val="00833BFB"/>
    <w:rsid w:val="00833C43"/>
    <w:rsid w:val="00833CB1"/>
    <w:rsid w:val="00833D9B"/>
    <w:rsid w:val="00833D9E"/>
    <w:rsid w:val="00833EFF"/>
    <w:rsid w:val="008340B4"/>
    <w:rsid w:val="008340E4"/>
    <w:rsid w:val="0083417E"/>
    <w:rsid w:val="00834281"/>
    <w:rsid w:val="00834611"/>
    <w:rsid w:val="0083479B"/>
    <w:rsid w:val="00834863"/>
    <w:rsid w:val="00834992"/>
    <w:rsid w:val="00834AB3"/>
    <w:rsid w:val="00834B15"/>
    <w:rsid w:val="00834CD7"/>
    <w:rsid w:val="008352CC"/>
    <w:rsid w:val="00835783"/>
    <w:rsid w:val="008358C2"/>
    <w:rsid w:val="0083593F"/>
    <w:rsid w:val="00835CFB"/>
    <w:rsid w:val="00835E49"/>
    <w:rsid w:val="00836002"/>
    <w:rsid w:val="0083622C"/>
    <w:rsid w:val="00836493"/>
    <w:rsid w:val="008364D7"/>
    <w:rsid w:val="008364DC"/>
    <w:rsid w:val="00836785"/>
    <w:rsid w:val="00836843"/>
    <w:rsid w:val="008368CE"/>
    <w:rsid w:val="00836F1C"/>
    <w:rsid w:val="00837045"/>
    <w:rsid w:val="00837150"/>
    <w:rsid w:val="00837225"/>
    <w:rsid w:val="00837391"/>
    <w:rsid w:val="0083753B"/>
    <w:rsid w:val="008375DB"/>
    <w:rsid w:val="008378B3"/>
    <w:rsid w:val="00837A3B"/>
    <w:rsid w:val="00837C0B"/>
    <w:rsid w:val="00837CD7"/>
    <w:rsid w:val="00837E4E"/>
    <w:rsid w:val="008400F7"/>
    <w:rsid w:val="008401F1"/>
    <w:rsid w:val="0084021A"/>
    <w:rsid w:val="00840263"/>
    <w:rsid w:val="00840322"/>
    <w:rsid w:val="008403E2"/>
    <w:rsid w:val="008403E4"/>
    <w:rsid w:val="00840475"/>
    <w:rsid w:val="00840627"/>
    <w:rsid w:val="00840793"/>
    <w:rsid w:val="008407B7"/>
    <w:rsid w:val="00840AD7"/>
    <w:rsid w:val="00840B56"/>
    <w:rsid w:val="00840D33"/>
    <w:rsid w:val="00840DA0"/>
    <w:rsid w:val="00841A3C"/>
    <w:rsid w:val="00841A64"/>
    <w:rsid w:val="00841D18"/>
    <w:rsid w:val="00841F53"/>
    <w:rsid w:val="00841FE8"/>
    <w:rsid w:val="0084236C"/>
    <w:rsid w:val="00842399"/>
    <w:rsid w:val="00842430"/>
    <w:rsid w:val="00842542"/>
    <w:rsid w:val="008425AA"/>
    <w:rsid w:val="00842618"/>
    <w:rsid w:val="008427BB"/>
    <w:rsid w:val="008428A2"/>
    <w:rsid w:val="00842BA7"/>
    <w:rsid w:val="00842C38"/>
    <w:rsid w:val="00842C8A"/>
    <w:rsid w:val="00842E4F"/>
    <w:rsid w:val="00842E78"/>
    <w:rsid w:val="00842FC4"/>
    <w:rsid w:val="00843126"/>
    <w:rsid w:val="0084312A"/>
    <w:rsid w:val="00843612"/>
    <w:rsid w:val="00843822"/>
    <w:rsid w:val="00843A5E"/>
    <w:rsid w:val="00843B2E"/>
    <w:rsid w:val="00843DB8"/>
    <w:rsid w:val="00843E16"/>
    <w:rsid w:val="008441A1"/>
    <w:rsid w:val="0084447E"/>
    <w:rsid w:val="008444E2"/>
    <w:rsid w:val="00844509"/>
    <w:rsid w:val="00844663"/>
    <w:rsid w:val="00844852"/>
    <w:rsid w:val="00844B82"/>
    <w:rsid w:val="00844BEC"/>
    <w:rsid w:val="00844C79"/>
    <w:rsid w:val="00844D43"/>
    <w:rsid w:val="00844D92"/>
    <w:rsid w:val="00845203"/>
    <w:rsid w:val="00845297"/>
    <w:rsid w:val="00845378"/>
    <w:rsid w:val="00845509"/>
    <w:rsid w:val="0084552E"/>
    <w:rsid w:val="008456F8"/>
    <w:rsid w:val="0084596E"/>
    <w:rsid w:val="00845A77"/>
    <w:rsid w:val="00845ADB"/>
    <w:rsid w:val="00845EDE"/>
    <w:rsid w:val="0084601B"/>
    <w:rsid w:val="00846175"/>
    <w:rsid w:val="008461A0"/>
    <w:rsid w:val="008465ED"/>
    <w:rsid w:val="008466FF"/>
    <w:rsid w:val="00846C06"/>
    <w:rsid w:val="00846D45"/>
    <w:rsid w:val="00846D69"/>
    <w:rsid w:val="00846F81"/>
    <w:rsid w:val="008471D5"/>
    <w:rsid w:val="00847584"/>
    <w:rsid w:val="008475C4"/>
    <w:rsid w:val="008475FA"/>
    <w:rsid w:val="00847661"/>
    <w:rsid w:val="00847F58"/>
    <w:rsid w:val="00850089"/>
    <w:rsid w:val="0085015A"/>
    <w:rsid w:val="00850180"/>
    <w:rsid w:val="00850785"/>
    <w:rsid w:val="008507EA"/>
    <w:rsid w:val="008508FB"/>
    <w:rsid w:val="0085095B"/>
    <w:rsid w:val="00850A5E"/>
    <w:rsid w:val="00850A6E"/>
    <w:rsid w:val="00850E1A"/>
    <w:rsid w:val="00850F83"/>
    <w:rsid w:val="00850FA5"/>
    <w:rsid w:val="008512CC"/>
    <w:rsid w:val="008512F7"/>
    <w:rsid w:val="008514FB"/>
    <w:rsid w:val="00851679"/>
    <w:rsid w:val="008519B9"/>
    <w:rsid w:val="00851A44"/>
    <w:rsid w:val="00851C50"/>
    <w:rsid w:val="00851E9B"/>
    <w:rsid w:val="008520FA"/>
    <w:rsid w:val="0085229B"/>
    <w:rsid w:val="008523C9"/>
    <w:rsid w:val="00852962"/>
    <w:rsid w:val="00852B67"/>
    <w:rsid w:val="00852CE8"/>
    <w:rsid w:val="00852DCE"/>
    <w:rsid w:val="00852FD4"/>
    <w:rsid w:val="008531BF"/>
    <w:rsid w:val="0085322D"/>
    <w:rsid w:val="00853350"/>
    <w:rsid w:val="008534B2"/>
    <w:rsid w:val="00853613"/>
    <w:rsid w:val="008538A5"/>
    <w:rsid w:val="0085399E"/>
    <w:rsid w:val="008539EC"/>
    <w:rsid w:val="00853BBC"/>
    <w:rsid w:val="00853BEA"/>
    <w:rsid w:val="00853D26"/>
    <w:rsid w:val="00853EE5"/>
    <w:rsid w:val="008540B5"/>
    <w:rsid w:val="008540F0"/>
    <w:rsid w:val="0085431B"/>
    <w:rsid w:val="008545FB"/>
    <w:rsid w:val="008546F0"/>
    <w:rsid w:val="00854C49"/>
    <w:rsid w:val="00855427"/>
    <w:rsid w:val="008555F3"/>
    <w:rsid w:val="0085562B"/>
    <w:rsid w:val="00855801"/>
    <w:rsid w:val="00855947"/>
    <w:rsid w:val="00855A67"/>
    <w:rsid w:val="00855F53"/>
    <w:rsid w:val="00855FF2"/>
    <w:rsid w:val="00856183"/>
    <w:rsid w:val="008561B5"/>
    <w:rsid w:val="0085622E"/>
    <w:rsid w:val="008565A3"/>
    <w:rsid w:val="008567E3"/>
    <w:rsid w:val="00856D04"/>
    <w:rsid w:val="008571DB"/>
    <w:rsid w:val="0085751F"/>
    <w:rsid w:val="00857527"/>
    <w:rsid w:val="0085770C"/>
    <w:rsid w:val="00857733"/>
    <w:rsid w:val="00857845"/>
    <w:rsid w:val="008579A4"/>
    <w:rsid w:val="008579EB"/>
    <w:rsid w:val="00857A81"/>
    <w:rsid w:val="00857B62"/>
    <w:rsid w:val="00857D31"/>
    <w:rsid w:val="00857E99"/>
    <w:rsid w:val="00857ED2"/>
    <w:rsid w:val="00860066"/>
    <w:rsid w:val="008600E3"/>
    <w:rsid w:val="00860284"/>
    <w:rsid w:val="00860310"/>
    <w:rsid w:val="00860324"/>
    <w:rsid w:val="008603E2"/>
    <w:rsid w:val="008604B8"/>
    <w:rsid w:val="0086091C"/>
    <w:rsid w:val="008609FA"/>
    <w:rsid w:val="00860B25"/>
    <w:rsid w:val="00860BB7"/>
    <w:rsid w:val="00860C08"/>
    <w:rsid w:val="00860C22"/>
    <w:rsid w:val="00860C65"/>
    <w:rsid w:val="00860CCB"/>
    <w:rsid w:val="00860E3E"/>
    <w:rsid w:val="00860FF0"/>
    <w:rsid w:val="00860FF3"/>
    <w:rsid w:val="00861386"/>
    <w:rsid w:val="0086139A"/>
    <w:rsid w:val="008616FF"/>
    <w:rsid w:val="00861711"/>
    <w:rsid w:val="00861720"/>
    <w:rsid w:val="0086199B"/>
    <w:rsid w:val="008619A5"/>
    <w:rsid w:val="00861C4E"/>
    <w:rsid w:val="00861E35"/>
    <w:rsid w:val="0086200A"/>
    <w:rsid w:val="00862096"/>
    <w:rsid w:val="0086236B"/>
    <w:rsid w:val="00862633"/>
    <w:rsid w:val="00862700"/>
    <w:rsid w:val="00862728"/>
    <w:rsid w:val="0086280F"/>
    <w:rsid w:val="00862995"/>
    <w:rsid w:val="008629B8"/>
    <w:rsid w:val="00862DFC"/>
    <w:rsid w:val="00862EBD"/>
    <w:rsid w:val="00862F0F"/>
    <w:rsid w:val="00863031"/>
    <w:rsid w:val="008630FC"/>
    <w:rsid w:val="008637D2"/>
    <w:rsid w:val="00863807"/>
    <w:rsid w:val="00864159"/>
    <w:rsid w:val="008642CE"/>
    <w:rsid w:val="008643A2"/>
    <w:rsid w:val="0086444B"/>
    <w:rsid w:val="0086452D"/>
    <w:rsid w:val="00864573"/>
    <w:rsid w:val="0086467C"/>
    <w:rsid w:val="0086477A"/>
    <w:rsid w:val="008647D4"/>
    <w:rsid w:val="00864A6D"/>
    <w:rsid w:val="00864B1F"/>
    <w:rsid w:val="00864BBB"/>
    <w:rsid w:val="00864CA3"/>
    <w:rsid w:val="00864CBE"/>
    <w:rsid w:val="00864D04"/>
    <w:rsid w:val="00864E76"/>
    <w:rsid w:val="00864EA0"/>
    <w:rsid w:val="00864ECE"/>
    <w:rsid w:val="00865237"/>
    <w:rsid w:val="0086545C"/>
    <w:rsid w:val="008655C5"/>
    <w:rsid w:val="00865846"/>
    <w:rsid w:val="00865860"/>
    <w:rsid w:val="00865910"/>
    <w:rsid w:val="00865C5A"/>
    <w:rsid w:val="00865CCC"/>
    <w:rsid w:val="00865D02"/>
    <w:rsid w:val="00865D82"/>
    <w:rsid w:val="00865DF3"/>
    <w:rsid w:val="00865E35"/>
    <w:rsid w:val="00865F12"/>
    <w:rsid w:val="00866138"/>
    <w:rsid w:val="00866242"/>
    <w:rsid w:val="00866255"/>
    <w:rsid w:val="008662D5"/>
    <w:rsid w:val="00866306"/>
    <w:rsid w:val="0086662D"/>
    <w:rsid w:val="0086676C"/>
    <w:rsid w:val="0086699B"/>
    <w:rsid w:val="00866A65"/>
    <w:rsid w:val="00866EDD"/>
    <w:rsid w:val="00866F8A"/>
    <w:rsid w:val="00866FA1"/>
    <w:rsid w:val="008671C6"/>
    <w:rsid w:val="00867430"/>
    <w:rsid w:val="00867704"/>
    <w:rsid w:val="0086793D"/>
    <w:rsid w:val="00867AC8"/>
    <w:rsid w:val="00867D64"/>
    <w:rsid w:val="00867F3B"/>
    <w:rsid w:val="00867F69"/>
    <w:rsid w:val="008701FB"/>
    <w:rsid w:val="00870846"/>
    <w:rsid w:val="00870C27"/>
    <w:rsid w:val="00871117"/>
    <w:rsid w:val="0087115E"/>
    <w:rsid w:val="008712AB"/>
    <w:rsid w:val="008713BC"/>
    <w:rsid w:val="008713C8"/>
    <w:rsid w:val="0087156E"/>
    <w:rsid w:val="00871660"/>
    <w:rsid w:val="008716D8"/>
    <w:rsid w:val="00871949"/>
    <w:rsid w:val="00871ABF"/>
    <w:rsid w:val="00871BBF"/>
    <w:rsid w:val="00871D35"/>
    <w:rsid w:val="00871E91"/>
    <w:rsid w:val="00871F0E"/>
    <w:rsid w:val="00871F80"/>
    <w:rsid w:val="00872087"/>
    <w:rsid w:val="00872211"/>
    <w:rsid w:val="00872423"/>
    <w:rsid w:val="0087252C"/>
    <w:rsid w:val="008725A9"/>
    <w:rsid w:val="008727FB"/>
    <w:rsid w:val="00872BB6"/>
    <w:rsid w:val="00872DB0"/>
    <w:rsid w:val="00872F23"/>
    <w:rsid w:val="00872FAB"/>
    <w:rsid w:val="00873008"/>
    <w:rsid w:val="00873068"/>
    <w:rsid w:val="00873081"/>
    <w:rsid w:val="00873255"/>
    <w:rsid w:val="00873333"/>
    <w:rsid w:val="00873521"/>
    <w:rsid w:val="00873B13"/>
    <w:rsid w:val="00873B6A"/>
    <w:rsid w:val="00873DCD"/>
    <w:rsid w:val="0087424A"/>
    <w:rsid w:val="0087429C"/>
    <w:rsid w:val="008742C0"/>
    <w:rsid w:val="00874460"/>
    <w:rsid w:val="00874796"/>
    <w:rsid w:val="0087481B"/>
    <w:rsid w:val="00874958"/>
    <w:rsid w:val="008753F2"/>
    <w:rsid w:val="00875607"/>
    <w:rsid w:val="008758FC"/>
    <w:rsid w:val="008759CA"/>
    <w:rsid w:val="00875C48"/>
    <w:rsid w:val="00875DF3"/>
    <w:rsid w:val="00875E8A"/>
    <w:rsid w:val="00876227"/>
    <w:rsid w:val="00876598"/>
    <w:rsid w:val="00876671"/>
    <w:rsid w:val="008767B6"/>
    <w:rsid w:val="008768A3"/>
    <w:rsid w:val="00876915"/>
    <w:rsid w:val="00876F75"/>
    <w:rsid w:val="008771E3"/>
    <w:rsid w:val="00877234"/>
    <w:rsid w:val="00877283"/>
    <w:rsid w:val="008773B3"/>
    <w:rsid w:val="0087748B"/>
    <w:rsid w:val="00877575"/>
    <w:rsid w:val="00877587"/>
    <w:rsid w:val="00877A26"/>
    <w:rsid w:val="00877C99"/>
    <w:rsid w:val="00877CCF"/>
    <w:rsid w:val="00877E48"/>
    <w:rsid w:val="00877E7C"/>
    <w:rsid w:val="0088005D"/>
    <w:rsid w:val="00880463"/>
    <w:rsid w:val="00880478"/>
    <w:rsid w:val="008804AD"/>
    <w:rsid w:val="008804E9"/>
    <w:rsid w:val="00880BA4"/>
    <w:rsid w:val="00880C43"/>
    <w:rsid w:val="00880E32"/>
    <w:rsid w:val="00881026"/>
    <w:rsid w:val="0088112B"/>
    <w:rsid w:val="00881180"/>
    <w:rsid w:val="00881334"/>
    <w:rsid w:val="0088134E"/>
    <w:rsid w:val="00881628"/>
    <w:rsid w:val="0088175F"/>
    <w:rsid w:val="00881AE0"/>
    <w:rsid w:val="00881E07"/>
    <w:rsid w:val="00881FEE"/>
    <w:rsid w:val="00882146"/>
    <w:rsid w:val="008825A0"/>
    <w:rsid w:val="00882641"/>
    <w:rsid w:val="008828B8"/>
    <w:rsid w:val="008828EC"/>
    <w:rsid w:val="0088291F"/>
    <w:rsid w:val="00882921"/>
    <w:rsid w:val="0088292F"/>
    <w:rsid w:val="00882CC8"/>
    <w:rsid w:val="00882E2B"/>
    <w:rsid w:val="00882E66"/>
    <w:rsid w:val="0088311A"/>
    <w:rsid w:val="00883315"/>
    <w:rsid w:val="008835E6"/>
    <w:rsid w:val="00883797"/>
    <w:rsid w:val="0088380C"/>
    <w:rsid w:val="008838D7"/>
    <w:rsid w:val="00883ABD"/>
    <w:rsid w:val="00883BA2"/>
    <w:rsid w:val="00884021"/>
    <w:rsid w:val="008840A8"/>
    <w:rsid w:val="008842D8"/>
    <w:rsid w:val="008843A2"/>
    <w:rsid w:val="00884453"/>
    <w:rsid w:val="0088470C"/>
    <w:rsid w:val="008849D9"/>
    <w:rsid w:val="008849F1"/>
    <w:rsid w:val="00884A73"/>
    <w:rsid w:val="00884C53"/>
    <w:rsid w:val="00884E9F"/>
    <w:rsid w:val="00885028"/>
    <w:rsid w:val="00885283"/>
    <w:rsid w:val="008853E4"/>
    <w:rsid w:val="00885451"/>
    <w:rsid w:val="0088546B"/>
    <w:rsid w:val="0088560D"/>
    <w:rsid w:val="008858A2"/>
    <w:rsid w:val="008858E6"/>
    <w:rsid w:val="00885AFE"/>
    <w:rsid w:val="00885C79"/>
    <w:rsid w:val="0088626C"/>
    <w:rsid w:val="0088653C"/>
    <w:rsid w:val="008865EE"/>
    <w:rsid w:val="008867AB"/>
    <w:rsid w:val="008867E4"/>
    <w:rsid w:val="00886CDD"/>
    <w:rsid w:val="00886CE0"/>
    <w:rsid w:val="00886D74"/>
    <w:rsid w:val="00886D82"/>
    <w:rsid w:val="00886E8D"/>
    <w:rsid w:val="00886EDC"/>
    <w:rsid w:val="00886F65"/>
    <w:rsid w:val="00887086"/>
    <w:rsid w:val="00887160"/>
    <w:rsid w:val="00887216"/>
    <w:rsid w:val="0088727D"/>
    <w:rsid w:val="0088739B"/>
    <w:rsid w:val="008874E5"/>
    <w:rsid w:val="008875D1"/>
    <w:rsid w:val="00887848"/>
    <w:rsid w:val="0088792B"/>
    <w:rsid w:val="00887AAD"/>
    <w:rsid w:val="00887B34"/>
    <w:rsid w:val="00887B8B"/>
    <w:rsid w:val="00887C23"/>
    <w:rsid w:val="00887DEE"/>
    <w:rsid w:val="00887EEC"/>
    <w:rsid w:val="00887EF5"/>
    <w:rsid w:val="00887F8C"/>
    <w:rsid w:val="00887FF3"/>
    <w:rsid w:val="00887FF8"/>
    <w:rsid w:val="0089001B"/>
    <w:rsid w:val="008900DA"/>
    <w:rsid w:val="008902FA"/>
    <w:rsid w:val="00890344"/>
    <w:rsid w:val="0089052A"/>
    <w:rsid w:val="00890532"/>
    <w:rsid w:val="00890665"/>
    <w:rsid w:val="0089071A"/>
    <w:rsid w:val="008907B4"/>
    <w:rsid w:val="0089093F"/>
    <w:rsid w:val="00890AA2"/>
    <w:rsid w:val="00890DC0"/>
    <w:rsid w:val="00890E9E"/>
    <w:rsid w:val="00890EBB"/>
    <w:rsid w:val="00890EF2"/>
    <w:rsid w:val="008911E0"/>
    <w:rsid w:val="00891526"/>
    <w:rsid w:val="008915E3"/>
    <w:rsid w:val="008917BE"/>
    <w:rsid w:val="008917DA"/>
    <w:rsid w:val="008918A7"/>
    <w:rsid w:val="00891B63"/>
    <w:rsid w:val="00891BAE"/>
    <w:rsid w:val="00891C5D"/>
    <w:rsid w:val="00891DA5"/>
    <w:rsid w:val="0089214C"/>
    <w:rsid w:val="008921AD"/>
    <w:rsid w:val="0089238C"/>
    <w:rsid w:val="008923F9"/>
    <w:rsid w:val="00892492"/>
    <w:rsid w:val="00892561"/>
    <w:rsid w:val="0089285C"/>
    <w:rsid w:val="008928F6"/>
    <w:rsid w:val="008929C7"/>
    <w:rsid w:val="00892B53"/>
    <w:rsid w:val="00892C7A"/>
    <w:rsid w:val="00892E36"/>
    <w:rsid w:val="0089307C"/>
    <w:rsid w:val="0089310D"/>
    <w:rsid w:val="00893146"/>
    <w:rsid w:val="0089328F"/>
    <w:rsid w:val="0089373E"/>
    <w:rsid w:val="008938EE"/>
    <w:rsid w:val="008939D0"/>
    <w:rsid w:val="00893E8B"/>
    <w:rsid w:val="00893EF0"/>
    <w:rsid w:val="008944A1"/>
    <w:rsid w:val="008944C0"/>
    <w:rsid w:val="00894500"/>
    <w:rsid w:val="008945D6"/>
    <w:rsid w:val="008949BE"/>
    <w:rsid w:val="00894BD8"/>
    <w:rsid w:val="00894C6C"/>
    <w:rsid w:val="00894CB2"/>
    <w:rsid w:val="00894CE1"/>
    <w:rsid w:val="00894EF2"/>
    <w:rsid w:val="00895140"/>
    <w:rsid w:val="0089522B"/>
    <w:rsid w:val="008953FA"/>
    <w:rsid w:val="00895414"/>
    <w:rsid w:val="00895693"/>
    <w:rsid w:val="008957B0"/>
    <w:rsid w:val="00895A1C"/>
    <w:rsid w:val="00895D52"/>
    <w:rsid w:val="00896377"/>
    <w:rsid w:val="008963B3"/>
    <w:rsid w:val="00896492"/>
    <w:rsid w:val="008965B7"/>
    <w:rsid w:val="00896860"/>
    <w:rsid w:val="008969D2"/>
    <w:rsid w:val="00896EA1"/>
    <w:rsid w:val="00896F8F"/>
    <w:rsid w:val="00897006"/>
    <w:rsid w:val="008972F9"/>
    <w:rsid w:val="0089737E"/>
    <w:rsid w:val="0089746D"/>
    <w:rsid w:val="0089754D"/>
    <w:rsid w:val="0089768E"/>
    <w:rsid w:val="008977C2"/>
    <w:rsid w:val="00897967"/>
    <w:rsid w:val="00897AE5"/>
    <w:rsid w:val="00897B8B"/>
    <w:rsid w:val="00897D3C"/>
    <w:rsid w:val="00897EA5"/>
    <w:rsid w:val="00897F8A"/>
    <w:rsid w:val="008A057A"/>
    <w:rsid w:val="008A079D"/>
    <w:rsid w:val="008A08A9"/>
    <w:rsid w:val="008A0A94"/>
    <w:rsid w:val="008A0AF5"/>
    <w:rsid w:val="008A0B19"/>
    <w:rsid w:val="008A0BB1"/>
    <w:rsid w:val="008A0FC0"/>
    <w:rsid w:val="008A114F"/>
    <w:rsid w:val="008A1179"/>
    <w:rsid w:val="008A12BE"/>
    <w:rsid w:val="008A13EE"/>
    <w:rsid w:val="008A16A8"/>
    <w:rsid w:val="008A1A35"/>
    <w:rsid w:val="008A1DBE"/>
    <w:rsid w:val="008A1EEA"/>
    <w:rsid w:val="008A1F21"/>
    <w:rsid w:val="008A2215"/>
    <w:rsid w:val="008A2350"/>
    <w:rsid w:val="008A2702"/>
    <w:rsid w:val="008A2736"/>
    <w:rsid w:val="008A2898"/>
    <w:rsid w:val="008A2941"/>
    <w:rsid w:val="008A2A05"/>
    <w:rsid w:val="008A2A6E"/>
    <w:rsid w:val="008A2E69"/>
    <w:rsid w:val="008A30BB"/>
    <w:rsid w:val="008A3184"/>
    <w:rsid w:val="008A330E"/>
    <w:rsid w:val="008A3373"/>
    <w:rsid w:val="008A33F5"/>
    <w:rsid w:val="008A35CC"/>
    <w:rsid w:val="008A3922"/>
    <w:rsid w:val="008A399F"/>
    <w:rsid w:val="008A3B96"/>
    <w:rsid w:val="008A3CAC"/>
    <w:rsid w:val="008A41CD"/>
    <w:rsid w:val="008A4203"/>
    <w:rsid w:val="008A42B8"/>
    <w:rsid w:val="008A4334"/>
    <w:rsid w:val="008A45F4"/>
    <w:rsid w:val="008A4834"/>
    <w:rsid w:val="008A4B56"/>
    <w:rsid w:val="008A4D8D"/>
    <w:rsid w:val="008A4F9E"/>
    <w:rsid w:val="008A5143"/>
    <w:rsid w:val="008A5309"/>
    <w:rsid w:val="008A551D"/>
    <w:rsid w:val="008A5589"/>
    <w:rsid w:val="008A55BA"/>
    <w:rsid w:val="008A58AF"/>
    <w:rsid w:val="008A58BF"/>
    <w:rsid w:val="008A5A6F"/>
    <w:rsid w:val="008A5C59"/>
    <w:rsid w:val="008A5D90"/>
    <w:rsid w:val="008A5EE0"/>
    <w:rsid w:val="008A5F09"/>
    <w:rsid w:val="008A5F35"/>
    <w:rsid w:val="008A614F"/>
    <w:rsid w:val="008A62F6"/>
    <w:rsid w:val="008A638C"/>
    <w:rsid w:val="008A63BD"/>
    <w:rsid w:val="008A6407"/>
    <w:rsid w:val="008A6468"/>
    <w:rsid w:val="008A64C5"/>
    <w:rsid w:val="008A64F9"/>
    <w:rsid w:val="008A69A2"/>
    <w:rsid w:val="008A6CC4"/>
    <w:rsid w:val="008A6E18"/>
    <w:rsid w:val="008A6F2E"/>
    <w:rsid w:val="008A7380"/>
    <w:rsid w:val="008A7474"/>
    <w:rsid w:val="008A76E6"/>
    <w:rsid w:val="008A7A91"/>
    <w:rsid w:val="008A7C49"/>
    <w:rsid w:val="008A7C77"/>
    <w:rsid w:val="008A7E0B"/>
    <w:rsid w:val="008B0385"/>
    <w:rsid w:val="008B044C"/>
    <w:rsid w:val="008B049B"/>
    <w:rsid w:val="008B0A05"/>
    <w:rsid w:val="008B0A81"/>
    <w:rsid w:val="008B0B23"/>
    <w:rsid w:val="008B0C71"/>
    <w:rsid w:val="008B0D0D"/>
    <w:rsid w:val="008B0D50"/>
    <w:rsid w:val="008B0DEF"/>
    <w:rsid w:val="008B0F6C"/>
    <w:rsid w:val="008B1118"/>
    <w:rsid w:val="008B12E2"/>
    <w:rsid w:val="008B1350"/>
    <w:rsid w:val="008B1573"/>
    <w:rsid w:val="008B1749"/>
    <w:rsid w:val="008B17E2"/>
    <w:rsid w:val="008B180D"/>
    <w:rsid w:val="008B1EE1"/>
    <w:rsid w:val="008B22F4"/>
    <w:rsid w:val="008B239E"/>
    <w:rsid w:val="008B25C0"/>
    <w:rsid w:val="008B26DF"/>
    <w:rsid w:val="008B28D6"/>
    <w:rsid w:val="008B2AE9"/>
    <w:rsid w:val="008B2BE7"/>
    <w:rsid w:val="008B2E18"/>
    <w:rsid w:val="008B2F6E"/>
    <w:rsid w:val="008B3044"/>
    <w:rsid w:val="008B31EF"/>
    <w:rsid w:val="008B32E5"/>
    <w:rsid w:val="008B374E"/>
    <w:rsid w:val="008B37B9"/>
    <w:rsid w:val="008B39E7"/>
    <w:rsid w:val="008B3B20"/>
    <w:rsid w:val="008B3C0F"/>
    <w:rsid w:val="008B3DC0"/>
    <w:rsid w:val="008B3E56"/>
    <w:rsid w:val="008B3F1D"/>
    <w:rsid w:val="008B3F57"/>
    <w:rsid w:val="008B42E5"/>
    <w:rsid w:val="008B43B1"/>
    <w:rsid w:val="008B43C1"/>
    <w:rsid w:val="008B464D"/>
    <w:rsid w:val="008B47EB"/>
    <w:rsid w:val="008B4981"/>
    <w:rsid w:val="008B4AD2"/>
    <w:rsid w:val="008B4D71"/>
    <w:rsid w:val="008B4EB8"/>
    <w:rsid w:val="008B4F22"/>
    <w:rsid w:val="008B4F94"/>
    <w:rsid w:val="008B548A"/>
    <w:rsid w:val="008B5491"/>
    <w:rsid w:val="008B54A5"/>
    <w:rsid w:val="008B55CF"/>
    <w:rsid w:val="008B5921"/>
    <w:rsid w:val="008B5969"/>
    <w:rsid w:val="008B5FB4"/>
    <w:rsid w:val="008B6089"/>
    <w:rsid w:val="008B66BA"/>
    <w:rsid w:val="008B6B7A"/>
    <w:rsid w:val="008B6D76"/>
    <w:rsid w:val="008B6EA1"/>
    <w:rsid w:val="008B6FAA"/>
    <w:rsid w:val="008B73E3"/>
    <w:rsid w:val="008B7421"/>
    <w:rsid w:val="008B7721"/>
    <w:rsid w:val="008B77FA"/>
    <w:rsid w:val="008B79FE"/>
    <w:rsid w:val="008C002C"/>
    <w:rsid w:val="008C0046"/>
    <w:rsid w:val="008C0082"/>
    <w:rsid w:val="008C00B1"/>
    <w:rsid w:val="008C0196"/>
    <w:rsid w:val="008C01D9"/>
    <w:rsid w:val="008C0227"/>
    <w:rsid w:val="008C0280"/>
    <w:rsid w:val="008C035D"/>
    <w:rsid w:val="008C065E"/>
    <w:rsid w:val="008C08D5"/>
    <w:rsid w:val="008C0C30"/>
    <w:rsid w:val="008C0D3D"/>
    <w:rsid w:val="008C1355"/>
    <w:rsid w:val="008C13DC"/>
    <w:rsid w:val="008C1603"/>
    <w:rsid w:val="008C1796"/>
    <w:rsid w:val="008C17DC"/>
    <w:rsid w:val="008C1809"/>
    <w:rsid w:val="008C1821"/>
    <w:rsid w:val="008C1897"/>
    <w:rsid w:val="008C1B75"/>
    <w:rsid w:val="008C1B7F"/>
    <w:rsid w:val="008C1C8D"/>
    <w:rsid w:val="008C1DE5"/>
    <w:rsid w:val="008C241F"/>
    <w:rsid w:val="008C24BE"/>
    <w:rsid w:val="008C2602"/>
    <w:rsid w:val="008C274F"/>
    <w:rsid w:val="008C2754"/>
    <w:rsid w:val="008C277C"/>
    <w:rsid w:val="008C2924"/>
    <w:rsid w:val="008C2F13"/>
    <w:rsid w:val="008C2F76"/>
    <w:rsid w:val="008C2FF1"/>
    <w:rsid w:val="008C31AB"/>
    <w:rsid w:val="008C33DE"/>
    <w:rsid w:val="008C3454"/>
    <w:rsid w:val="008C3495"/>
    <w:rsid w:val="008C3654"/>
    <w:rsid w:val="008C3664"/>
    <w:rsid w:val="008C3BEF"/>
    <w:rsid w:val="008C4151"/>
    <w:rsid w:val="008C423C"/>
    <w:rsid w:val="008C44A7"/>
    <w:rsid w:val="008C492D"/>
    <w:rsid w:val="008C4A4F"/>
    <w:rsid w:val="008C4B04"/>
    <w:rsid w:val="008C4CE4"/>
    <w:rsid w:val="008C5260"/>
    <w:rsid w:val="008C526D"/>
    <w:rsid w:val="008C52CC"/>
    <w:rsid w:val="008C5479"/>
    <w:rsid w:val="008C55F6"/>
    <w:rsid w:val="008C5A99"/>
    <w:rsid w:val="008C5D48"/>
    <w:rsid w:val="008C5F2C"/>
    <w:rsid w:val="008C5FE5"/>
    <w:rsid w:val="008C60CB"/>
    <w:rsid w:val="008C6150"/>
    <w:rsid w:val="008C6165"/>
    <w:rsid w:val="008C640E"/>
    <w:rsid w:val="008C6430"/>
    <w:rsid w:val="008C6571"/>
    <w:rsid w:val="008C65EB"/>
    <w:rsid w:val="008C6A0C"/>
    <w:rsid w:val="008C6BBF"/>
    <w:rsid w:val="008C6BF4"/>
    <w:rsid w:val="008C6C21"/>
    <w:rsid w:val="008C6F51"/>
    <w:rsid w:val="008C6F95"/>
    <w:rsid w:val="008C6FBF"/>
    <w:rsid w:val="008C715C"/>
    <w:rsid w:val="008C724B"/>
    <w:rsid w:val="008C742F"/>
    <w:rsid w:val="008C77C3"/>
    <w:rsid w:val="008C7948"/>
    <w:rsid w:val="008C7A32"/>
    <w:rsid w:val="008C7A41"/>
    <w:rsid w:val="008C7B12"/>
    <w:rsid w:val="008C7CD4"/>
    <w:rsid w:val="008C7DB1"/>
    <w:rsid w:val="008C7DB9"/>
    <w:rsid w:val="008D000E"/>
    <w:rsid w:val="008D0047"/>
    <w:rsid w:val="008D0270"/>
    <w:rsid w:val="008D02B7"/>
    <w:rsid w:val="008D035E"/>
    <w:rsid w:val="008D03D2"/>
    <w:rsid w:val="008D0413"/>
    <w:rsid w:val="008D0582"/>
    <w:rsid w:val="008D07E9"/>
    <w:rsid w:val="008D0862"/>
    <w:rsid w:val="008D0A65"/>
    <w:rsid w:val="008D0B57"/>
    <w:rsid w:val="008D0B92"/>
    <w:rsid w:val="008D0BB8"/>
    <w:rsid w:val="008D0CB4"/>
    <w:rsid w:val="008D0E0A"/>
    <w:rsid w:val="008D0F26"/>
    <w:rsid w:val="008D0F63"/>
    <w:rsid w:val="008D0FD4"/>
    <w:rsid w:val="008D1166"/>
    <w:rsid w:val="008D11ED"/>
    <w:rsid w:val="008D12E2"/>
    <w:rsid w:val="008D166C"/>
    <w:rsid w:val="008D16D5"/>
    <w:rsid w:val="008D180C"/>
    <w:rsid w:val="008D1C28"/>
    <w:rsid w:val="008D1D5D"/>
    <w:rsid w:val="008D1F6F"/>
    <w:rsid w:val="008D2023"/>
    <w:rsid w:val="008D2108"/>
    <w:rsid w:val="008D237E"/>
    <w:rsid w:val="008D254A"/>
    <w:rsid w:val="008D258F"/>
    <w:rsid w:val="008D25B2"/>
    <w:rsid w:val="008D2613"/>
    <w:rsid w:val="008D26F1"/>
    <w:rsid w:val="008D29A3"/>
    <w:rsid w:val="008D2BA8"/>
    <w:rsid w:val="008D2DED"/>
    <w:rsid w:val="008D30A5"/>
    <w:rsid w:val="008D31A3"/>
    <w:rsid w:val="008D33D1"/>
    <w:rsid w:val="008D3548"/>
    <w:rsid w:val="008D35A9"/>
    <w:rsid w:val="008D35E9"/>
    <w:rsid w:val="008D37FF"/>
    <w:rsid w:val="008D38CF"/>
    <w:rsid w:val="008D3A21"/>
    <w:rsid w:val="008D3A3C"/>
    <w:rsid w:val="008D40B1"/>
    <w:rsid w:val="008D42E0"/>
    <w:rsid w:val="008D4360"/>
    <w:rsid w:val="008D4365"/>
    <w:rsid w:val="008D4380"/>
    <w:rsid w:val="008D4665"/>
    <w:rsid w:val="008D4B4B"/>
    <w:rsid w:val="008D4C59"/>
    <w:rsid w:val="008D4DEC"/>
    <w:rsid w:val="008D4EB2"/>
    <w:rsid w:val="008D4F4B"/>
    <w:rsid w:val="008D50E6"/>
    <w:rsid w:val="008D5141"/>
    <w:rsid w:val="008D516D"/>
    <w:rsid w:val="008D51C9"/>
    <w:rsid w:val="008D5212"/>
    <w:rsid w:val="008D55FC"/>
    <w:rsid w:val="008D57BD"/>
    <w:rsid w:val="008D5A42"/>
    <w:rsid w:val="008D5AAC"/>
    <w:rsid w:val="008D5D7D"/>
    <w:rsid w:val="008D5E06"/>
    <w:rsid w:val="008D608E"/>
    <w:rsid w:val="008D60BB"/>
    <w:rsid w:val="008D619D"/>
    <w:rsid w:val="008D62AC"/>
    <w:rsid w:val="008D6372"/>
    <w:rsid w:val="008D637A"/>
    <w:rsid w:val="008D686F"/>
    <w:rsid w:val="008D70D6"/>
    <w:rsid w:val="008D7169"/>
    <w:rsid w:val="008D720F"/>
    <w:rsid w:val="008D7310"/>
    <w:rsid w:val="008D73BA"/>
    <w:rsid w:val="008D75F9"/>
    <w:rsid w:val="008D7963"/>
    <w:rsid w:val="008D7A43"/>
    <w:rsid w:val="008D7C3F"/>
    <w:rsid w:val="008DFE6C"/>
    <w:rsid w:val="008E006B"/>
    <w:rsid w:val="008E00D1"/>
    <w:rsid w:val="008E0133"/>
    <w:rsid w:val="008E01CC"/>
    <w:rsid w:val="008E01E3"/>
    <w:rsid w:val="008E03E8"/>
    <w:rsid w:val="008E05C1"/>
    <w:rsid w:val="008E06B6"/>
    <w:rsid w:val="008E06C3"/>
    <w:rsid w:val="008E072F"/>
    <w:rsid w:val="008E079D"/>
    <w:rsid w:val="008E098B"/>
    <w:rsid w:val="008E0A02"/>
    <w:rsid w:val="008E0AA3"/>
    <w:rsid w:val="008E0B34"/>
    <w:rsid w:val="008E0B9D"/>
    <w:rsid w:val="008E0CC2"/>
    <w:rsid w:val="008E10A8"/>
    <w:rsid w:val="008E128B"/>
    <w:rsid w:val="008E12A5"/>
    <w:rsid w:val="008E1376"/>
    <w:rsid w:val="008E15E0"/>
    <w:rsid w:val="008E164A"/>
    <w:rsid w:val="008E16B8"/>
    <w:rsid w:val="008E174C"/>
    <w:rsid w:val="008E1914"/>
    <w:rsid w:val="008E19F2"/>
    <w:rsid w:val="008E1AD5"/>
    <w:rsid w:val="008E1B99"/>
    <w:rsid w:val="008E1F32"/>
    <w:rsid w:val="008E2007"/>
    <w:rsid w:val="008E207E"/>
    <w:rsid w:val="008E2177"/>
    <w:rsid w:val="008E2569"/>
    <w:rsid w:val="008E262F"/>
    <w:rsid w:val="008E2641"/>
    <w:rsid w:val="008E265B"/>
    <w:rsid w:val="008E2B41"/>
    <w:rsid w:val="008E2B98"/>
    <w:rsid w:val="008E2C6F"/>
    <w:rsid w:val="008E2D1B"/>
    <w:rsid w:val="008E30A2"/>
    <w:rsid w:val="008E31D2"/>
    <w:rsid w:val="008E3403"/>
    <w:rsid w:val="008E3497"/>
    <w:rsid w:val="008E34BE"/>
    <w:rsid w:val="008E3518"/>
    <w:rsid w:val="008E38BA"/>
    <w:rsid w:val="008E39E4"/>
    <w:rsid w:val="008E3A6E"/>
    <w:rsid w:val="008E3B93"/>
    <w:rsid w:val="008E3D1D"/>
    <w:rsid w:val="008E3E31"/>
    <w:rsid w:val="008E3FE6"/>
    <w:rsid w:val="008E415A"/>
    <w:rsid w:val="008E4434"/>
    <w:rsid w:val="008E4475"/>
    <w:rsid w:val="008E4621"/>
    <w:rsid w:val="008E4652"/>
    <w:rsid w:val="008E498B"/>
    <w:rsid w:val="008E4C9D"/>
    <w:rsid w:val="008E4E22"/>
    <w:rsid w:val="008E4E87"/>
    <w:rsid w:val="008E4F8D"/>
    <w:rsid w:val="008E5118"/>
    <w:rsid w:val="008E51A3"/>
    <w:rsid w:val="008E5427"/>
    <w:rsid w:val="008E54A3"/>
    <w:rsid w:val="008E5542"/>
    <w:rsid w:val="008E5845"/>
    <w:rsid w:val="008E58B2"/>
    <w:rsid w:val="008E5A28"/>
    <w:rsid w:val="008E5B29"/>
    <w:rsid w:val="008E5C11"/>
    <w:rsid w:val="008E5DB7"/>
    <w:rsid w:val="008E5F89"/>
    <w:rsid w:val="008E60DA"/>
    <w:rsid w:val="008E60E1"/>
    <w:rsid w:val="008E61B8"/>
    <w:rsid w:val="008E6238"/>
    <w:rsid w:val="008E6498"/>
    <w:rsid w:val="008E65FC"/>
    <w:rsid w:val="008E66F4"/>
    <w:rsid w:val="008E6844"/>
    <w:rsid w:val="008E688F"/>
    <w:rsid w:val="008E68A5"/>
    <w:rsid w:val="008E6969"/>
    <w:rsid w:val="008E6A6E"/>
    <w:rsid w:val="008E700C"/>
    <w:rsid w:val="008E7341"/>
    <w:rsid w:val="008E746E"/>
    <w:rsid w:val="008E749F"/>
    <w:rsid w:val="008E74DF"/>
    <w:rsid w:val="008E74E4"/>
    <w:rsid w:val="008E75FA"/>
    <w:rsid w:val="008E7701"/>
    <w:rsid w:val="008E7DEF"/>
    <w:rsid w:val="008F0084"/>
    <w:rsid w:val="008F0184"/>
    <w:rsid w:val="008F06F8"/>
    <w:rsid w:val="008F0721"/>
    <w:rsid w:val="008F0723"/>
    <w:rsid w:val="008F0A03"/>
    <w:rsid w:val="008F0B4D"/>
    <w:rsid w:val="008F0EE9"/>
    <w:rsid w:val="008F1056"/>
    <w:rsid w:val="008F1074"/>
    <w:rsid w:val="008F1179"/>
    <w:rsid w:val="008F11D3"/>
    <w:rsid w:val="008F1208"/>
    <w:rsid w:val="008F134B"/>
    <w:rsid w:val="008F181A"/>
    <w:rsid w:val="008F19D2"/>
    <w:rsid w:val="008F1A35"/>
    <w:rsid w:val="008F1D35"/>
    <w:rsid w:val="008F1D76"/>
    <w:rsid w:val="008F1D87"/>
    <w:rsid w:val="008F1EA5"/>
    <w:rsid w:val="008F1F1D"/>
    <w:rsid w:val="008F23D6"/>
    <w:rsid w:val="008F25B8"/>
    <w:rsid w:val="008F2770"/>
    <w:rsid w:val="008F278A"/>
    <w:rsid w:val="008F2ACC"/>
    <w:rsid w:val="008F2AE0"/>
    <w:rsid w:val="008F2DC4"/>
    <w:rsid w:val="008F2EE3"/>
    <w:rsid w:val="008F2F28"/>
    <w:rsid w:val="008F2FDD"/>
    <w:rsid w:val="008F317D"/>
    <w:rsid w:val="008F326A"/>
    <w:rsid w:val="008F3552"/>
    <w:rsid w:val="008F36E2"/>
    <w:rsid w:val="008F3ADB"/>
    <w:rsid w:val="008F3CCF"/>
    <w:rsid w:val="008F3CEC"/>
    <w:rsid w:val="008F3D6A"/>
    <w:rsid w:val="008F3E02"/>
    <w:rsid w:val="008F3E0B"/>
    <w:rsid w:val="008F3FBE"/>
    <w:rsid w:val="008F4379"/>
    <w:rsid w:val="008F4540"/>
    <w:rsid w:val="008F468C"/>
    <w:rsid w:val="008F47B0"/>
    <w:rsid w:val="008F4A87"/>
    <w:rsid w:val="008F4D69"/>
    <w:rsid w:val="008F5026"/>
    <w:rsid w:val="008F504C"/>
    <w:rsid w:val="008F50D7"/>
    <w:rsid w:val="008F50FB"/>
    <w:rsid w:val="008F5197"/>
    <w:rsid w:val="008F5719"/>
    <w:rsid w:val="008F5721"/>
    <w:rsid w:val="008F5AF3"/>
    <w:rsid w:val="008F5B41"/>
    <w:rsid w:val="008F5EC6"/>
    <w:rsid w:val="008F5EDB"/>
    <w:rsid w:val="008F611B"/>
    <w:rsid w:val="008F6307"/>
    <w:rsid w:val="008F6A35"/>
    <w:rsid w:val="008F6B34"/>
    <w:rsid w:val="008F6BF5"/>
    <w:rsid w:val="008F6CDF"/>
    <w:rsid w:val="008F6D40"/>
    <w:rsid w:val="008F6DAA"/>
    <w:rsid w:val="008F6E24"/>
    <w:rsid w:val="008F6F8C"/>
    <w:rsid w:val="008F711A"/>
    <w:rsid w:val="008F7384"/>
    <w:rsid w:val="008F7739"/>
    <w:rsid w:val="008F7BA7"/>
    <w:rsid w:val="008F7BF1"/>
    <w:rsid w:val="008F7C08"/>
    <w:rsid w:val="008F7CB0"/>
    <w:rsid w:val="008F7EEF"/>
    <w:rsid w:val="0090012E"/>
    <w:rsid w:val="009005EA"/>
    <w:rsid w:val="0090085D"/>
    <w:rsid w:val="00900CA6"/>
    <w:rsid w:val="00900D72"/>
    <w:rsid w:val="00900D92"/>
    <w:rsid w:val="0090118C"/>
    <w:rsid w:val="0090135C"/>
    <w:rsid w:val="00901406"/>
    <w:rsid w:val="0090140C"/>
    <w:rsid w:val="00901484"/>
    <w:rsid w:val="00901510"/>
    <w:rsid w:val="0090154D"/>
    <w:rsid w:val="0090180E"/>
    <w:rsid w:val="00901810"/>
    <w:rsid w:val="00901AA8"/>
    <w:rsid w:val="00901DA1"/>
    <w:rsid w:val="00901E79"/>
    <w:rsid w:val="00901FE6"/>
    <w:rsid w:val="009022F6"/>
    <w:rsid w:val="0090269A"/>
    <w:rsid w:val="0090276E"/>
    <w:rsid w:val="009028B7"/>
    <w:rsid w:val="00902B14"/>
    <w:rsid w:val="00902F23"/>
    <w:rsid w:val="009031F1"/>
    <w:rsid w:val="00903228"/>
    <w:rsid w:val="0090323F"/>
    <w:rsid w:val="0090367C"/>
    <w:rsid w:val="00903868"/>
    <w:rsid w:val="00903B06"/>
    <w:rsid w:val="00903BCC"/>
    <w:rsid w:val="00903D49"/>
    <w:rsid w:val="00903DF6"/>
    <w:rsid w:val="00903F8A"/>
    <w:rsid w:val="009041E8"/>
    <w:rsid w:val="00904776"/>
    <w:rsid w:val="00904906"/>
    <w:rsid w:val="00904AD0"/>
    <w:rsid w:val="00904D71"/>
    <w:rsid w:val="00904E9F"/>
    <w:rsid w:val="00905166"/>
    <w:rsid w:val="0090522A"/>
    <w:rsid w:val="00905673"/>
    <w:rsid w:val="00905776"/>
    <w:rsid w:val="00905E0D"/>
    <w:rsid w:val="00905EBA"/>
    <w:rsid w:val="00905F1D"/>
    <w:rsid w:val="00905F2A"/>
    <w:rsid w:val="00905FF3"/>
    <w:rsid w:val="0090601F"/>
    <w:rsid w:val="00906022"/>
    <w:rsid w:val="009061EE"/>
    <w:rsid w:val="00906219"/>
    <w:rsid w:val="0090630C"/>
    <w:rsid w:val="00906883"/>
    <w:rsid w:val="00906943"/>
    <w:rsid w:val="00906AF7"/>
    <w:rsid w:val="00906CBD"/>
    <w:rsid w:val="00906CDD"/>
    <w:rsid w:val="00906D08"/>
    <w:rsid w:val="00906DF5"/>
    <w:rsid w:val="00906EBC"/>
    <w:rsid w:val="0090715A"/>
    <w:rsid w:val="0090726F"/>
    <w:rsid w:val="009077CC"/>
    <w:rsid w:val="00907A8A"/>
    <w:rsid w:val="00907F12"/>
    <w:rsid w:val="009100A6"/>
    <w:rsid w:val="009102F7"/>
    <w:rsid w:val="009103A5"/>
    <w:rsid w:val="00910491"/>
    <w:rsid w:val="00910544"/>
    <w:rsid w:val="0091054F"/>
    <w:rsid w:val="009106E3"/>
    <w:rsid w:val="00910AFB"/>
    <w:rsid w:val="00910AFC"/>
    <w:rsid w:val="00910F24"/>
    <w:rsid w:val="009113B5"/>
    <w:rsid w:val="009114E4"/>
    <w:rsid w:val="0091154A"/>
    <w:rsid w:val="00911909"/>
    <w:rsid w:val="00911AA2"/>
    <w:rsid w:val="00911BA8"/>
    <w:rsid w:val="00911C00"/>
    <w:rsid w:val="00911FD3"/>
    <w:rsid w:val="009120D2"/>
    <w:rsid w:val="009121B7"/>
    <w:rsid w:val="0091222C"/>
    <w:rsid w:val="00912272"/>
    <w:rsid w:val="0091230E"/>
    <w:rsid w:val="0091231E"/>
    <w:rsid w:val="00912357"/>
    <w:rsid w:val="00912436"/>
    <w:rsid w:val="0091255F"/>
    <w:rsid w:val="00912667"/>
    <w:rsid w:val="009127C8"/>
    <w:rsid w:val="009127F1"/>
    <w:rsid w:val="00912A2E"/>
    <w:rsid w:val="00912BCA"/>
    <w:rsid w:val="00912C69"/>
    <w:rsid w:val="00912C89"/>
    <w:rsid w:val="00912E77"/>
    <w:rsid w:val="0091307F"/>
    <w:rsid w:val="0091324C"/>
    <w:rsid w:val="009132C1"/>
    <w:rsid w:val="009133C3"/>
    <w:rsid w:val="0091380C"/>
    <w:rsid w:val="00913837"/>
    <w:rsid w:val="009138DF"/>
    <w:rsid w:val="009139E3"/>
    <w:rsid w:val="00913A0F"/>
    <w:rsid w:val="00913D37"/>
    <w:rsid w:val="00913E2A"/>
    <w:rsid w:val="00913F77"/>
    <w:rsid w:val="009140D0"/>
    <w:rsid w:val="00914172"/>
    <w:rsid w:val="0091417D"/>
    <w:rsid w:val="00914284"/>
    <w:rsid w:val="009143B7"/>
    <w:rsid w:val="009143F0"/>
    <w:rsid w:val="009144A0"/>
    <w:rsid w:val="009145B2"/>
    <w:rsid w:val="009148FF"/>
    <w:rsid w:val="009149C9"/>
    <w:rsid w:val="00914A2A"/>
    <w:rsid w:val="00914A2E"/>
    <w:rsid w:val="00914A4D"/>
    <w:rsid w:val="00914BC2"/>
    <w:rsid w:val="00914C3D"/>
    <w:rsid w:val="00914C55"/>
    <w:rsid w:val="00914EE2"/>
    <w:rsid w:val="00915000"/>
    <w:rsid w:val="009153AA"/>
    <w:rsid w:val="00915479"/>
    <w:rsid w:val="00915500"/>
    <w:rsid w:val="009156F2"/>
    <w:rsid w:val="009157BD"/>
    <w:rsid w:val="009157C7"/>
    <w:rsid w:val="00915BEB"/>
    <w:rsid w:val="00915E8C"/>
    <w:rsid w:val="00916061"/>
    <w:rsid w:val="0091644F"/>
    <w:rsid w:val="009165A5"/>
    <w:rsid w:val="009166E9"/>
    <w:rsid w:val="009167A6"/>
    <w:rsid w:val="00916BA8"/>
    <w:rsid w:val="00916F60"/>
    <w:rsid w:val="0091746C"/>
    <w:rsid w:val="00917723"/>
    <w:rsid w:val="00917C28"/>
    <w:rsid w:val="00917CB3"/>
    <w:rsid w:val="00917F18"/>
    <w:rsid w:val="00917F7C"/>
    <w:rsid w:val="0092010B"/>
    <w:rsid w:val="009202AB"/>
    <w:rsid w:val="0092070C"/>
    <w:rsid w:val="00920752"/>
    <w:rsid w:val="009207B7"/>
    <w:rsid w:val="00920A19"/>
    <w:rsid w:val="00920AB8"/>
    <w:rsid w:val="00920B69"/>
    <w:rsid w:val="00920B6A"/>
    <w:rsid w:val="00920BCA"/>
    <w:rsid w:val="00920D23"/>
    <w:rsid w:val="00920E5A"/>
    <w:rsid w:val="00921175"/>
    <w:rsid w:val="0092126F"/>
    <w:rsid w:val="009212F3"/>
    <w:rsid w:val="00921663"/>
    <w:rsid w:val="0092172C"/>
    <w:rsid w:val="00921768"/>
    <w:rsid w:val="0092185B"/>
    <w:rsid w:val="009219B5"/>
    <w:rsid w:val="00921B2E"/>
    <w:rsid w:val="00921BD5"/>
    <w:rsid w:val="00921E9D"/>
    <w:rsid w:val="00921EF3"/>
    <w:rsid w:val="0092214C"/>
    <w:rsid w:val="00922299"/>
    <w:rsid w:val="00922439"/>
    <w:rsid w:val="009224AC"/>
    <w:rsid w:val="0092267E"/>
    <w:rsid w:val="00922A04"/>
    <w:rsid w:val="00922D04"/>
    <w:rsid w:val="00922D77"/>
    <w:rsid w:val="00922D8D"/>
    <w:rsid w:val="00922E6B"/>
    <w:rsid w:val="009230B0"/>
    <w:rsid w:val="009230BC"/>
    <w:rsid w:val="009230DE"/>
    <w:rsid w:val="00923102"/>
    <w:rsid w:val="00923122"/>
    <w:rsid w:val="00923177"/>
    <w:rsid w:val="009233B8"/>
    <w:rsid w:val="009233D0"/>
    <w:rsid w:val="009235AF"/>
    <w:rsid w:val="00923887"/>
    <w:rsid w:val="00923AB5"/>
    <w:rsid w:val="00923BDD"/>
    <w:rsid w:val="00923D34"/>
    <w:rsid w:val="00923D45"/>
    <w:rsid w:val="00924036"/>
    <w:rsid w:val="009240F6"/>
    <w:rsid w:val="00924117"/>
    <w:rsid w:val="0092416F"/>
    <w:rsid w:val="009241A5"/>
    <w:rsid w:val="00924246"/>
    <w:rsid w:val="00924711"/>
    <w:rsid w:val="00924900"/>
    <w:rsid w:val="00924912"/>
    <w:rsid w:val="00924AA7"/>
    <w:rsid w:val="00924C6B"/>
    <w:rsid w:val="00924DD2"/>
    <w:rsid w:val="0092504F"/>
    <w:rsid w:val="00925096"/>
    <w:rsid w:val="00925102"/>
    <w:rsid w:val="009251D2"/>
    <w:rsid w:val="00925594"/>
    <w:rsid w:val="009255C9"/>
    <w:rsid w:val="0092578D"/>
    <w:rsid w:val="00925796"/>
    <w:rsid w:val="0092584E"/>
    <w:rsid w:val="009258C6"/>
    <w:rsid w:val="009258DF"/>
    <w:rsid w:val="00925BAA"/>
    <w:rsid w:val="00925C74"/>
    <w:rsid w:val="00925D22"/>
    <w:rsid w:val="00925D39"/>
    <w:rsid w:val="00925E44"/>
    <w:rsid w:val="00925EC0"/>
    <w:rsid w:val="00926123"/>
    <w:rsid w:val="00926328"/>
    <w:rsid w:val="009263B3"/>
    <w:rsid w:val="009263E1"/>
    <w:rsid w:val="009265F3"/>
    <w:rsid w:val="00926ACC"/>
    <w:rsid w:val="00926B11"/>
    <w:rsid w:val="00926C6C"/>
    <w:rsid w:val="00926CCC"/>
    <w:rsid w:val="00926E22"/>
    <w:rsid w:val="00927160"/>
    <w:rsid w:val="0092773C"/>
    <w:rsid w:val="00927769"/>
    <w:rsid w:val="00927931"/>
    <w:rsid w:val="00927AD9"/>
    <w:rsid w:val="00927ED3"/>
    <w:rsid w:val="00930211"/>
    <w:rsid w:val="009303B5"/>
    <w:rsid w:val="00930507"/>
    <w:rsid w:val="00930524"/>
    <w:rsid w:val="009305AD"/>
    <w:rsid w:val="00930640"/>
    <w:rsid w:val="00930828"/>
    <w:rsid w:val="0093085F"/>
    <w:rsid w:val="00930944"/>
    <w:rsid w:val="00930990"/>
    <w:rsid w:val="00930D8F"/>
    <w:rsid w:val="00930F91"/>
    <w:rsid w:val="0093104B"/>
    <w:rsid w:val="0093109D"/>
    <w:rsid w:val="009313AB"/>
    <w:rsid w:val="0093143D"/>
    <w:rsid w:val="00931548"/>
    <w:rsid w:val="00931B28"/>
    <w:rsid w:val="00931D45"/>
    <w:rsid w:val="00931E1E"/>
    <w:rsid w:val="00931E3E"/>
    <w:rsid w:val="009322EA"/>
    <w:rsid w:val="00932338"/>
    <w:rsid w:val="009326B0"/>
    <w:rsid w:val="00932871"/>
    <w:rsid w:val="00932AAD"/>
    <w:rsid w:val="00932C07"/>
    <w:rsid w:val="00932EC7"/>
    <w:rsid w:val="00933174"/>
    <w:rsid w:val="009333C9"/>
    <w:rsid w:val="00933549"/>
    <w:rsid w:val="00933CAD"/>
    <w:rsid w:val="00933D38"/>
    <w:rsid w:val="00933E0C"/>
    <w:rsid w:val="00933EEB"/>
    <w:rsid w:val="00933EF5"/>
    <w:rsid w:val="0093404D"/>
    <w:rsid w:val="009340B3"/>
    <w:rsid w:val="009341E2"/>
    <w:rsid w:val="00934409"/>
    <w:rsid w:val="009344B8"/>
    <w:rsid w:val="00934576"/>
    <w:rsid w:val="009345C7"/>
    <w:rsid w:val="0093476E"/>
    <w:rsid w:val="009348A2"/>
    <w:rsid w:val="009348FD"/>
    <w:rsid w:val="0093492C"/>
    <w:rsid w:val="00934A6D"/>
    <w:rsid w:val="00934B22"/>
    <w:rsid w:val="00934C2C"/>
    <w:rsid w:val="00935259"/>
    <w:rsid w:val="009355ED"/>
    <w:rsid w:val="00935700"/>
    <w:rsid w:val="00935A5E"/>
    <w:rsid w:val="00935B30"/>
    <w:rsid w:val="00935F28"/>
    <w:rsid w:val="00935F6B"/>
    <w:rsid w:val="00936180"/>
    <w:rsid w:val="00936557"/>
    <w:rsid w:val="00936918"/>
    <w:rsid w:val="00936934"/>
    <w:rsid w:val="009369DC"/>
    <w:rsid w:val="00936A49"/>
    <w:rsid w:val="00936AA9"/>
    <w:rsid w:val="00936B3F"/>
    <w:rsid w:val="00936E36"/>
    <w:rsid w:val="00936F49"/>
    <w:rsid w:val="009370D4"/>
    <w:rsid w:val="00937166"/>
    <w:rsid w:val="009372DD"/>
    <w:rsid w:val="009374A6"/>
    <w:rsid w:val="00937563"/>
    <w:rsid w:val="009375A1"/>
    <w:rsid w:val="0093768B"/>
    <w:rsid w:val="00937CBA"/>
    <w:rsid w:val="00937D3D"/>
    <w:rsid w:val="00937DE3"/>
    <w:rsid w:val="00937E0B"/>
    <w:rsid w:val="00940076"/>
    <w:rsid w:val="00940324"/>
    <w:rsid w:val="0094034D"/>
    <w:rsid w:val="00940405"/>
    <w:rsid w:val="00940760"/>
    <w:rsid w:val="0094092B"/>
    <w:rsid w:val="00940A77"/>
    <w:rsid w:val="00940AF0"/>
    <w:rsid w:val="00940B6A"/>
    <w:rsid w:val="00940DE6"/>
    <w:rsid w:val="00941050"/>
    <w:rsid w:val="00941167"/>
    <w:rsid w:val="009411DE"/>
    <w:rsid w:val="0094121A"/>
    <w:rsid w:val="00941267"/>
    <w:rsid w:val="00941283"/>
    <w:rsid w:val="00941451"/>
    <w:rsid w:val="0094150C"/>
    <w:rsid w:val="0094152C"/>
    <w:rsid w:val="00941691"/>
    <w:rsid w:val="009417C3"/>
    <w:rsid w:val="00941961"/>
    <w:rsid w:val="00941B2F"/>
    <w:rsid w:val="00941C23"/>
    <w:rsid w:val="00941D92"/>
    <w:rsid w:val="00941FA2"/>
    <w:rsid w:val="0094254E"/>
    <w:rsid w:val="0094268C"/>
    <w:rsid w:val="009427DD"/>
    <w:rsid w:val="0094282D"/>
    <w:rsid w:val="0094299B"/>
    <w:rsid w:val="00942A43"/>
    <w:rsid w:val="00942A6D"/>
    <w:rsid w:val="00943036"/>
    <w:rsid w:val="00943594"/>
    <w:rsid w:val="009435DB"/>
    <w:rsid w:val="00943616"/>
    <w:rsid w:val="00943665"/>
    <w:rsid w:val="00943875"/>
    <w:rsid w:val="00943A7C"/>
    <w:rsid w:val="00943AF9"/>
    <w:rsid w:val="00943C97"/>
    <w:rsid w:val="00943FD6"/>
    <w:rsid w:val="0094420C"/>
    <w:rsid w:val="00944378"/>
    <w:rsid w:val="009443B8"/>
    <w:rsid w:val="00944508"/>
    <w:rsid w:val="00944680"/>
    <w:rsid w:val="00944813"/>
    <w:rsid w:val="00944918"/>
    <w:rsid w:val="00944A5C"/>
    <w:rsid w:val="00944DC2"/>
    <w:rsid w:val="00944E69"/>
    <w:rsid w:val="009451AD"/>
    <w:rsid w:val="009451E6"/>
    <w:rsid w:val="009454E7"/>
    <w:rsid w:val="0094595D"/>
    <w:rsid w:val="0094597F"/>
    <w:rsid w:val="00945BE7"/>
    <w:rsid w:val="00945C8A"/>
    <w:rsid w:val="00945D19"/>
    <w:rsid w:val="00945F52"/>
    <w:rsid w:val="009460D5"/>
    <w:rsid w:val="009460DF"/>
    <w:rsid w:val="009460E0"/>
    <w:rsid w:val="00946181"/>
    <w:rsid w:val="00946206"/>
    <w:rsid w:val="0094635C"/>
    <w:rsid w:val="00946394"/>
    <w:rsid w:val="009464C6"/>
    <w:rsid w:val="00946779"/>
    <w:rsid w:val="009467ED"/>
    <w:rsid w:val="009468FF"/>
    <w:rsid w:val="00946C18"/>
    <w:rsid w:val="00946F9B"/>
    <w:rsid w:val="00947338"/>
    <w:rsid w:val="009473C7"/>
    <w:rsid w:val="009473D7"/>
    <w:rsid w:val="0094742A"/>
    <w:rsid w:val="00947434"/>
    <w:rsid w:val="0094755C"/>
    <w:rsid w:val="0094760B"/>
    <w:rsid w:val="00947B99"/>
    <w:rsid w:val="00947BAE"/>
    <w:rsid w:val="00947BE6"/>
    <w:rsid w:val="00947CF2"/>
    <w:rsid w:val="00947F5C"/>
    <w:rsid w:val="00947FB5"/>
    <w:rsid w:val="00950127"/>
    <w:rsid w:val="009502BA"/>
    <w:rsid w:val="0095052E"/>
    <w:rsid w:val="00950683"/>
    <w:rsid w:val="009506D4"/>
    <w:rsid w:val="00950706"/>
    <w:rsid w:val="00950710"/>
    <w:rsid w:val="00950754"/>
    <w:rsid w:val="00950790"/>
    <w:rsid w:val="0095082C"/>
    <w:rsid w:val="00950866"/>
    <w:rsid w:val="00950CFF"/>
    <w:rsid w:val="00950DAE"/>
    <w:rsid w:val="0095123C"/>
    <w:rsid w:val="00951328"/>
    <w:rsid w:val="00951485"/>
    <w:rsid w:val="009516AB"/>
    <w:rsid w:val="009518C1"/>
    <w:rsid w:val="009519AF"/>
    <w:rsid w:val="00951ABC"/>
    <w:rsid w:val="00951AF7"/>
    <w:rsid w:val="00951B47"/>
    <w:rsid w:val="00951CC3"/>
    <w:rsid w:val="0095225D"/>
    <w:rsid w:val="00952529"/>
    <w:rsid w:val="00952693"/>
    <w:rsid w:val="009527C3"/>
    <w:rsid w:val="009527F6"/>
    <w:rsid w:val="0095289E"/>
    <w:rsid w:val="00952925"/>
    <w:rsid w:val="00952EA2"/>
    <w:rsid w:val="00952FD1"/>
    <w:rsid w:val="0095315F"/>
    <w:rsid w:val="00953369"/>
    <w:rsid w:val="0095340C"/>
    <w:rsid w:val="009537E9"/>
    <w:rsid w:val="00953877"/>
    <w:rsid w:val="009538CD"/>
    <w:rsid w:val="00953B82"/>
    <w:rsid w:val="00954153"/>
    <w:rsid w:val="009541CE"/>
    <w:rsid w:val="009541D3"/>
    <w:rsid w:val="00954472"/>
    <w:rsid w:val="00954581"/>
    <w:rsid w:val="00954617"/>
    <w:rsid w:val="00954763"/>
    <w:rsid w:val="0095476B"/>
    <w:rsid w:val="00954A5B"/>
    <w:rsid w:val="00954AA1"/>
    <w:rsid w:val="00954E69"/>
    <w:rsid w:val="00954FA4"/>
    <w:rsid w:val="00955121"/>
    <w:rsid w:val="0095545E"/>
    <w:rsid w:val="0095558F"/>
    <w:rsid w:val="009555E2"/>
    <w:rsid w:val="009555FA"/>
    <w:rsid w:val="009556C0"/>
    <w:rsid w:val="009559C2"/>
    <w:rsid w:val="00955ACC"/>
    <w:rsid w:val="00955C1F"/>
    <w:rsid w:val="00955DCD"/>
    <w:rsid w:val="00955EFF"/>
    <w:rsid w:val="0095614C"/>
    <w:rsid w:val="009561FB"/>
    <w:rsid w:val="00956211"/>
    <w:rsid w:val="00956288"/>
    <w:rsid w:val="009564D7"/>
    <w:rsid w:val="0095688B"/>
    <w:rsid w:val="009568DF"/>
    <w:rsid w:val="00956AD1"/>
    <w:rsid w:val="00956AE6"/>
    <w:rsid w:val="00956B59"/>
    <w:rsid w:val="00956B99"/>
    <w:rsid w:val="00956DC2"/>
    <w:rsid w:val="00957010"/>
    <w:rsid w:val="00957084"/>
    <w:rsid w:val="00957323"/>
    <w:rsid w:val="0095761E"/>
    <w:rsid w:val="00957636"/>
    <w:rsid w:val="009577B8"/>
    <w:rsid w:val="00957ADC"/>
    <w:rsid w:val="00957C3D"/>
    <w:rsid w:val="00957E9F"/>
    <w:rsid w:val="00957F76"/>
    <w:rsid w:val="009601BE"/>
    <w:rsid w:val="009601F5"/>
    <w:rsid w:val="00960288"/>
    <w:rsid w:val="009603C0"/>
    <w:rsid w:val="00960620"/>
    <w:rsid w:val="009607ED"/>
    <w:rsid w:val="00960A52"/>
    <w:rsid w:val="00960CD7"/>
    <w:rsid w:val="00960D81"/>
    <w:rsid w:val="00960DE5"/>
    <w:rsid w:val="00960FA0"/>
    <w:rsid w:val="00961011"/>
    <w:rsid w:val="0096103A"/>
    <w:rsid w:val="00961059"/>
    <w:rsid w:val="0096168B"/>
    <w:rsid w:val="009616EF"/>
    <w:rsid w:val="009617EE"/>
    <w:rsid w:val="00961E25"/>
    <w:rsid w:val="00961E50"/>
    <w:rsid w:val="009621FF"/>
    <w:rsid w:val="00962394"/>
    <w:rsid w:val="00962478"/>
    <w:rsid w:val="00962517"/>
    <w:rsid w:val="00962528"/>
    <w:rsid w:val="0096289D"/>
    <w:rsid w:val="009629CF"/>
    <w:rsid w:val="00962A94"/>
    <w:rsid w:val="00962F7A"/>
    <w:rsid w:val="0096322E"/>
    <w:rsid w:val="0096326E"/>
    <w:rsid w:val="009632F6"/>
    <w:rsid w:val="00963583"/>
    <w:rsid w:val="0096366E"/>
    <w:rsid w:val="009636BD"/>
    <w:rsid w:val="00963780"/>
    <w:rsid w:val="009637F3"/>
    <w:rsid w:val="0096388E"/>
    <w:rsid w:val="00963907"/>
    <w:rsid w:val="0096395B"/>
    <w:rsid w:val="00963A66"/>
    <w:rsid w:val="00964061"/>
    <w:rsid w:val="009640CA"/>
    <w:rsid w:val="00964224"/>
    <w:rsid w:val="0096424C"/>
    <w:rsid w:val="00964493"/>
    <w:rsid w:val="009644A2"/>
    <w:rsid w:val="0096457E"/>
    <w:rsid w:val="009645C9"/>
    <w:rsid w:val="009646D4"/>
    <w:rsid w:val="009647A0"/>
    <w:rsid w:val="00964AE1"/>
    <w:rsid w:val="00964C8E"/>
    <w:rsid w:val="00964EEA"/>
    <w:rsid w:val="00964F27"/>
    <w:rsid w:val="009654C0"/>
    <w:rsid w:val="009654D1"/>
    <w:rsid w:val="009659CC"/>
    <w:rsid w:val="00965D37"/>
    <w:rsid w:val="00965E60"/>
    <w:rsid w:val="00966361"/>
    <w:rsid w:val="0096649F"/>
    <w:rsid w:val="00966569"/>
    <w:rsid w:val="0096676D"/>
    <w:rsid w:val="00966773"/>
    <w:rsid w:val="009667C7"/>
    <w:rsid w:val="0096694E"/>
    <w:rsid w:val="009669B3"/>
    <w:rsid w:val="00966A87"/>
    <w:rsid w:val="00966CF9"/>
    <w:rsid w:val="00966E44"/>
    <w:rsid w:val="00966E4B"/>
    <w:rsid w:val="00966EBD"/>
    <w:rsid w:val="009671F1"/>
    <w:rsid w:val="00967246"/>
    <w:rsid w:val="0096748F"/>
    <w:rsid w:val="0096779D"/>
    <w:rsid w:val="009679A9"/>
    <w:rsid w:val="009679EF"/>
    <w:rsid w:val="00967A9F"/>
    <w:rsid w:val="00967B0B"/>
    <w:rsid w:val="00967D2C"/>
    <w:rsid w:val="00967F39"/>
    <w:rsid w:val="00967F68"/>
    <w:rsid w:val="009702E5"/>
    <w:rsid w:val="009704A1"/>
    <w:rsid w:val="009704BE"/>
    <w:rsid w:val="0097089E"/>
    <w:rsid w:val="00970904"/>
    <w:rsid w:val="00970CB8"/>
    <w:rsid w:val="00970E05"/>
    <w:rsid w:val="00970E09"/>
    <w:rsid w:val="0097101D"/>
    <w:rsid w:val="00971090"/>
    <w:rsid w:val="0097118E"/>
    <w:rsid w:val="00971456"/>
    <w:rsid w:val="009714C1"/>
    <w:rsid w:val="009714FB"/>
    <w:rsid w:val="009715E9"/>
    <w:rsid w:val="009716D2"/>
    <w:rsid w:val="0097179C"/>
    <w:rsid w:val="00971833"/>
    <w:rsid w:val="0097193A"/>
    <w:rsid w:val="00971B1A"/>
    <w:rsid w:val="00971B88"/>
    <w:rsid w:val="00971D0C"/>
    <w:rsid w:val="00971E49"/>
    <w:rsid w:val="00971FB8"/>
    <w:rsid w:val="00972166"/>
    <w:rsid w:val="009724FD"/>
    <w:rsid w:val="00972617"/>
    <w:rsid w:val="00972B7B"/>
    <w:rsid w:val="00972CE7"/>
    <w:rsid w:val="00972D70"/>
    <w:rsid w:val="00972D79"/>
    <w:rsid w:val="009731E4"/>
    <w:rsid w:val="00973211"/>
    <w:rsid w:val="00973979"/>
    <w:rsid w:val="00973AB0"/>
    <w:rsid w:val="00973BE5"/>
    <w:rsid w:val="00973F1C"/>
    <w:rsid w:val="009741DD"/>
    <w:rsid w:val="0097432A"/>
    <w:rsid w:val="00974741"/>
    <w:rsid w:val="00974810"/>
    <w:rsid w:val="0097485F"/>
    <w:rsid w:val="00974B5D"/>
    <w:rsid w:val="00974CCD"/>
    <w:rsid w:val="00974CEC"/>
    <w:rsid w:val="00974D04"/>
    <w:rsid w:val="00974DD9"/>
    <w:rsid w:val="00974DEF"/>
    <w:rsid w:val="00974F30"/>
    <w:rsid w:val="009751FE"/>
    <w:rsid w:val="009752DB"/>
    <w:rsid w:val="0097533C"/>
    <w:rsid w:val="009757DB"/>
    <w:rsid w:val="00975A25"/>
    <w:rsid w:val="00975BA1"/>
    <w:rsid w:val="00975BE0"/>
    <w:rsid w:val="00975BFD"/>
    <w:rsid w:val="00975E13"/>
    <w:rsid w:val="00975F02"/>
    <w:rsid w:val="00975F03"/>
    <w:rsid w:val="00975F86"/>
    <w:rsid w:val="0097606D"/>
    <w:rsid w:val="009763D4"/>
    <w:rsid w:val="009768E6"/>
    <w:rsid w:val="00976948"/>
    <w:rsid w:val="00976978"/>
    <w:rsid w:val="00976CB9"/>
    <w:rsid w:val="00976D55"/>
    <w:rsid w:val="00976F4F"/>
    <w:rsid w:val="00976F86"/>
    <w:rsid w:val="00976F93"/>
    <w:rsid w:val="009770A3"/>
    <w:rsid w:val="009778DC"/>
    <w:rsid w:val="00977D27"/>
    <w:rsid w:val="00977EB5"/>
    <w:rsid w:val="00977F53"/>
    <w:rsid w:val="00977FC4"/>
    <w:rsid w:val="0098005E"/>
    <w:rsid w:val="00980201"/>
    <w:rsid w:val="00980266"/>
    <w:rsid w:val="00980281"/>
    <w:rsid w:val="009803A9"/>
    <w:rsid w:val="009804D9"/>
    <w:rsid w:val="0098054C"/>
    <w:rsid w:val="00980DAB"/>
    <w:rsid w:val="00980F08"/>
    <w:rsid w:val="00981199"/>
    <w:rsid w:val="009818B1"/>
    <w:rsid w:val="009819B1"/>
    <w:rsid w:val="00981A63"/>
    <w:rsid w:val="00981B2C"/>
    <w:rsid w:val="00981B73"/>
    <w:rsid w:val="00981C13"/>
    <w:rsid w:val="00981D13"/>
    <w:rsid w:val="00981E22"/>
    <w:rsid w:val="00981E38"/>
    <w:rsid w:val="00982016"/>
    <w:rsid w:val="009820B8"/>
    <w:rsid w:val="0098216A"/>
    <w:rsid w:val="00982264"/>
    <w:rsid w:val="0098226F"/>
    <w:rsid w:val="0098237F"/>
    <w:rsid w:val="009824FD"/>
    <w:rsid w:val="00982615"/>
    <w:rsid w:val="00982DE0"/>
    <w:rsid w:val="00983475"/>
    <w:rsid w:val="00983532"/>
    <w:rsid w:val="00983835"/>
    <w:rsid w:val="00983856"/>
    <w:rsid w:val="009839A8"/>
    <w:rsid w:val="00983AA2"/>
    <w:rsid w:val="00983C93"/>
    <w:rsid w:val="0098403D"/>
    <w:rsid w:val="009840C9"/>
    <w:rsid w:val="009842D9"/>
    <w:rsid w:val="00984301"/>
    <w:rsid w:val="00984363"/>
    <w:rsid w:val="009844C6"/>
    <w:rsid w:val="00984505"/>
    <w:rsid w:val="0098452D"/>
    <w:rsid w:val="0098457E"/>
    <w:rsid w:val="009845AE"/>
    <w:rsid w:val="00984617"/>
    <w:rsid w:val="00984629"/>
    <w:rsid w:val="00984AAF"/>
    <w:rsid w:val="00984C28"/>
    <w:rsid w:val="00984CA1"/>
    <w:rsid w:val="009850E6"/>
    <w:rsid w:val="0098515E"/>
    <w:rsid w:val="0098521F"/>
    <w:rsid w:val="00985297"/>
    <w:rsid w:val="009853DA"/>
    <w:rsid w:val="009856C4"/>
    <w:rsid w:val="00985736"/>
    <w:rsid w:val="009857CB"/>
    <w:rsid w:val="00985851"/>
    <w:rsid w:val="00986028"/>
    <w:rsid w:val="00986099"/>
    <w:rsid w:val="009868CE"/>
    <w:rsid w:val="009869B5"/>
    <w:rsid w:val="00986A68"/>
    <w:rsid w:val="00986BD0"/>
    <w:rsid w:val="00986DE3"/>
    <w:rsid w:val="00986E05"/>
    <w:rsid w:val="00986E11"/>
    <w:rsid w:val="00986F41"/>
    <w:rsid w:val="00986FBE"/>
    <w:rsid w:val="0098705A"/>
    <w:rsid w:val="009871CE"/>
    <w:rsid w:val="00987248"/>
    <w:rsid w:val="00987430"/>
    <w:rsid w:val="00987750"/>
    <w:rsid w:val="00987990"/>
    <w:rsid w:val="00987A5E"/>
    <w:rsid w:val="00987AE4"/>
    <w:rsid w:val="00987B3A"/>
    <w:rsid w:val="00987B57"/>
    <w:rsid w:val="00987D0E"/>
    <w:rsid w:val="00987D4F"/>
    <w:rsid w:val="00987EAB"/>
    <w:rsid w:val="00987F83"/>
    <w:rsid w:val="00990146"/>
    <w:rsid w:val="009903F0"/>
    <w:rsid w:val="00990415"/>
    <w:rsid w:val="0099054A"/>
    <w:rsid w:val="0099066A"/>
    <w:rsid w:val="0099072A"/>
    <w:rsid w:val="0099073E"/>
    <w:rsid w:val="00990AFF"/>
    <w:rsid w:val="00990B42"/>
    <w:rsid w:val="00990F41"/>
    <w:rsid w:val="009913E8"/>
    <w:rsid w:val="009914E0"/>
    <w:rsid w:val="0099157C"/>
    <w:rsid w:val="009916F7"/>
    <w:rsid w:val="009916F8"/>
    <w:rsid w:val="009918D8"/>
    <w:rsid w:val="00991D89"/>
    <w:rsid w:val="00991DC2"/>
    <w:rsid w:val="00991DFA"/>
    <w:rsid w:val="00991E3D"/>
    <w:rsid w:val="00991E51"/>
    <w:rsid w:val="00991F76"/>
    <w:rsid w:val="00992134"/>
    <w:rsid w:val="00992191"/>
    <w:rsid w:val="009922F7"/>
    <w:rsid w:val="009923D0"/>
    <w:rsid w:val="00992594"/>
    <w:rsid w:val="00992748"/>
    <w:rsid w:val="00992885"/>
    <w:rsid w:val="0099290D"/>
    <w:rsid w:val="00992A4C"/>
    <w:rsid w:val="00992B89"/>
    <w:rsid w:val="00992C19"/>
    <w:rsid w:val="009933C4"/>
    <w:rsid w:val="009937F2"/>
    <w:rsid w:val="00993854"/>
    <w:rsid w:val="009939F8"/>
    <w:rsid w:val="00993A4C"/>
    <w:rsid w:val="00993AAC"/>
    <w:rsid w:val="00993B7B"/>
    <w:rsid w:val="00993C74"/>
    <w:rsid w:val="00994072"/>
    <w:rsid w:val="009941B0"/>
    <w:rsid w:val="009942BE"/>
    <w:rsid w:val="00994490"/>
    <w:rsid w:val="00994562"/>
    <w:rsid w:val="00994974"/>
    <w:rsid w:val="00994A07"/>
    <w:rsid w:val="00994AB3"/>
    <w:rsid w:val="00994AF4"/>
    <w:rsid w:val="00994B93"/>
    <w:rsid w:val="00994F4C"/>
    <w:rsid w:val="0099515A"/>
    <w:rsid w:val="0099527E"/>
    <w:rsid w:val="00995452"/>
    <w:rsid w:val="00995457"/>
    <w:rsid w:val="009954AD"/>
    <w:rsid w:val="009954BB"/>
    <w:rsid w:val="00995503"/>
    <w:rsid w:val="0099569D"/>
    <w:rsid w:val="009956D8"/>
    <w:rsid w:val="009959F9"/>
    <w:rsid w:val="00995E38"/>
    <w:rsid w:val="00995EA5"/>
    <w:rsid w:val="00996002"/>
    <w:rsid w:val="009963D7"/>
    <w:rsid w:val="009964AD"/>
    <w:rsid w:val="00996518"/>
    <w:rsid w:val="00996965"/>
    <w:rsid w:val="00996C18"/>
    <w:rsid w:val="00996D60"/>
    <w:rsid w:val="00996E03"/>
    <w:rsid w:val="00996EA7"/>
    <w:rsid w:val="00996F45"/>
    <w:rsid w:val="009971B9"/>
    <w:rsid w:val="00997368"/>
    <w:rsid w:val="00997393"/>
    <w:rsid w:val="009974A0"/>
    <w:rsid w:val="0099751A"/>
    <w:rsid w:val="00997623"/>
    <w:rsid w:val="00997679"/>
    <w:rsid w:val="0099784B"/>
    <w:rsid w:val="009978A6"/>
    <w:rsid w:val="0099790B"/>
    <w:rsid w:val="0099792A"/>
    <w:rsid w:val="00997A98"/>
    <w:rsid w:val="00997FD3"/>
    <w:rsid w:val="009A0136"/>
    <w:rsid w:val="009A01D9"/>
    <w:rsid w:val="009A027A"/>
    <w:rsid w:val="009A02C3"/>
    <w:rsid w:val="009A0780"/>
    <w:rsid w:val="009A0C2E"/>
    <w:rsid w:val="009A0C75"/>
    <w:rsid w:val="009A0D19"/>
    <w:rsid w:val="009A0D3B"/>
    <w:rsid w:val="009A0D6E"/>
    <w:rsid w:val="009A0DBE"/>
    <w:rsid w:val="009A0EA6"/>
    <w:rsid w:val="009A0F56"/>
    <w:rsid w:val="009A1026"/>
    <w:rsid w:val="009A1181"/>
    <w:rsid w:val="009A12F9"/>
    <w:rsid w:val="009A1CA6"/>
    <w:rsid w:val="009A1E9F"/>
    <w:rsid w:val="009A1F55"/>
    <w:rsid w:val="009A1F80"/>
    <w:rsid w:val="009A2071"/>
    <w:rsid w:val="009A2768"/>
    <w:rsid w:val="009A29CA"/>
    <w:rsid w:val="009A2A0D"/>
    <w:rsid w:val="009A2E50"/>
    <w:rsid w:val="009A31B6"/>
    <w:rsid w:val="009A35E2"/>
    <w:rsid w:val="009A362F"/>
    <w:rsid w:val="009A3734"/>
    <w:rsid w:val="009A3746"/>
    <w:rsid w:val="009A3B8B"/>
    <w:rsid w:val="009A3E75"/>
    <w:rsid w:val="009A40E3"/>
    <w:rsid w:val="009A4141"/>
    <w:rsid w:val="009A4347"/>
    <w:rsid w:val="009A46C4"/>
    <w:rsid w:val="009A49EF"/>
    <w:rsid w:val="009A4A03"/>
    <w:rsid w:val="009A4A1C"/>
    <w:rsid w:val="009A4D0A"/>
    <w:rsid w:val="009A4D1B"/>
    <w:rsid w:val="009A4D57"/>
    <w:rsid w:val="009A4EB5"/>
    <w:rsid w:val="009A4ECF"/>
    <w:rsid w:val="009A5283"/>
    <w:rsid w:val="009A54CF"/>
    <w:rsid w:val="009A575C"/>
    <w:rsid w:val="009A58B2"/>
    <w:rsid w:val="009A5A01"/>
    <w:rsid w:val="009A5A62"/>
    <w:rsid w:val="009A5C45"/>
    <w:rsid w:val="009A5C7E"/>
    <w:rsid w:val="009A60CC"/>
    <w:rsid w:val="009A60D5"/>
    <w:rsid w:val="009A60F2"/>
    <w:rsid w:val="009A61D8"/>
    <w:rsid w:val="009A620D"/>
    <w:rsid w:val="009A62AE"/>
    <w:rsid w:val="009A6352"/>
    <w:rsid w:val="009A65AD"/>
    <w:rsid w:val="009A6671"/>
    <w:rsid w:val="009A6733"/>
    <w:rsid w:val="009A6AE3"/>
    <w:rsid w:val="009A6C55"/>
    <w:rsid w:val="009A71B1"/>
    <w:rsid w:val="009A7205"/>
    <w:rsid w:val="009A7441"/>
    <w:rsid w:val="009A752F"/>
    <w:rsid w:val="009A7535"/>
    <w:rsid w:val="009A754F"/>
    <w:rsid w:val="009A7577"/>
    <w:rsid w:val="009A7648"/>
    <w:rsid w:val="009A76C0"/>
    <w:rsid w:val="009A7A9A"/>
    <w:rsid w:val="009A7CE6"/>
    <w:rsid w:val="009A7DE8"/>
    <w:rsid w:val="009B02A0"/>
    <w:rsid w:val="009B0549"/>
    <w:rsid w:val="009B06BA"/>
    <w:rsid w:val="009B07D7"/>
    <w:rsid w:val="009B07EC"/>
    <w:rsid w:val="009B08B3"/>
    <w:rsid w:val="009B0945"/>
    <w:rsid w:val="009B0CD9"/>
    <w:rsid w:val="009B0DC7"/>
    <w:rsid w:val="009B12BA"/>
    <w:rsid w:val="009B140B"/>
    <w:rsid w:val="009B145B"/>
    <w:rsid w:val="009B174E"/>
    <w:rsid w:val="009B17AD"/>
    <w:rsid w:val="009B1BD8"/>
    <w:rsid w:val="009B1DC8"/>
    <w:rsid w:val="009B1EDA"/>
    <w:rsid w:val="009B1F93"/>
    <w:rsid w:val="009B1FB3"/>
    <w:rsid w:val="009B2048"/>
    <w:rsid w:val="009B2104"/>
    <w:rsid w:val="009B221D"/>
    <w:rsid w:val="009B2523"/>
    <w:rsid w:val="009B274F"/>
    <w:rsid w:val="009B2A3E"/>
    <w:rsid w:val="009B2A63"/>
    <w:rsid w:val="009B2D68"/>
    <w:rsid w:val="009B2D85"/>
    <w:rsid w:val="009B2DDC"/>
    <w:rsid w:val="009B2E47"/>
    <w:rsid w:val="009B2EDB"/>
    <w:rsid w:val="009B311B"/>
    <w:rsid w:val="009B3183"/>
    <w:rsid w:val="009B3374"/>
    <w:rsid w:val="009B3529"/>
    <w:rsid w:val="009B356F"/>
    <w:rsid w:val="009B372A"/>
    <w:rsid w:val="009B3823"/>
    <w:rsid w:val="009B383C"/>
    <w:rsid w:val="009B38C8"/>
    <w:rsid w:val="009B3A0D"/>
    <w:rsid w:val="009B3B47"/>
    <w:rsid w:val="009B3B57"/>
    <w:rsid w:val="009B3BD9"/>
    <w:rsid w:val="009B3C48"/>
    <w:rsid w:val="009B3E96"/>
    <w:rsid w:val="009B3EF1"/>
    <w:rsid w:val="009B4038"/>
    <w:rsid w:val="009B411F"/>
    <w:rsid w:val="009B4136"/>
    <w:rsid w:val="009B41AD"/>
    <w:rsid w:val="009B41BD"/>
    <w:rsid w:val="009B4619"/>
    <w:rsid w:val="009B4AB4"/>
    <w:rsid w:val="009B4CC1"/>
    <w:rsid w:val="009B4E39"/>
    <w:rsid w:val="009B50D5"/>
    <w:rsid w:val="009B51DF"/>
    <w:rsid w:val="009B5289"/>
    <w:rsid w:val="009B5478"/>
    <w:rsid w:val="009B5547"/>
    <w:rsid w:val="009B561B"/>
    <w:rsid w:val="009B56C4"/>
    <w:rsid w:val="009B5855"/>
    <w:rsid w:val="009B5991"/>
    <w:rsid w:val="009B5B12"/>
    <w:rsid w:val="009B5BD3"/>
    <w:rsid w:val="009B5D55"/>
    <w:rsid w:val="009B5F00"/>
    <w:rsid w:val="009B63BE"/>
    <w:rsid w:val="009B6518"/>
    <w:rsid w:val="009B672D"/>
    <w:rsid w:val="009B6797"/>
    <w:rsid w:val="009B6897"/>
    <w:rsid w:val="009B6CA5"/>
    <w:rsid w:val="009B7004"/>
    <w:rsid w:val="009B75EA"/>
    <w:rsid w:val="009B78A0"/>
    <w:rsid w:val="009B7907"/>
    <w:rsid w:val="009B7AD7"/>
    <w:rsid w:val="009B7D21"/>
    <w:rsid w:val="009B7E96"/>
    <w:rsid w:val="009C0357"/>
    <w:rsid w:val="009C03A1"/>
    <w:rsid w:val="009C041D"/>
    <w:rsid w:val="009C04BE"/>
    <w:rsid w:val="009C082E"/>
    <w:rsid w:val="009C0AC1"/>
    <w:rsid w:val="009C0B5F"/>
    <w:rsid w:val="009C0BEE"/>
    <w:rsid w:val="009C0D53"/>
    <w:rsid w:val="009C0F94"/>
    <w:rsid w:val="009C1141"/>
    <w:rsid w:val="009C1200"/>
    <w:rsid w:val="009C12D3"/>
    <w:rsid w:val="009C1479"/>
    <w:rsid w:val="009C1A30"/>
    <w:rsid w:val="009C1B5F"/>
    <w:rsid w:val="009C1F1B"/>
    <w:rsid w:val="009C1FB3"/>
    <w:rsid w:val="009C2032"/>
    <w:rsid w:val="009C2172"/>
    <w:rsid w:val="009C2586"/>
    <w:rsid w:val="009C2662"/>
    <w:rsid w:val="009C26DE"/>
    <w:rsid w:val="009C271E"/>
    <w:rsid w:val="009C2A75"/>
    <w:rsid w:val="009C2D56"/>
    <w:rsid w:val="009C2DB3"/>
    <w:rsid w:val="009C2EBA"/>
    <w:rsid w:val="009C2F32"/>
    <w:rsid w:val="009C3017"/>
    <w:rsid w:val="009C328D"/>
    <w:rsid w:val="009C33FC"/>
    <w:rsid w:val="009C3AF2"/>
    <w:rsid w:val="009C3B88"/>
    <w:rsid w:val="009C3C45"/>
    <w:rsid w:val="009C4030"/>
    <w:rsid w:val="009C4583"/>
    <w:rsid w:val="009C46B8"/>
    <w:rsid w:val="009C4C95"/>
    <w:rsid w:val="009C4DD9"/>
    <w:rsid w:val="009C4E84"/>
    <w:rsid w:val="009C5532"/>
    <w:rsid w:val="009C5803"/>
    <w:rsid w:val="009C585A"/>
    <w:rsid w:val="009C586C"/>
    <w:rsid w:val="009C596B"/>
    <w:rsid w:val="009C5A5B"/>
    <w:rsid w:val="009C5DDF"/>
    <w:rsid w:val="009C613C"/>
    <w:rsid w:val="009C62D8"/>
    <w:rsid w:val="009C63D8"/>
    <w:rsid w:val="009C6411"/>
    <w:rsid w:val="009C6674"/>
    <w:rsid w:val="009C6704"/>
    <w:rsid w:val="009C6B3D"/>
    <w:rsid w:val="009C6CAA"/>
    <w:rsid w:val="009C6D3F"/>
    <w:rsid w:val="009C6DD8"/>
    <w:rsid w:val="009C6E9D"/>
    <w:rsid w:val="009C6F20"/>
    <w:rsid w:val="009C7091"/>
    <w:rsid w:val="009C71A7"/>
    <w:rsid w:val="009C71D1"/>
    <w:rsid w:val="009C7207"/>
    <w:rsid w:val="009C73AF"/>
    <w:rsid w:val="009C74E0"/>
    <w:rsid w:val="009C7696"/>
    <w:rsid w:val="009C7753"/>
    <w:rsid w:val="009C7822"/>
    <w:rsid w:val="009C7840"/>
    <w:rsid w:val="009C7A4B"/>
    <w:rsid w:val="009C7B93"/>
    <w:rsid w:val="009C7D66"/>
    <w:rsid w:val="009C7EE7"/>
    <w:rsid w:val="009C7FA4"/>
    <w:rsid w:val="009D003E"/>
    <w:rsid w:val="009D0096"/>
    <w:rsid w:val="009D0158"/>
    <w:rsid w:val="009D02AF"/>
    <w:rsid w:val="009D080F"/>
    <w:rsid w:val="009D0868"/>
    <w:rsid w:val="009D0AD0"/>
    <w:rsid w:val="009D0D8C"/>
    <w:rsid w:val="009D1185"/>
    <w:rsid w:val="009D1286"/>
    <w:rsid w:val="009D12F9"/>
    <w:rsid w:val="009D1404"/>
    <w:rsid w:val="009D16EF"/>
    <w:rsid w:val="009D189E"/>
    <w:rsid w:val="009D1922"/>
    <w:rsid w:val="009D1A2E"/>
    <w:rsid w:val="009D1A4F"/>
    <w:rsid w:val="009D1A5A"/>
    <w:rsid w:val="009D1D77"/>
    <w:rsid w:val="009D1F7F"/>
    <w:rsid w:val="009D1FAC"/>
    <w:rsid w:val="009D24D5"/>
    <w:rsid w:val="009D250B"/>
    <w:rsid w:val="009D260C"/>
    <w:rsid w:val="009D26A2"/>
    <w:rsid w:val="009D26CE"/>
    <w:rsid w:val="009D27E1"/>
    <w:rsid w:val="009D28A3"/>
    <w:rsid w:val="009D29C9"/>
    <w:rsid w:val="009D2A96"/>
    <w:rsid w:val="009D2B66"/>
    <w:rsid w:val="009D2D53"/>
    <w:rsid w:val="009D3419"/>
    <w:rsid w:val="009D34C0"/>
    <w:rsid w:val="009D34F2"/>
    <w:rsid w:val="009D37C4"/>
    <w:rsid w:val="009D3808"/>
    <w:rsid w:val="009D3903"/>
    <w:rsid w:val="009D3956"/>
    <w:rsid w:val="009D39AE"/>
    <w:rsid w:val="009D3A95"/>
    <w:rsid w:val="009D3BF1"/>
    <w:rsid w:val="009D3E1C"/>
    <w:rsid w:val="009D3E8A"/>
    <w:rsid w:val="009D41F0"/>
    <w:rsid w:val="009D4243"/>
    <w:rsid w:val="009D438C"/>
    <w:rsid w:val="009D45B9"/>
    <w:rsid w:val="009D46E2"/>
    <w:rsid w:val="009D4D5A"/>
    <w:rsid w:val="009D4D5E"/>
    <w:rsid w:val="009D4F62"/>
    <w:rsid w:val="009D4FF0"/>
    <w:rsid w:val="009D50A5"/>
    <w:rsid w:val="009D50E2"/>
    <w:rsid w:val="009D56A9"/>
    <w:rsid w:val="009D5786"/>
    <w:rsid w:val="009D581F"/>
    <w:rsid w:val="009D595F"/>
    <w:rsid w:val="009D6063"/>
    <w:rsid w:val="009D616E"/>
    <w:rsid w:val="009D660C"/>
    <w:rsid w:val="009D6729"/>
    <w:rsid w:val="009D674B"/>
    <w:rsid w:val="009D6940"/>
    <w:rsid w:val="009D6A26"/>
    <w:rsid w:val="009D6AEA"/>
    <w:rsid w:val="009D6E52"/>
    <w:rsid w:val="009D721E"/>
    <w:rsid w:val="009D73E9"/>
    <w:rsid w:val="009D7558"/>
    <w:rsid w:val="009D76D7"/>
    <w:rsid w:val="009D76EA"/>
    <w:rsid w:val="009D77F0"/>
    <w:rsid w:val="009D7D1E"/>
    <w:rsid w:val="009D7D1F"/>
    <w:rsid w:val="009D7F5C"/>
    <w:rsid w:val="009E02EE"/>
    <w:rsid w:val="009E072F"/>
    <w:rsid w:val="009E079C"/>
    <w:rsid w:val="009E0A39"/>
    <w:rsid w:val="009E0AFE"/>
    <w:rsid w:val="009E0B46"/>
    <w:rsid w:val="009E0B74"/>
    <w:rsid w:val="009E0CFD"/>
    <w:rsid w:val="009E0E48"/>
    <w:rsid w:val="009E0E7D"/>
    <w:rsid w:val="009E0EB2"/>
    <w:rsid w:val="009E0F92"/>
    <w:rsid w:val="009E1252"/>
    <w:rsid w:val="009E12C9"/>
    <w:rsid w:val="009E1389"/>
    <w:rsid w:val="009E1636"/>
    <w:rsid w:val="009E16A2"/>
    <w:rsid w:val="009E18BD"/>
    <w:rsid w:val="009E194E"/>
    <w:rsid w:val="009E1B85"/>
    <w:rsid w:val="009E1D28"/>
    <w:rsid w:val="009E1ED8"/>
    <w:rsid w:val="009E1F91"/>
    <w:rsid w:val="009E24C9"/>
    <w:rsid w:val="009E2557"/>
    <w:rsid w:val="009E25B9"/>
    <w:rsid w:val="009E26E6"/>
    <w:rsid w:val="009E28F6"/>
    <w:rsid w:val="009E2BBA"/>
    <w:rsid w:val="009E2C03"/>
    <w:rsid w:val="009E2C37"/>
    <w:rsid w:val="009E30CB"/>
    <w:rsid w:val="009E356F"/>
    <w:rsid w:val="009E35E3"/>
    <w:rsid w:val="009E3698"/>
    <w:rsid w:val="009E378B"/>
    <w:rsid w:val="009E384D"/>
    <w:rsid w:val="009E38C2"/>
    <w:rsid w:val="009E3C45"/>
    <w:rsid w:val="009E3E06"/>
    <w:rsid w:val="009E3EFF"/>
    <w:rsid w:val="009E3FC8"/>
    <w:rsid w:val="009E40F0"/>
    <w:rsid w:val="009E4542"/>
    <w:rsid w:val="009E45A8"/>
    <w:rsid w:val="009E4770"/>
    <w:rsid w:val="009E47E7"/>
    <w:rsid w:val="009E49BB"/>
    <w:rsid w:val="009E4AA5"/>
    <w:rsid w:val="009E4AFD"/>
    <w:rsid w:val="009E4C5B"/>
    <w:rsid w:val="009E4CCE"/>
    <w:rsid w:val="009E4D23"/>
    <w:rsid w:val="009E4D6B"/>
    <w:rsid w:val="009E4F6E"/>
    <w:rsid w:val="009E4FA3"/>
    <w:rsid w:val="009E521E"/>
    <w:rsid w:val="009E549E"/>
    <w:rsid w:val="009E563F"/>
    <w:rsid w:val="009E56F7"/>
    <w:rsid w:val="009E588F"/>
    <w:rsid w:val="009E591A"/>
    <w:rsid w:val="009E5CBC"/>
    <w:rsid w:val="009E5EB6"/>
    <w:rsid w:val="009E5F25"/>
    <w:rsid w:val="009E6025"/>
    <w:rsid w:val="009E62B9"/>
    <w:rsid w:val="009E6407"/>
    <w:rsid w:val="009E645D"/>
    <w:rsid w:val="009E66EC"/>
    <w:rsid w:val="009E6B38"/>
    <w:rsid w:val="009E6B90"/>
    <w:rsid w:val="009E6C89"/>
    <w:rsid w:val="009E6E96"/>
    <w:rsid w:val="009E71C2"/>
    <w:rsid w:val="009E7490"/>
    <w:rsid w:val="009E79E7"/>
    <w:rsid w:val="009E7B13"/>
    <w:rsid w:val="009E7CA9"/>
    <w:rsid w:val="009E7CFA"/>
    <w:rsid w:val="009E7D09"/>
    <w:rsid w:val="009E7E9C"/>
    <w:rsid w:val="009E7F06"/>
    <w:rsid w:val="009F044A"/>
    <w:rsid w:val="009F0701"/>
    <w:rsid w:val="009F070F"/>
    <w:rsid w:val="009F09A1"/>
    <w:rsid w:val="009F0E13"/>
    <w:rsid w:val="009F1203"/>
    <w:rsid w:val="009F1478"/>
    <w:rsid w:val="009F1479"/>
    <w:rsid w:val="009F161A"/>
    <w:rsid w:val="009F172A"/>
    <w:rsid w:val="009F1A56"/>
    <w:rsid w:val="009F1BD3"/>
    <w:rsid w:val="009F1C12"/>
    <w:rsid w:val="009F1C76"/>
    <w:rsid w:val="009F1C92"/>
    <w:rsid w:val="009F1E01"/>
    <w:rsid w:val="009F1FD7"/>
    <w:rsid w:val="009F2157"/>
    <w:rsid w:val="009F2323"/>
    <w:rsid w:val="009F28AA"/>
    <w:rsid w:val="009F28D5"/>
    <w:rsid w:val="009F290E"/>
    <w:rsid w:val="009F29D1"/>
    <w:rsid w:val="009F2BE8"/>
    <w:rsid w:val="009F2FD3"/>
    <w:rsid w:val="009F35AD"/>
    <w:rsid w:val="009F360E"/>
    <w:rsid w:val="009F3715"/>
    <w:rsid w:val="009F37BF"/>
    <w:rsid w:val="009F380B"/>
    <w:rsid w:val="009F3CD6"/>
    <w:rsid w:val="009F432C"/>
    <w:rsid w:val="009F439D"/>
    <w:rsid w:val="009F47A8"/>
    <w:rsid w:val="009F486C"/>
    <w:rsid w:val="009F4A50"/>
    <w:rsid w:val="009F4AA9"/>
    <w:rsid w:val="009F4DBC"/>
    <w:rsid w:val="009F54A8"/>
    <w:rsid w:val="009F564E"/>
    <w:rsid w:val="009F578A"/>
    <w:rsid w:val="009F5974"/>
    <w:rsid w:val="009F5AFA"/>
    <w:rsid w:val="009F5C52"/>
    <w:rsid w:val="009F6044"/>
    <w:rsid w:val="009F6282"/>
    <w:rsid w:val="009F6404"/>
    <w:rsid w:val="009F6624"/>
    <w:rsid w:val="009F66C7"/>
    <w:rsid w:val="009F683F"/>
    <w:rsid w:val="009F6959"/>
    <w:rsid w:val="009F69B8"/>
    <w:rsid w:val="009F6A49"/>
    <w:rsid w:val="009F6BA8"/>
    <w:rsid w:val="009F6CE0"/>
    <w:rsid w:val="009F6D0E"/>
    <w:rsid w:val="009F6D47"/>
    <w:rsid w:val="009F6F69"/>
    <w:rsid w:val="009F6F87"/>
    <w:rsid w:val="009F7304"/>
    <w:rsid w:val="009F7310"/>
    <w:rsid w:val="009F738D"/>
    <w:rsid w:val="009F7483"/>
    <w:rsid w:val="009F74EE"/>
    <w:rsid w:val="009F7502"/>
    <w:rsid w:val="009F750D"/>
    <w:rsid w:val="009F76D6"/>
    <w:rsid w:val="009F76F9"/>
    <w:rsid w:val="009F78BF"/>
    <w:rsid w:val="009F7AAC"/>
    <w:rsid w:val="009F7BF6"/>
    <w:rsid w:val="009F7C4C"/>
    <w:rsid w:val="009F7C52"/>
    <w:rsid w:val="009F7E8E"/>
    <w:rsid w:val="00A0002B"/>
    <w:rsid w:val="00A00236"/>
    <w:rsid w:val="00A0028F"/>
    <w:rsid w:val="00A004C0"/>
    <w:rsid w:val="00A0054A"/>
    <w:rsid w:val="00A00740"/>
    <w:rsid w:val="00A0081E"/>
    <w:rsid w:val="00A00834"/>
    <w:rsid w:val="00A008E1"/>
    <w:rsid w:val="00A00E42"/>
    <w:rsid w:val="00A00E75"/>
    <w:rsid w:val="00A00F3D"/>
    <w:rsid w:val="00A0102D"/>
    <w:rsid w:val="00A010BB"/>
    <w:rsid w:val="00A01285"/>
    <w:rsid w:val="00A0154D"/>
    <w:rsid w:val="00A0171D"/>
    <w:rsid w:val="00A01A49"/>
    <w:rsid w:val="00A02075"/>
    <w:rsid w:val="00A02230"/>
    <w:rsid w:val="00A0233D"/>
    <w:rsid w:val="00A0249F"/>
    <w:rsid w:val="00A026FD"/>
    <w:rsid w:val="00A02AA8"/>
    <w:rsid w:val="00A02AEB"/>
    <w:rsid w:val="00A02D17"/>
    <w:rsid w:val="00A02D4C"/>
    <w:rsid w:val="00A02EE5"/>
    <w:rsid w:val="00A02FAD"/>
    <w:rsid w:val="00A031D7"/>
    <w:rsid w:val="00A03223"/>
    <w:rsid w:val="00A03233"/>
    <w:rsid w:val="00A03312"/>
    <w:rsid w:val="00A03436"/>
    <w:rsid w:val="00A035C1"/>
    <w:rsid w:val="00A03662"/>
    <w:rsid w:val="00A0373C"/>
    <w:rsid w:val="00A03AAA"/>
    <w:rsid w:val="00A03B21"/>
    <w:rsid w:val="00A03E02"/>
    <w:rsid w:val="00A03F29"/>
    <w:rsid w:val="00A04706"/>
    <w:rsid w:val="00A0472A"/>
    <w:rsid w:val="00A04742"/>
    <w:rsid w:val="00A04C9D"/>
    <w:rsid w:val="00A04EFA"/>
    <w:rsid w:val="00A05309"/>
    <w:rsid w:val="00A0567B"/>
    <w:rsid w:val="00A05801"/>
    <w:rsid w:val="00A059ED"/>
    <w:rsid w:val="00A05DB6"/>
    <w:rsid w:val="00A0603A"/>
    <w:rsid w:val="00A06158"/>
    <w:rsid w:val="00A061E0"/>
    <w:rsid w:val="00A06797"/>
    <w:rsid w:val="00A067AC"/>
    <w:rsid w:val="00A06859"/>
    <w:rsid w:val="00A069D5"/>
    <w:rsid w:val="00A06C8F"/>
    <w:rsid w:val="00A06CB0"/>
    <w:rsid w:val="00A06D24"/>
    <w:rsid w:val="00A06E2D"/>
    <w:rsid w:val="00A07079"/>
    <w:rsid w:val="00A070D2"/>
    <w:rsid w:val="00A07136"/>
    <w:rsid w:val="00A07137"/>
    <w:rsid w:val="00A071F7"/>
    <w:rsid w:val="00A072EC"/>
    <w:rsid w:val="00A073FB"/>
    <w:rsid w:val="00A07475"/>
    <w:rsid w:val="00A07490"/>
    <w:rsid w:val="00A07A18"/>
    <w:rsid w:val="00A07AA6"/>
    <w:rsid w:val="00A07FA9"/>
    <w:rsid w:val="00A10121"/>
    <w:rsid w:val="00A10353"/>
    <w:rsid w:val="00A10476"/>
    <w:rsid w:val="00A106FF"/>
    <w:rsid w:val="00A107E0"/>
    <w:rsid w:val="00A109B2"/>
    <w:rsid w:val="00A10C60"/>
    <w:rsid w:val="00A10CCF"/>
    <w:rsid w:val="00A10CE1"/>
    <w:rsid w:val="00A10E17"/>
    <w:rsid w:val="00A10E4C"/>
    <w:rsid w:val="00A10E90"/>
    <w:rsid w:val="00A10F05"/>
    <w:rsid w:val="00A1113F"/>
    <w:rsid w:val="00A11331"/>
    <w:rsid w:val="00A11391"/>
    <w:rsid w:val="00A11410"/>
    <w:rsid w:val="00A114FF"/>
    <w:rsid w:val="00A11671"/>
    <w:rsid w:val="00A11892"/>
    <w:rsid w:val="00A11919"/>
    <w:rsid w:val="00A119C3"/>
    <w:rsid w:val="00A11B51"/>
    <w:rsid w:val="00A11DA1"/>
    <w:rsid w:val="00A11EED"/>
    <w:rsid w:val="00A11F66"/>
    <w:rsid w:val="00A12304"/>
    <w:rsid w:val="00A12383"/>
    <w:rsid w:val="00A12415"/>
    <w:rsid w:val="00A126C8"/>
    <w:rsid w:val="00A127A2"/>
    <w:rsid w:val="00A12839"/>
    <w:rsid w:val="00A128B4"/>
    <w:rsid w:val="00A12C87"/>
    <w:rsid w:val="00A12DE5"/>
    <w:rsid w:val="00A133D6"/>
    <w:rsid w:val="00A1355A"/>
    <w:rsid w:val="00A135F3"/>
    <w:rsid w:val="00A13776"/>
    <w:rsid w:val="00A13932"/>
    <w:rsid w:val="00A139F1"/>
    <w:rsid w:val="00A13A17"/>
    <w:rsid w:val="00A13E49"/>
    <w:rsid w:val="00A13FD5"/>
    <w:rsid w:val="00A1430D"/>
    <w:rsid w:val="00A143E4"/>
    <w:rsid w:val="00A145CC"/>
    <w:rsid w:val="00A14653"/>
    <w:rsid w:val="00A146E2"/>
    <w:rsid w:val="00A14814"/>
    <w:rsid w:val="00A14926"/>
    <w:rsid w:val="00A14E25"/>
    <w:rsid w:val="00A150F8"/>
    <w:rsid w:val="00A15151"/>
    <w:rsid w:val="00A15378"/>
    <w:rsid w:val="00A15533"/>
    <w:rsid w:val="00A15665"/>
    <w:rsid w:val="00A15746"/>
    <w:rsid w:val="00A15B1C"/>
    <w:rsid w:val="00A15D70"/>
    <w:rsid w:val="00A15ED3"/>
    <w:rsid w:val="00A15EDC"/>
    <w:rsid w:val="00A16177"/>
    <w:rsid w:val="00A16263"/>
    <w:rsid w:val="00A16293"/>
    <w:rsid w:val="00A162F1"/>
    <w:rsid w:val="00A1647F"/>
    <w:rsid w:val="00A164F8"/>
    <w:rsid w:val="00A16AB0"/>
    <w:rsid w:val="00A16BA3"/>
    <w:rsid w:val="00A16CCA"/>
    <w:rsid w:val="00A16DAF"/>
    <w:rsid w:val="00A16F4A"/>
    <w:rsid w:val="00A17092"/>
    <w:rsid w:val="00A17261"/>
    <w:rsid w:val="00A17445"/>
    <w:rsid w:val="00A174E6"/>
    <w:rsid w:val="00A17A74"/>
    <w:rsid w:val="00A17AB1"/>
    <w:rsid w:val="00A17AF9"/>
    <w:rsid w:val="00A17C35"/>
    <w:rsid w:val="00A17C50"/>
    <w:rsid w:val="00A17D32"/>
    <w:rsid w:val="00A17E44"/>
    <w:rsid w:val="00A17E5F"/>
    <w:rsid w:val="00A202FA"/>
    <w:rsid w:val="00A20455"/>
    <w:rsid w:val="00A2071A"/>
    <w:rsid w:val="00A20A88"/>
    <w:rsid w:val="00A20AAC"/>
    <w:rsid w:val="00A20C6B"/>
    <w:rsid w:val="00A2128A"/>
    <w:rsid w:val="00A213A4"/>
    <w:rsid w:val="00A21407"/>
    <w:rsid w:val="00A217E9"/>
    <w:rsid w:val="00A21AD6"/>
    <w:rsid w:val="00A21D56"/>
    <w:rsid w:val="00A21D9B"/>
    <w:rsid w:val="00A21E25"/>
    <w:rsid w:val="00A220EE"/>
    <w:rsid w:val="00A227FF"/>
    <w:rsid w:val="00A229B2"/>
    <w:rsid w:val="00A23144"/>
    <w:rsid w:val="00A2319F"/>
    <w:rsid w:val="00A23288"/>
    <w:rsid w:val="00A233C6"/>
    <w:rsid w:val="00A2344D"/>
    <w:rsid w:val="00A234E8"/>
    <w:rsid w:val="00A234F9"/>
    <w:rsid w:val="00A236D4"/>
    <w:rsid w:val="00A2379C"/>
    <w:rsid w:val="00A23990"/>
    <w:rsid w:val="00A2399F"/>
    <w:rsid w:val="00A23D9C"/>
    <w:rsid w:val="00A23DD9"/>
    <w:rsid w:val="00A24099"/>
    <w:rsid w:val="00A2412B"/>
    <w:rsid w:val="00A2414E"/>
    <w:rsid w:val="00A2443A"/>
    <w:rsid w:val="00A244AF"/>
    <w:rsid w:val="00A24525"/>
    <w:rsid w:val="00A2466A"/>
    <w:rsid w:val="00A248B4"/>
    <w:rsid w:val="00A24A75"/>
    <w:rsid w:val="00A24B1C"/>
    <w:rsid w:val="00A24E92"/>
    <w:rsid w:val="00A24F49"/>
    <w:rsid w:val="00A24F7A"/>
    <w:rsid w:val="00A25351"/>
    <w:rsid w:val="00A25545"/>
    <w:rsid w:val="00A25641"/>
    <w:rsid w:val="00A258A6"/>
    <w:rsid w:val="00A25955"/>
    <w:rsid w:val="00A25E90"/>
    <w:rsid w:val="00A25F0C"/>
    <w:rsid w:val="00A26087"/>
    <w:rsid w:val="00A26149"/>
    <w:rsid w:val="00A262AB"/>
    <w:rsid w:val="00A26412"/>
    <w:rsid w:val="00A26552"/>
    <w:rsid w:val="00A26568"/>
    <w:rsid w:val="00A2697B"/>
    <w:rsid w:val="00A26B6B"/>
    <w:rsid w:val="00A26CFC"/>
    <w:rsid w:val="00A26DC5"/>
    <w:rsid w:val="00A26F6A"/>
    <w:rsid w:val="00A270F3"/>
    <w:rsid w:val="00A2722D"/>
    <w:rsid w:val="00A27B08"/>
    <w:rsid w:val="00A27C79"/>
    <w:rsid w:val="00A27E7C"/>
    <w:rsid w:val="00A27F58"/>
    <w:rsid w:val="00A27FDC"/>
    <w:rsid w:val="00A30027"/>
    <w:rsid w:val="00A305B2"/>
    <w:rsid w:val="00A30BED"/>
    <w:rsid w:val="00A30D73"/>
    <w:rsid w:val="00A30D7C"/>
    <w:rsid w:val="00A30F49"/>
    <w:rsid w:val="00A310E6"/>
    <w:rsid w:val="00A311C6"/>
    <w:rsid w:val="00A313BC"/>
    <w:rsid w:val="00A31579"/>
    <w:rsid w:val="00A315AC"/>
    <w:rsid w:val="00A31C63"/>
    <w:rsid w:val="00A31D89"/>
    <w:rsid w:val="00A31D96"/>
    <w:rsid w:val="00A32025"/>
    <w:rsid w:val="00A32117"/>
    <w:rsid w:val="00A3212D"/>
    <w:rsid w:val="00A32BFF"/>
    <w:rsid w:val="00A33078"/>
    <w:rsid w:val="00A3324B"/>
    <w:rsid w:val="00A33427"/>
    <w:rsid w:val="00A33559"/>
    <w:rsid w:val="00A33893"/>
    <w:rsid w:val="00A339F5"/>
    <w:rsid w:val="00A33B66"/>
    <w:rsid w:val="00A33BBD"/>
    <w:rsid w:val="00A33C5D"/>
    <w:rsid w:val="00A33CC8"/>
    <w:rsid w:val="00A33D06"/>
    <w:rsid w:val="00A33FF0"/>
    <w:rsid w:val="00A3419F"/>
    <w:rsid w:val="00A344A6"/>
    <w:rsid w:val="00A34592"/>
    <w:rsid w:val="00A34629"/>
    <w:rsid w:val="00A34646"/>
    <w:rsid w:val="00A346FB"/>
    <w:rsid w:val="00A3495D"/>
    <w:rsid w:val="00A34B08"/>
    <w:rsid w:val="00A34E74"/>
    <w:rsid w:val="00A350F0"/>
    <w:rsid w:val="00A35176"/>
    <w:rsid w:val="00A351AD"/>
    <w:rsid w:val="00A3533B"/>
    <w:rsid w:val="00A354C0"/>
    <w:rsid w:val="00A35578"/>
    <w:rsid w:val="00A355C9"/>
    <w:rsid w:val="00A356FD"/>
    <w:rsid w:val="00A35900"/>
    <w:rsid w:val="00A35A4E"/>
    <w:rsid w:val="00A35B0F"/>
    <w:rsid w:val="00A35CDC"/>
    <w:rsid w:val="00A35CF0"/>
    <w:rsid w:val="00A35D0B"/>
    <w:rsid w:val="00A361C3"/>
    <w:rsid w:val="00A36278"/>
    <w:rsid w:val="00A362DF"/>
    <w:rsid w:val="00A3643B"/>
    <w:rsid w:val="00A36584"/>
    <w:rsid w:val="00A365C5"/>
    <w:rsid w:val="00A3663A"/>
    <w:rsid w:val="00A36730"/>
    <w:rsid w:val="00A36902"/>
    <w:rsid w:val="00A369FD"/>
    <w:rsid w:val="00A36A24"/>
    <w:rsid w:val="00A36AD5"/>
    <w:rsid w:val="00A36B70"/>
    <w:rsid w:val="00A36B74"/>
    <w:rsid w:val="00A36BCD"/>
    <w:rsid w:val="00A36DE2"/>
    <w:rsid w:val="00A36E49"/>
    <w:rsid w:val="00A36FC9"/>
    <w:rsid w:val="00A370C2"/>
    <w:rsid w:val="00A3713F"/>
    <w:rsid w:val="00A37665"/>
    <w:rsid w:val="00A376E1"/>
    <w:rsid w:val="00A37714"/>
    <w:rsid w:val="00A378A8"/>
    <w:rsid w:val="00A378AA"/>
    <w:rsid w:val="00A37A17"/>
    <w:rsid w:val="00A37BE1"/>
    <w:rsid w:val="00A37C23"/>
    <w:rsid w:val="00A37C6F"/>
    <w:rsid w:val="00A37C89"/>
    <w:rsid w:val="00A37D07"/>
    <w:rsid w:val="00A37DA2"/>
    <w:rsid w:val="00A37DD6"/>
    <w:rsid w:val="00A37F03"/>
    <w:rsid w:val="00A37F15"/>
    <w:rsid w:val="00A4000F"/>
    <w:rsid w:val="00A402B4"/>
    <w:rsid w:val="00A40358"/>
    <w:rsid w:val="00A40392"/>
    <w:rsid w:val="00A404B3"/>
    <w:rsid w:val="00A40561"/>
    <w:rsid w:val="00A4079A"/>
    <w:rsid w:val="00A40800"/>
    <w:rsid w:val="00A40812"/>
    <w:rsid w:val="00A40913"/>
    <w:rsid w:val="00A40A89"/>
    <w:rsid w:val="00A40B1A"/>
    <w:rsid w:val="00A40BC0"/>
    <w:rsid w:val="00A40C4A"/>
    <w:rsid w:val="00A40CC3"/>
    <w:rsid w:val="00A40D1B"/>
    <w:rsid w:val="00A40E1E"/>
    <w:rsid w:val="00A4102F"/>
    <w:rsid w:val="00A4115B"/>
    <w:rsid w:val="00A4143F"/>
    <w:rsid w:val="00A41467"/>
    <w:rsid w:val="00A41781"/>
    <w:rsid w:val="00A41A9E"/>
    <w:rsid w:val="00A41AD1"/>
    <w:rsid w:val="00A41C7C"/>
    <w:rsid w:val="00A41CE4"/>
    <w:rsid w:val="00A41E3D"/>
    <w:rsid w:val="00A42098"/>
    <w:rsid w:val="00A42430"/>
    <w:rsid w:val="00A425EF"/>
    <w:rsid w:val="00A42696"/>
    <w:rsid w:val="00A4271D"/>
    <w:rsid w:val="00A4283C"/>
    <w:rsid w:val="00A429E9"/>
    <w:rsid w:val="00A42A60"/>
    <w:rsid w:val="00A42AB5"/>
    <w:rsid w:val="00A42AC8"/>
    <w:rsid w:val="00A42B4F"/>
    <w:rsid w:val="00A42C16"/>
    <w:rsid w:val="00A42E30"/>
    <w:rsid w:val="00A4310A"/>
    <w:rsid w:val="00A43323"/>
    <w:rsid w:val="00A4356B"/>
    <w:rsid w:val="00A43774"/>
    <w:rsid w:val="00A4382A"/>
    <w:rsid w:val="00A43857"/>
    <w:rsid w:val="00A43A72"/>
    <w:rsid w:val="00A43BE0"/>
    <w:rsid w:val="00A43EB7"/>
    <w:rsid w:val="00A43F9F"/>
    <w:rsid w:val="00A440D0"/>
    <w:rsid w:val="00A441F2"/>
    <w:rsid w:val="00A443CB"/>
    <w:rsid w:val="00A446A0"/>
    <w:rsid w:val="00A447C8"/>
    <w:rsid w:val="00A4482B"/>
    <w:rsid w:val="00A44982"/>
    <w:rsid w:val="00A44ACD"/>
    <w:rsid w:val="00A44BE1"/>
    <w:rsid w:val="00A4508D"/>
    <w:rsid w:val="00A450B4"/>
    <w:rsid w:val="00A451F6"/>
    <w:rsid w:val="00A454EA"/>
    <w:rsid w:val="00A45B21"/>
    <w:rsid w:val="00A45CAE"/>
    <w:rsid w:val="00A45DDE"/>
    <w:rsid w:val="00A45DF4"/>
    <w:rsid w:val="00A45F41"/>
    <w:rsid w:val="00A461D7"/>
    <w:rsid w:val="00A4642B"/>
    <w:rsid w:val="00A464B5"/>
    <w:rsid w:val="00A46530"/>
    <w:rsid w:val="00A465FC"/>
    <w:rsid w:val="00A46628"/>
    <w:rsid w:val="00A467B4"/>
    <w:rsid w:val="00A46A84"/>
    <w:rsid w:val="00A46D28"/>
    <w:rsid w:val="00A46F0D"/>
    <w:rsid w:val="00A470BB"/>
    <w:rsid w:val="00A478E2"/>
    <w:rsid w:val="00A47B4F"/>
    <w:rsid w:val="00A47B9F"/>
    <w:rsid w:val="00A47F5A"/>
    <w:rsid w:val="00A50102"/>
    <w:rsid w:val="00A50603"/>
    <w:rsid w:val="00A5064C"/>
    <w:rsid w:val="00A506C4"/>
    <w:rsid w:val="00A50733"/>
    <w:rsid w:val="00A50763"/>
    <w:rsid w:val="00A50809"/>
    <w:rsid w:val="00A50EFD"/>
    <w:rsid w:val="00A511DF"/>
    <w:rsid w:val="00A5122C"/>
    <w:rsid w:val="00A512C4"/>
    <w:rsid w:val="00A5140E"/>
    <w:rsid w:val="00A51450"/>
    <w:rsid w:val="00A514E5"/>
    <w:rsid w:val="00A514EC"/>
    <w:rsid w:val="00A514F4"/>
    <w:rsid w:val="00A516E1"/>
    <w:rsid w:val="00A518A6"/>
    <w:rsid w:val="00A51954"/>
    <w:rsid w:val="00A51AD8"/>
    <w:rsid w:val="00A51B13"/>
    <w:rsid w:val="00A51D1B"/>
    <w:rsid w:val="00A51D1E"/>
    <w:rsid w:val="00A51E87"/>
    <w:rsid w:val="00A51EDC"/>
    <w:rsid w:val="00A52296"/>
    <w:rsid w:val="00A52348"/>
    <w:rsid w:val="00A523BE"/>
    <w:rsid w:val="00A52480"/>
    <w:rsid w:val="00A527C6"/>
    <w:rsid w:val="00A529A6"/>
    <w:rsid w:val="00A52A7A"/>
    <w:rsid w:val="00A52ACF"/>
    <w:rsid w:val="00A52C18"/>
    <w:rsid w:val="00A530F0"/>
    <w:rsid w:val="00A53171"/>
    <w:rsid w:val="00A533DB"/>
    <w:rsid w:val="00A535FB"/>
    <w:rsid w:val="00A53662"/>
    <w:rsid w:val="00A53746"/>
    <w:rsid w:val="00A53792"/>
    <w:rsid w:val="00A5386A"/>
    <w:rsid w:val="00A538D1"/>
    <w:rsid w:val="00A538E7"/>
    <w:rsid w:val="00A53ED6"/>
    <w:rsid w:val="00A53EDA"/>
    <w:rsid w:val="00A53F7A"/>
    <w:rsid w:val="00A542DF"/>
    <w:rsid w:val="00A543C5"/>
    <w:rsid w:val="00A546F6"/>
    <w:rsid w:val="00A54AA4"/>
    <w:rsid w:val="00A54C96"/>
    <w:rsid w:val="00A54DEC"/>
    <w:rsid w:val="00A54F2F"/>
    <w:rsid w:val="00A55073"/>
    <w:rsid w:val="00A550C7"/>
    <w:rsid w:val="00A5546B"/>
    <w:rsid w:val="00A55934"/>
    <w:rsid w:val="00A55BED"/>
    <w:rsid w:val="00A55C7C"/>
    <w:rsid w:val="00A55D4A"/>
    <w:rsid w:val="00A55DF3"/>
    <w:rsid w:val="00A560A5"/>
    <w:rsid w:val="00A56347"/>
    <w:rsid w:val="00A5643E"/>
    <w:rsid w:val="00A56444"/>
    <w:rsid w:val="00A56482"/>
    <w:rsid w:val="00A5651F"/>
    <w:rsid w:val="00A56615"/>
    <w:rsid w:val="00A56654"/>
    <w:rsid w:val="00A5673A"/>
    <w:rsid w:val="00A56787"/>
    <w:rsid w:val="00A56A4C"/>
    <w:rsid w:val="00A56BEF"/>
    <w:rsid w:val="00A56DCE"/>
    <w:rsid w:val="00A56E15"/>
    <w:rsid w:val="00A5705D"/>
    <w:rsid w:val="00A57099"/>
    <w:rsid w:val="00A5718B"/>
    <w:rsid w:val="00A572C1"/>
    <w:rsid w:val="00A573E3"/>
    <w:rsid w:val="00A57436"/>
    <w:rsid w:val="00A5748A"/>
    <w:rsid w:val="00A577C8"/>
    <w:rsid w:val="00A577DB"/>
    <w:rsid w:val="00A57C89"/>
    <w:rsid w:val="00A57DF7"/>
    <w:rsid w:val="00A57E1F"/>
    <w:rsid w:val="00A57E33"/>
    <w:rsid w:val="00A57EC6"/>
    <w:rsid w:val="00A57F31"/>
    <w:rsid w:val="00A60044"/>
    <w:rsid w:val="00A60049"/>
    <w:rsid w:val="00A600E1"/>
    <w:rsid w:val="00A601E3"/>
    <w:rsid w:val="00A60368"/>
    <w:rsid w:val="00A604AE"/>
    <w:rsid w:val="00A605AA"/>
    <w:rsid w:val="00A6071C"/>
    <w:rsid w:val="00A60881"/>
    <w:rsid w:val="00A61113"/>
    <w:rsid w:val="00A61242"/>
    <w:rsid w:val="00A61278"/>
    <w:rsid w:val="00A613BD"/>
    <w:rsid w:val="00A614C8"/>
    <w:rsid w:val="00A6162B"/>
    <w:rsid w:val="00A617AD"/>
    <w:rsid w:val="00A61837"/>
    <w:rsid w:val="00A61B5A"/>
    <w:rsid w:val="00A61FBD"/>
    <w:rsid w:val="00A62753"/>
    <w:rsid w:val="00A6291E"/>
    <w:rsid w:val="00A62A49"/>
    <w:rsid w:val="00A62C4E"/>
    <w:rsid w:val="00A62DAA"/>
    <w:rsid w:val="00A63472"/>
    <w:rsid w:val="00A6373E"/>
    <w:rsid w:val="00A63944"/>
    <w:rsid w:val="00A63AEF"/>
    <w:rsid w:val="00A63B62"/>
    <w:rsid w:val="00A63BE8"/>
    <w:rsid w:val="00A63BE9"/>
    <w:rsid w:val="00A63FB6"/>
    <w:rsid w:val="00A640F6"/>
    <w:rsid w:val="00A6467C"/>
    <w:rsid w:val="00A64BB4"/>
    <w:rsid w:val="00A64BD9"/>
    <w:rsid w:val="00A65227"/>
    <w:rsid w:val="00A652B2"/>
    <w:rsid w:val="00A652DB"/>
    <w:rsid w:val="00A652EC"/>
    <w:rsid w:val="00A653AE"/>
    <w:rsid w:val="00A653E6"/>
    <w:rsid w:val="00A65448"/>
    <w:rsid w:val="00A6549D"/>
    <w:rsid w:val="00A65541"/>
    <w:rsid w:val="00A655AD"/>
    <w:rsid w:val="00A65775"/>
    <w:rsid w:val="00A6598A"/>
    <w:rsid w:val="00A65BA3"/>
    <w:rsid w:val="00A65C0F"/>
    <w:rsid w:val="00A65CFB"/>
    <w:rsid w:val="00A661E9"/>
    <w:rsid w:val="00A662B5"/>
    <w:rsid w:val="00A6642F"/>
    <w:rsid w:val="00A6678F"/>
    <w:rsid w:val="00A66821"/>
    <w:rsid w:val="00A66912"/>
    <w:rsid w:val="00A66AA2"/>
    <w:rsid w:val="00A66E64"/>
    <w:rsid w:val="00A67058"/>
    <w:rsid w:val="00A670E4"/>
    <w:rsid w:val="00A6713B"/>
    <w:rsid w:val="00A67252"/>
    <w:rsid w:val="00A673CB"/>
    <w:rsid w:val="00A67456"/>
    <w:rsid w:val="00A6757E"/>
    <w:rsid w:val="00A6759F"/>
    <w:rsid w:val="00A679E8"/>
    <w:rsid w:val="00A67A59"/>
    <w:rsid w:val="00A67AFC"/>
    <w:rsid w:val="00A67B1C"/>
    <w:rsid w:val="00A67C50"/>
    <w:rsid w:val="00A67D8F"/>
    <w:rsid w:val="00A67E8B"/>
    <w:rsid w:val="00A7003F"/>
    <w:rsid w:val="00A70084"/>
    <w:rsid w:val="00A70327"/>
    <w:rsid w:val="00A704E4"/>
    <w:rsid w:val="00A70546"/>
    <w:rsid w:val="00A70953"/>
    <w:rsid w:val="00A709AF"/>
    <w:rsid w:val="00A709E1"/>
    <w:rsid w:val="00A70BA0"/>
    <w:rsid w:val="00A70BA4"/>
    <w:rsid w:val="00A71075"/>
    <w:rsid w:val="00A7130C"/>
    <w:rsid w:val="00A7133C"/>
    <w:rsid w:val="00A71398"/>
    <w:rsid w:val="00A713DD"/>
    <w:rsid w:val="00A71468"/>
    <w:rsid w:val="00A71851"/>
    <w:rsid w:val="00A719CF"/>
    <w:rsid w:val="00A71CD9"/>
    <w:rsid w:val="00A71E76"/>
    <w:rsid w:val="00A7211B"/>
    <w:rsid w:val="00A722A4"/>
    <w:rsid w:val="00A72409"/>
    <w:rsid w:val="00A7258E"/>
    <w:rsid w:val="00A72646"/>
    <w:rsid w:val="00A72927"/>
    <w:rsid w:val="00A72A9C"/>
    <w:rsid w:val="00A72ADA"/>
    <w:rsid w:val="00A72AF5"/>
    <w:rsid w:val="00A72E02"/>
    <w:rsid w:val="00A72EE3"/>
    <w:rsid w:val="00A72F4B"/>
    <w:rsid w:val="00A733AA"/>
    <w:rsid w:val="00A737A7"/>
    <w:rsid w:val="00A737A9"/>
    <w:rsid w:val="00A7393F"/>
    <w:rsid w:val="00A73AA9"/>
    <w:rsid w:val="00A73B58"/>
    <w:rsid w:val="00A73CA7"/>
    <w:rsid w:val="00A73D2C"/>
    <w:rsid w:val="00A73D8C"/>
    <w:rsid w:val="00A73E6C"/>
    <w:rsid w:val="00A740EA"/>
    <w:rsid w:val="00A741B2"/>
    <w:rsid w:val="00A74277"/>
    <w:rsid w:val="00A743B1"/>
    <w:rsid w:val="00A74443"/>
    <w:rsid w:val="00A74801"/>
    <w:rsid w:val="00A749B2"/>
    <w:rsid w:val="00A74A95"/>
    <w:rsid w:val="00A74D01"/>
    <w:rsid w:val="00A74E61"/>
    <w:rsid w:val="00A74EBC"/>
    <w:rsid w:val="00A74F1D"/>
    <w:rsid w:val="00A75126"/>
    <w:rsid w:val="00A7519C"/>
    <w:rsid w:val="00A754E7"/>
    <w:rsid w:val="00A7596F"/>
    <w:rsid w:val="00A75983"/>
    <w:rsid w:val="00A7598D"/>
    <w:rsid w:val="00A75DF5"/>
    <w:rsid w:val="00A75EC7"/>
    <w:rsid w:val="00A762B9"/>
    <w:rsid w:val="00A76467"/>
    <w:rsid w:val="00A76540"/>
    <w:rsid w:val="00A765CC"/>
    <w:rsid w:val="00A76B42"/>
    <w:rsid w:val="00A76C91"/>
    <w:rsid w:val="00A76DEA"/>
    <w:rsid w:val="00A772F0"/>
    <w:rsid w:val="00A774D3"/>
    <w:rsid w:val="00A77523"/>
    <w:rsid w:val="00A7759F"/>
    <w:rsid w:val="00A7764E"/>
    <w:rsid w:val="00A77706"/>
    <w:rsid w:val="00A77863"/>
    <w:rsid w:val="00A77A47"/>
    <w:rsid w:val="00A77B60"/>
    <w:rsid w:val="00A77B8D"/>
    <w:rsid w:val="00A77C03"/>
    <w:rsid w:val="00A77EF6"/>
    <w:rsid w:val="00A8004A"/>
    <w:rsid w:val="00A80070"/>
    <w:rsid w:val="00A8037C"/>
    <w:rsid w:val="00A80536"/>
    <w:rsid w:val="00A80541"/>
    <w:rsid w:val="00A8060E"/>
    <w:rsid w:val="00A806E0"/>
    <w:rsid w:val="00A807E2"/>
    <w:rsid w:val="00A80869"/>
    <w:rsid w:val="00A808A1"/>
    <w:rsid w:val="00A80ADB"/>
    <w:rsid w:val="00A80AFE"/>
    <w:rsid w:val="00A80B39"/>
    <w:rsid w:val="00A80B7F"/>
    <w:rsid w:val="00A80D59"/>
    <w:rsid w:val="00A80DAF"/>
    <w:rsid w:val="00A80F30"/>
    <w:rsid w:val="00A80F81"/>
    <w:rsid w:val="00A810C6"/>
    <w:rsid w:val="00A811F9"/>
    <w:rsid w:val="00A81364"/>
    <w:rsid w:val="00A8143C"/>
    <w:rsid w:val="00A81450"/>
    <w:rsid w:val="00A8146E"/>
    <w:rsid w:val="00A8176B"/>
    <w:rsid w:val="00A81999"/>
    <w:rsid w:val="00A81AA1"/>
    <w:rsid w:val="00A81B57"/>
    <w:rsid w:val="00A81E7E"/>
    <w:rsid w:val="00A8247C"/>
    <w:rsid w:val="00A82487"/>
    <w:rsid w:val="00A8279C"/>
    <w:rsid w:val="00A827A5"/>
    <w:rsid w:val="00A82993"/>
    <w:rsid w:val="00A82B26"/>
    <w:rsid w:val="00A82DA8"/>
    <w:rsid w:val="00A82E40"/>
    <w:rsid w:val="00A82F10"/>
    <w:rsid w:val="00A82FE1"/>
    <w:rsid w:val="00A83088"/>
    <w:rsid w:val="00A832E2"/>
    <w:rsid w:val="00A8347E"/>
    <w:rsid w:val="00A8350F"/>
    <w:rsid w:val="00A835FB"/>
    <w:rsid w:val="00A8383E"/>
    <w:rsid w:val="00A83912"/>
    <w:rsid w:val="00A841DD"/>
    <w:rsid w:val="00A842FB"/>
    <w:rsid w:val="00A844F8"/>
    <w:rsid w:val="00A84527"/>
    <w:rsid w:val="00A8475A"/>
    <w:rsid w:val="00A84B15"/>
    <w:rsid w:val="00A84B72"/>
    <w:rsid w:val="00A84BCD"/>
    <w:rsid w:val="00A84BDC"/>
    <w:rsid w:val="00A84C5B"/>
    <w:rsid w:val="00A84E34"/>
    <w:rsid w:val="00A84E47"/>
    <w:rsid w:val="00A84E99"/>
    <w:rsid w:val="00A84EFC"/>
    <w:rsid w:val="00A84F8F"/>
    <w:rsid w:val="00A85005"/>
    <w:rsid w:val="00A850E9"/>
    <w:rsid w:val="00A8511E"/>
    <w:rsid w:val="00A851EA"/>
    <w:rsid w:val="00A85224"/>
    <w:rsid w:val="00A8546C"/>
    <w:rsid w:val="00A854C7"/>
    <w:rsid w:val="00A8565D"/>
    <w:rsid w:val="00A858C3"/>
    <w:rsid w:val="00A858EE"/>
    <w:rsid w:val="00A85974"/>
    <w:rsid w:val="00A85C98"/>
    <w:rsid w:val="00A85F40"/>
    <w:rsid w:val="00A86363"/>
    <w:rsid w:val="00A865D5"/>
    <w:rsid w:val="00A86699"/>
    <w:rsid w:val="00A86887"/>
    <w:rsid w:val="00A8696E"/>
    <w:rsid w:val="00A869F0"/>
    <w:rsid w:val="00A86B42"/>
    <w:rsid w:val="00A86C1D"/>
    <w:rsid w:val="00A86EBC"/>
    <w:rsid w:val="00A87033"/>
    <w:rsid w:val="00A87065"/>
    <w:rsid w:val="00A87284"/>
    <w:rsid w:val="00A8734D"/>
    <w:rsid w:val="00A87395"/>
    <w:rsid w:val="00A8759F"/>
    <w:rsid w:val="00A87709"/>
    <w:rsid w:val="00A87797"/>
    <w:rsid w:val="00A87972"/>
    <w:rsid w:val="00A87AEF"/>
    <w:rsid w:val="00A87DE2"/>
    <w:rsid w:val="00A87DE7"/>
    <w:rsid w:val="00A87E28"/>
    <w:rsid w:val="00A87FE5"/>
    <w:rsid w:val="00A90016"/>
    <w:rsid w:val="00A900EC"/>
    <w:rsid w:val="00A902CA"/>
    <w:rsid w:val="00A9032A"/>
    <w:rsid w:val="00A90516"/>
    <w:rsid w:val="00A905BE"/>
    <w:rsid w:val="00A906B7"/>
    <w:rsid w:val="00A90745"/>
    <w:rsid w:val="00A908F2"/>
    <w:rsid w:val="00A90994"/>
    <w:rsid w:val="00A90A45"/>
    <w:rsid w:val="00A90E21"/>
    <w:rsid w:val="00A90F22"/>
    <w:rsid w:val="00A90FB4"/>
    <w:rsid w:val="00A9101F"/>
    <w:rsid w:val="00A912F3"/>
    <w:rsid w:val="00A9143C"/>
    <w:rsid w:val="00A91501"/>
    <w:rsid w:val="00A9174B"/>
    <w:rsid w:val="00A91806"/>
    <w:rsid w:val="00A91852"/>
    <w:rsid w:val="00A91949"/>
    <w:rsid w:val="00A920B8"/>
    <w:rsid w:val="00A92340"/>
    <w:rsid w:val="00A9263D"/>
    <w:rsid w:val="00A92704"/>
    <w:rsid w:val="00A92724"/>
    <w:rsid w:val="00A92726"/>
    <w:rsid w:val="00A92B01"/>
    <w:rsid w:val="00A92B66"/>
    <w:rsid w:val="00A92F59"/>
    <w:rsid w:val="00A932A5"/>
    <w:rsid w:val="00A93340"/>
    <w:rsid w:val="00A93603"/>
    <w:rsid w:val="00A936F2"/>
    <w:rsid w:val="00A93A69"/>
    <w:rsid w:val="00A93B3F"/>
    <w:rsid w:val="00A93D02"/>
    <w:rsid w:val="00A93F0B"/>
    <w:rsid w:val="00A94253"/>
    <w:rsid w:val="00A943A0"/>
    <w:rsid w:val="00A9444E"/>
    <w:rsid w:val="00A944E9"/>
    <w:rsid w:val="00A94633"/>
    <w:rsid w:val="00A946EF"/>
    <w:rsid w:val="00A9476C"/>
    <w:rsid w:val="00A94793"/>
    <w:rsid w:val="00A947D9"/>
    <w:rsid w:val="00A94981"/>
    <w:rsid w:val="00A94A35"/>
    <w:rsid w:val="00A94A4B"/>
    <w:rsid w:val="00A94AED"/>
    <w:rsid w:val="00A94B59"/>
    <w:rsid w:val="00A94B9E"/>
    <w:rsid w:val="00A94D05"/>
    <w:rsid w:val="00A94D39"/>
    <w:rsid w:val="00A94E3A"/>
    <w:rsid w:val="00A94EE2"/>
    <w:rsid w:val="00A94F02"/>
    <w:rsid w:val="00A94F32"/>
    <w:rsid w:val="00A95060"/>
    <w:rsid w:val="00A950E3"/>
    <w:rsid w:val="00A956EA"/>
    <w:rsid w:val="00A95796"/>
    <w:rsid w:val="00A95829"/>
    <w:rsid w:val="00A9598B"/>
    <w:rsid w:val="00A959AB"/>
    <w:rsid w:val="00A95E23"/>
    <w:rsid w:val="00A9611F"/>
    <w:rsid w:val="00A96265"/>
    <w:rsid w:val="00A9653A"/>
    <w:rsid w:val="00A9665F"/>
    <w:rsid w:val="00A9667A"/>
    <w:rsid w:val="00A966F6"/>
    <w:rsid w:val="00A96CA3"/>
    <w:rsid w:val="00A96D2F"/>
    <w:rsid w:val="00A96D77"/>
    <w:rsid w:val="00A96DCB"/>
    <w:rsid w:val="00A96E96"/>
    <w:rsid w:val="00A96E9B"/>
    <w:rsid w:val="00A96F4F"/>
    <w:rsid w:val="00A96FFB"/>
    <w:rsid w:val="00A9753D"/>
    <w:rsid w:val="00A97582"/>
    <w:rsid w:val="00A9760D"/>
    <w:rsid w:val="00A977CB"/>
    <w:rsid w:val="00AA028B"/>
    <w:rsid w:val="00AA0342"/>
    <w:rsid w:val="00AA03CC"/>
    <w:rsid w:val="00AA03F4"/>
    <w:rsid w:val="00AA04B8"/>
    <w:rsid w:val="00AA0527"/>
    <w:rsid w:val="00AA0A36"/>
    <w:rsid w:val="00AA0A87"/>
    <w:rsid w:val="00AA0A89"/>
    <w:rsid w:val="00AA0C14"/>
    <w:rsid w:val="00AA0DE4"/>
    <w:rsid w:val="00AA0E6A"/>
    <w:rsid w:val="00AA0F93"/>
    <w:rsid w:val="00AA0FE2"/>
    <w:rsid w:val="00AA10C3"/>
    <w:rsid w:val="00AA1262"/>
    <w:rsid w:val="00AA1308"/>
    <w:rsid w:val="00AA1314"/>
    <w:rsid w:val="00AA15CF"/>
    <w:rsid w:val="00AA163A"/>
    <w:rsid w:val="00AA1891"/>
    <w:rsid w:val="00AA1ABC"/>
    <w:rsid w:val="00AA1B0A"/>
    <w:rsid w:val="00AA1C2B"/>
    <w:rsid w:val="00AA2233"/>
    <w:rsid w:val="00AA2482"/>
    <w:rsid w:val="00AA24AF"/>
    <w:rsid w:val="00AA24D5"/>
    <w:rsid w:val="00AA25BE"/>
    <w:rsid w:val="00AA2675"/>
    <w:rsid w:val="00AA26FA"/>
    <w:rsid w:val="00AA27CB"/>
    <w:rsid w:val="00AA28F5"/>
    <w:rsid w:val="00AA2A86"/>
    <w:rsid w:val="00AA2B16"/>
    <w:rsid w:val="00AA2B5B"/>
    <w:rsid w:val="00AA2CCF"/>
    <w:rsid w:val="00AA2CFE"/>
    <w:rsid w:val="00AA31C2"/>
    <w:rsid w:val="00AA343E"/>
    <w:rsid w:val="00AA346A"/>
    <w:rsid w:val="00AA35C0"/>
    <w:rsid w:val="00AA35C6"/>
    <w:rsid w:val="00AA363E"/>
    <w:rsid w:val="00AA3870"/>
    <w:rsid w:val="00AA38A9"/>
    <w:rsid w:val="00AA3C81"/>
    <w:rsid w:val="00AA3CC6"/>
    <w:rsid w:val="00AA3D84"/>
    <w:rsid w:val="00AA3E00"/>
    <w:rsid w:val="00AA3F4B"/>
    <w:rsid w:val="00AA3F62"/>
    <w:rsid w:val="00AA3FCC"/>
    <w:rsid w:val="00AA4411"/>
    <w:rsid w:val="00AA4462"/>
    <w:rsid w:val="00AA45F8"/>
    <w:rsid w:val="00AA46DD"/>
    <w:rsid w:val="00AA4C49"/>
    <w:rsid w:val="00AA4E8E"/>
    <w:rsid w:val="00AA4F08"/>
    <w:rsid w:val="00AA5023"/>
    <w:rsid w:val="00AA51E1"/>
    <w:rsid w:val="00AA54E6"/>
    <w:rsid w:val="00AA55CF"/>
    <w:rsid w:val="00AA5975"/>
    <w:rsid w:val="00AA597B"/>
    <w:rsid w:val="00AA5C87"/>
    <w:rsid w:val="00AA5C97"/>
    <w:rsid w:val="00AA5CE4"/>
    <w:rsid w:val="00AA5DCE"/>
    <w:rsid w:val="00AA5DF4"/>
    <w:rsid w:val="00AA6228"/>
    <w:rsid w:val="00AA64C1"/>
    <w:rsid w:val="00AA6660"/>
    <w:rsid w:val="00AA6C7E"/>
    <w:rsid w:val="00AA6DE2"/>
    <w:rsid w:val="00AA6E81"/>
    <w:rsid w:val="00AA6FB7"/>
    <w:rsid w:val="00AA7079"/>
    <w:rsid w:val="00AA719B"/>
    <w:rsid w:val="00AA72F6"/>
    <w:rsid w:val="00AA743C"/>
    <w:rsid w:val="00AA74A5"/>
    <w:rsid w:val="00AA7556"/>
    <w:rsid w:val="00AA769C"/>
    <w:rsid w:val="00AA785C"/>
    <w:rsid w:val="00AA79A8"/>
    <w:rsid w:val="00AA7A91"/>
    <w:rsid w:val="00AA7C70"/>
    <w:rsid w:val="00AA7DB1"/>
    <w:rsid w:val="00AA7EA8"/>
    <w:rsid w:val="00AA7FDE"/>
    <w:rsid w:val="00AB03F8"/>
    <w:rsid w:val="00AB049B"/>
    <w:rsid w:val="00AB0569"/>
    <w:rsid w:val="00AB05F0"/>
    <w:rsid w:val="00AB065E"/>
    <w:rsid w:val="00AB094B"/>
    <w:rsid w:val="00AB0B02"/>
    <w:rsid w:val="00AB0B42"/>
    <w:rsid w:val="00AB0B50"/>
    <w:rsid w:val="00AB0B77"/>
    <w:rsid w:val="00AB0BEC"/>
    <w:rsid w:val="00AB0FC0"/>
    <w:rsid w:val="00AB10F3"/>
    <w:rsid w:val="00AB10FA"/>
    <w:rsid w:val="00AB1176"/>
    <w:rsid w:val="00AB1246"/>
    <w:rsid w:val="00AB1377"/>
    <w:rsid w:val="00AB15BC"/>
    <w:rsid w:val="00AB1690"/>
    <w:rsid w:val="00AB1907"/>
    <w:rsid w:val="00AB1C32"/>
    <w:rsid w:val="00AB1DE0"/>
    <w:rsid w:val="00AB1E07"/>
    <w:rsid w:val="00AB1F45"/>
    <w:rsid w:val="00AB2144"/>
    <w:rsid w:val="00AB21E4"/>
    <w:rsid w:val="00AB2268"/>
    <w:rsid w:val="00AB2450"/>
    <w:rsid w:val="00AB257C"/>
    <w:rsid w:val="00AB2588"/>
    <w:rsid w:val="00AB26A3"/>
    <w:rsid w:val="00AB26E9"/>
    <w:rsid w:val="00AB28BB"/>
    <w:rsid w:val="00AB2A66"/>
    <w:rsid w:val="00AB2B78"/>
    <w:rsid w:val="00AB2CAC"/>
    <w:rsid w:val="00AB2E9C"/>
    <w:rsid w:val="00AB2EEA"/>
    <w:rsid w:val="00AB30CF"/>
    <w:rsid w:val="00AB3123"/>
    <w:rsid w:val="00AB320C"/>
    <w:rsid w:val="00AB3349"/>
    <w:rsid w:val="00AB3811"/>
    <w:rsid w:val="00AB3B6E"/>
    <w:rsid w:val="00AB3FBB"/>
    <w:rsid w:val="00AB42E7"/>
    <w:rsid w:val="00AB4363"/>
    <w:rsid w:val="00AB43C4"/>
    <w:rsid w:val="00AB4424"/>
    <w:rsid w:val="00AB4526"/>
    <w:rsid w:val="00AB454D"/>
    <w:rsid w:val="00AB45F4"/>
    <w:rsid w:val="00AB468E"/>
    <w:rsid w:val="00AB4705"/>
    <w:rsid w:val="00AB4886"/>
    <w:rsid w:val="00AB4A0F"/>
    <w:rsid w:val="00AB4B36"/>
    <w:rsid w:val="00AB4BCC"/>
    <w:rsid w:val="00AB4CF7"/>
    <w:rsid w:val="00AB4E78"/>
    <w:rsid w:val="00AB51B6"/>
    <w:rsid w:val="00AB5225"/>
    <w:rsid w:val="00AB5326"/>
    <w:rsid w:val="00AB5383"/>
    <w:rsid w:val="00AB54C5"/>
    <w:rsid w:val="00AB567B"/>
    <w:rsid w:val="00AB56BA"/>
    <w:rsid w:val="00AB5A52"/>
    <w:rsid w:val="00AB5B00"/>
    <w:rsid w:val="00AB5E26"/>
    <w:rsid w:val="00AB5FFE"/>
    <w:rsid w:val="00AB63C6"/>
    <w:rsid w:val="00AB656F"/>
    <w:rsid w:val="00AB6C26"/>
    <w:rsid w:val="00AB6CF7"/>
    <w:rsid w:val="00AB6EAA"/>
    <w:rsid w:val="00AB71BE"/>
    <w:rsid w:val="00AB7328"/>
    <w:rsid w:val="00AB7509"/>
    <w:rsid w:val="00AB7693"/>
    <w:rsid w:val="00AB7CB4"/>
    <w:rsid w:val="00AB7F86"/>
    <w:rsid w:val="00AC0140"/>
    <w:rsid w:val="00AC0377"/>
    <w:rsid w:val="00AC07E6"/>
    <w:rsid w:val="00AC09F7"/>
    <w:rsid w:val="00AC0B5B"/>
    <w:rsid w:val="00AC0B73"/>
    <w:rsid w:val="00AC0C08"/>
    <w:rsid w:val="00AC0C85"/>
    <w:rsid w:val="00AC0DD1"/>
    <w:rsid w:val="00AC1192"/>
    <w:rsid w:val="00AC1733"/>
    <w:rsid w:val="00AC1B37"/>
    <w:rsid w:val="00AC1D33"/>
    <w:rsid w:val="00AC1EC5"/>
    <w:rsid w:val="00AC1FAF"/>
    <w:rsid w:val="00AC204F"/>
    <w:rsid w:val="00AC223E"/>
    <w:rsid w:val="00AC236D"/>
    <w:rsid w:val="00AC2426"/>
    <w:rsid w:val="00AC2475"/>
    <w:rsid w:val="00AC253A"/>
    <w:rsid w:val="00AC2668"/>
    <w:rsid w:val="00AC2A1B"/>
    <w:rsid w:val="00AC2A8C"/>
    <w:rsid w:val="00AC2B92"/>
    <w:rsid w:val="00AC2CA0"/>
    <w:rsid w:val="00AC2CA9"/>
    <w:rsid w:val="00AC2DEB"/>
    <w:rsid w:val="00AC2FA7"/>
    <w:rsid w:val="00AC3165"/>
    <w:rsid w:val="00AC3263"/>
    <w:rsid w:val="00AC328D"/>
    <w:rsid w:val="00AC32DA"/>
    <w:rsid w:val="00AC36FA"/>
    <w:rsid w:val="00AC374C"/>
    <w:rsid w:val="00AC37B7"/>
    <w:rsid w:val="00AC3BFF"/>
    <w:rsid w:val="00AC3DC6"/>
    <w:rsid w:val="00AC413D"/>
    <w:rsid w:val="00AC41CA"/>
    <w:rsid w:val="00AC421C"/>
    <w:rsid w:val="00AC4307"/>
    <w:rsid w:val="00AC44C6"/>
    <w:rsid w:val="00AC4674"/>
    <w:rsid w:val="00AC4713"/>
    <w:rsid w:val="00AC478A"/>
    <w:rsid w:val="00AC48E2"/>
    <w:rsid w:val="00AC4991"/>
    <w:rsid w:val="00AC50EB"/>
    <w:rsid w:val="00AC5183"/>
    <w:rsid w:val="00AC5218"/>
    <w:rsid w:val="00AC5236"/>
    <w:rsid w:val="00AC5296"/>
    <w:rsid w:val="00AC53EA"/>
    <w:rsid w:val="00AC54B8"/>
    <w:rsid w:val="00AC554D"/>
    <w:rsid w:val="00AC561C"/>
    <w:rsid w:val="00AC56B6"/>
    <w:rsid w:val="00AC5720"/>
    <w:rsid w:val="00AC57F2"/>
    <w:rsid w:val="00AC5A74"/>
    <w:rsid w:val="00AC5AC9"/>
    <w:rsid w:val="00AC5CCE"/>
    <w:rsid w:val="00AC5DAD"/>
    <w:rsid w:val="00AC5DC3"/>
    <w:rsid w:val="00AC5DCD"/>
    <w:rsid w:val="00AC61B5"/>
    <w:rsid w:val="00AC6205"/>
    <w:rsid w:val="00AC62AB"/>
    <w:rsid w:val="00AC6567"/>
    <w:rsid w:val="00AC696C"/>
    <w:rsid w:val="00AC69D0"/>
    <w:rsid w:val="00AC6A45"/>
    <w:rsid w:val="00AC6A7F"/>
    <w:rsid w:val="00AC6FEA"/>
    <w:rsid w:val="00AC700D"/>
    <w:rsid w:val="00AC704E"/>
    <w:rsid w:val="00AC71ED"/>
    <w:rsid w:val="00AC72AC"/>
    <w:rsid w:val="00AC7321"/>
    <w:rsid w:val="00AC7416"/>
    <w:rsid w:val="00AC7485"/>
    <w:rsid w:val="00AC7572"/>
    <w:rsid w:val="00AC7588"/>
    <w:rsid w:val="00AC759B"/>
    <w:rsid w:val="00AC7B72"/>
    <w:rsid w:val="00AC7E56"/>
    <w:rsid w:val="00AC7E6A"/>
    <w:rsid w:val="00AC7E86"/>
    <w:rsid w:val="00AD0026"/>
    <w:rsid w:val="00AD0111"/>
    <w:rsid w:val="00AD03B1"/>
    <w:rsid w:val="00AD07E0"/>
    <w:rsid w:val="00AD0BA0"/>
    <w:rsid w:val="00AD0BD3"/>
    <w:rsid w:val="00AD0EA1"/>
    <w:rsid w:val="00AD0F18"/>
    <w:rsid w:val="00AD1040"/>
    <w:rsid w:val="00AD1091"/>
    <w:rsid w:val="00AD1196"/>
    <w:rsid w:val="00AD1251"/>
    <w:rsid w:val="00AD12DA"/>
    <w:rsid w:val="00AD14D0"/>
    <w:rsid w:val="00AD1884"/>
    <w:rsid w:val="00AD1A33"/>
    <w:rsid w:val="00AD1FD4"/>
    <w:rsid w:val="00AD2062"/>
    <w:rsid w:val="00AD21FE"/>
    <w:rsid w:val="00AD2228"/>
    <w:rsid w:val="00AD2453"/>
    <w:rsid w:val="00AD27AA"/>
    <w:rsid w:val="00AD2CFD"/>
    <w:rsid w:val="00AD312E"/>
    <w:rsid w:val="00AD317F"/>
    <w:rsid w:val="00AD3493"/>
    <w:rsid w:val="00AD356F"/>
    <w:rsid w:val="00AD38DE"/>
    <w:rsid w:val="00AD3945"/>
    <w:rsid w:val="00AD3BC5"/>
    <w:rsid w:val="00AD4015"/>
    <w:rsid w:val="00AD4064"/>
    <w:rsid w:val="00AD406C"/>
    <w:rsid w:val="00AD40BC"/>
    <w:rsid w:val="00AD41DF"/>
    <w:rsid w:val="00AD4433"/>
    <w:rsid w:val="00AD4B18"/>
    <w:rsid w:val="00AD4F21"/>
    <w:rsid w:val="00AD4FCF"/>
    <w:rsid w:val="00AD5046"/>
    <w:rsid w:val="00AD5069"/>
    <w:rsid w:val="00AD5111"/>
    <w:rsid w:val="00AD561C"/>
    <w:rsid w:val="00AD5897"/>
    <w:rsid w:val="00AD5D06"/>
    <w:rsid w:val="00AD5D37"/>
    <w:rsid w:val="00AD6369"/>
    <w:rsid w:val="00AD63CA"/>
    <w:rsid w:val="00AD6453"/>
    <w:rsid w:val="00AD6562"/>
    <w:rsid w:val="00AD6622"/>
    <w:rsid w:val="00AD6644"/>
    <w:rsid w:val="00AD66BF"/>
    <w:rsid w:val="00AD69CE"/>
    <w:rsid w:val="00AD6B36"/>
    <w:rsid w:val="00AD6BBA"/>
    <w:rsid w:val="00AD6BEB"/>
    <w:rsid w:val="00AD6D69"/>
    <w:rsid w:val="00AD7052"/>
    <w:rsid w:val="00AD7092"/>
    <w:rsid w:val="00AD7199"/>
    <w:rsid w:val="00AD72EA"/>
    <w:rsid w:val="00AD74C2"/>
    <w:rsid w:val="00AD75B0"/>
    <w:rsid w:val="00AD7A7D"/>
    <w:rsid w:val="00AD7C77"/>
    <w:rsid w:val="00AD9218"/>
    <w:rsid w:val="00AE03BA"/>
    <w:rsid w:val="00AE044F"/>
    <w:rsid w:val="00AE045D"/>
    <w:rsid w:val="00AE0530"/>
    <w:rsid w:val="00AE0BEF"/>
    <w:rsid w:val="00AE0CD3"/>
    <w:rsid w:val="00AE0E2F"/>
    <w:rsid w:val="00AE0EAB"/>
    <w:rsid w:val="00AE0F3A"/>
    <w:rsid w:val="00AE1050"/>
    <w:rsid w:val="00AE1518"/>
    <w:rsid w:val="00AE152A"/>
    <w:rsid w:val="00AE175E"/>
    <w:rsid w:val="00AE17D2"/>
    <w:rsid w:val="00AE17F1"/>
    <w:rsid w:val="00AE18CB"/>
    <w:rsid w:val="00AE1AD8"/>
    <w:rsid w:val="00AE1B05"/>
    <w:rsid w:val="00AE1B62"/>
    <w:rsid w:val="00AE1B8A"/>
    <w:rsid w:val="00AE2021"/>
    <w:rsid w:val="00AE21A6"/>
    <w:rsid w:val="00AE2415"/>
    <w:rsid w:val="00AE249B"/>
    <w:rsid w:val="00AE24A8"/>
    <w:rsid w:val="00AE253B"/>
    <w:rsid w:val="00AE2897"/>
    <w:rsid w:val="00AE28AD"/>
    <w:rsid w:val="00AE2A7D"/>
    <w:rsid w:val="00AE2ADC"/>
    <w:rsid w:val="00AE2B36"/>
    <w:rsid w:val="00AE2B42"/>
    <w:rsid w:val="00AE2C1C"/>
    <w:rsid w:val="00AE2DD8"/>
    <w:rsid w:val="00AE2ED9"/>
    <w:rsid w:val="00AE30A1"/>
    <w:rsid w:val="00AE34D5"/>
    <w:rsid w:val="00AE351D"/>
    <w:rsid w:val="00AE37E8"/>
    <w:rsid w:val="00AE3B42"/>
    <w:rsid w:val="00AE3DAB"/>
    <w:rsid w:val="00AE41C0"/>
    <w:rsid w:val="00AE421D"/>
    <w:rsid w:val="00AE450F"/>
    <w:rsid w:val="00AE4841"/>
    <w:rsid w:val="00AE491B"/>
    <w:rsid w:val="00AE499A"/>
    <w:rsid w:val="00AE4C12"/>
    <w:rsid w:val="00AE4C57"/>
    <w:rsid w:val="00AE4EA3"/>
    <w:rsid w:val="00AE4F31"/>
    <w:rsid w:val="00AE50F9"/>
    <w:rsid w:val="00AE52B2"/>
    <w:rsid w:val="00AE557D"/>
    <w:rsid w:val="00AE57B0"/>
    <w:rsid w:val="00AE5B83"/>
    <w:rsid w:val="00AE60BF"/>
    <w:rsid w:val="00AE647B"/>
    <w:rsid w:val="00AE6747"/>
    <w:rsid w:val="00AE6781"/>
    <w:rsid w:val="00AE6AA0"/>
    <w:rsid w:val="00AE6AE6"/>
    <w:rsid w:val="00AE7123"/>
    <w:rsid w:val="00AE7520"/>
    <w:rsid w:val="00AE78D8"/>
    <w:rsid w:val="00AE7952"/>
    <w:rsid w:val="00AE7B0F"/>
    <w:rsid w:val="00AE7C58"/>
    <w:rsid w:val="00AF001F"/>
    <w:rsid w:val="00AF0231"/>
    <w:rsid w:val="00AF02AF"/>
    <w:rsid w:val="00AF0312"/>
    <w:rsid w:val="00AF0356"/>
    <w:rsid w:val="00AF06B3"/>
    <w:rsid w:val="00AF0864"/>
    <w:rsid w:val="00AF0975"/>
    <w:rsid w:val="00AF0C95"/>
    <w:rsid w:val="00AF0CB2"/>
    <w:rsid w:val="00AF0D2E"/>
    <w:rsid w:val="00AF11BB"/>
    <w:rsid w:val="00AF1396"/>
    <w:rsid w:val="00AF1412"/>
    <w:rsid w:val="00AF153E"/>
    <w:rsid w:val="00AF1548"/>
    <w:rsid w:val="00AF1738"/>
    <w:rsid w:val="00AF1B6E"/>
    <w:rsid w:val="00AF1E59"/>
    <w:rsid w:val="00AF1E5C"/>
    <w:rsid w:val="00AF21F6"/>
    <w:rsid w:val="00AF2238"/>
    <w:rsid w:val="00AF2686"/>
    <w:rsid w:val="00AF2875"/>
    <w:rsid w:val="00AF295B"/>
    <w:rsid w:val="00AF29AF"/>
    <w:rsid w:val="00AF29EC"/>
    <w:rsid w:val="00AF2A30"/>
    <w:rsid w:val="00AF2C64"/>
    <w:rsid w:val="00AF2C6F"/>
    <w:rsid w:val="00AF312E"/>
    <w:rsid w:val="00AF317A"/>
    <w:rsid w:val="00AF33DC"/>
    <w:rsid w:val="00AF37BA"/>
    <w:rsid w:val="00AF3898"/>
    <w:rsid w:val="00AF39B6"/>
    <w:rsid w:val="00AF3B68"/>
    <w:rsid w:val="00AF3BEA"/>
    <w:rsid w:val="00AF42E7"/>
    <w:rsid w:val="00AF4414"/>
    <w:rsid w:val="00AF4519"/>
    <w:rsid w:val="00AF462A"/>
    <w:rsid w:val="00AF4761"/>
    <w:rsid w:val="00AF48E6"/>
    <w:rsid w:val="00AF4A6C"/>
    <w:rsid w:val="00AF4C26"/>
    <w:rsid w:val="00AF4D7B"/>
    <w:rsid w:val="00AF4DEE"/>
    <w:rsid w:val="00AF4E68"/>
    <w:rsid w:val="00AF4EC4"/>
    <w:rsid w:val="00AF50AD"/>
    <w:rsid w:val="00AF5246"/>
    <w:rsid w:val="00AF5295"/>
    <w:rsid w:val="00AF5350"/>
    <w:rsid w:val="00AF56C3"/>
    <w:rsid w:val="00AF58C7"/>
    <w:rsid w:val="00AF58CC"/>
    <w:rsid w:val="00AF5ADE"/>
    <w:rsid w:val="00AF5B06"/>
    <w:rsid w:val="00AF5E4B"/>
    <w:rsid w:val="00AF60DA"/>
    <w:rsid w:val="00AF63B5"/>
    <w:rsid w:val="00AF64D5"/>
    <w:rsid w:val="00AF65CC"/>
    <w:rsid w:val="00AF65DF"/>
    <w:rsid w:val="00AF6631"/>
    <w:rsid w:val="00AF6780"/>
    <w:rsid w:val="00AF6921"/>
    <w:rsid w:val="00AF6A55"/>
    <w:rsid w:val="00AF6CF1"/>
    <w:rsid w:val="00AF6FF2"/>
    <w:rsid w:val="00AF7040"/>
    <w:rsid w:val="00AF727D"/>
    <w:rsid w:val="00AF72B1"/>
    <w:rsid w:val="00AF7382"/>
    <w:rsid w:val="00AF73A9"/>
    <w:rsid w:val="00AF73D5"/>
    <w:rsid w:val="00AF77B6"/>
    <w:rsid w:val="00AF78A9"/>
    <w:rsid w:val="00AF7C3F"/>
    <w:rsid w:val="00AF7D60"/>
    <w:rsid w:val="00AF7FFE"/>
    <w:rsid w:val="00B00453"/>
    <w:rsid w:val="00B005FF"/>
    <w:rsid w:val="00B006E9"/>
    <w:rsid w:val="00B00AA3"/>
    <w:rsid w:val="00B00ADB"/>
    <w:rsid w:val="00B00C92"/>
    <w:rsid w:val="00B00D2A"/>
    <w:rsid w:val="00B01105"/>
    <w:rsid w:val="00B011D2"/>
    <w:rsid w:val="00B012A0"/>
    <w:rsid w:val="00B01355"/>
    <w:rsid w:val="00B014D9"/>
    <w:rsid w:val="00B018BE"/>
    <w:rsid w:val="00B01DB4"/>
    <w:rsid w:val="00B01FD3"/>
    <w:rsid w:val="00B02095"/>
    <w:rsid w:val="00B020B9"/>
    <w:rsid w:val="00B020E6"/>
    <w:rsid w:val="00B021B2"/>
    <w:rsid w:val="00B021C2"/>
    <w:rsid w:val="00B02216"/>
    <w:rsid w:val="00B02355"/>
    <w:rsid w:val="00B02507"/>
    <w:rsid w:val="00B025CA"/>
    <w:rsid w:val="00B0288E"/>
    <w:rsid w:val="00B028CC"/>
    <w:rsid w:val="00B02C4F"/>
    <w:rsid w:val="00B031D1"/>
    <w:rsid w:val="00B03402"/>
    <w:rsid w:val="00B0352E"/>
    <w:rsid w:val="00B0356D"/>
    <w:rsid w:val="00B0378F"/>
    <w:rsid w:val="00B0386A"/>
    <w:rsid w:val="00B03D23"/>
    <w:rsid w:val="00B03DC4"/>
    <w:rsid w:val="00B03E17"/>
    <w:rsid w:val="00B040A3"/>
    <w:rsid w:val="00B0438A"/>
    <w:rsid w:val="00B0466F"/>
    <w:rsid w:val="00B049B1"/>
    <w:rsid w:val="00B04A14"/>
    <w:rsid w:val="00B04B1F"/>
    <w:rsid w:val="00B04B89"/>
    <w:rsid w:val="00B05241"/>
    <w:rsid w:val="00B05248"/>
    <w:rsid w:val="00B0533D"/>
    <w:rsid w:val="00B05562"/>
    <w:rsid w:val="00B0571A"/>
    <w:rsid w:val="00B0589E"/>
    <w:rsid w:val="00B05912"/>
    <w:rsid w:val="00B05AB8"/>
    <w:rsid w:val="00B05B5B"/>
    <w:rsid w:val="00B05CF6"/>
    <w:rsid w:val="00B05F34"/>
    <w:rsid w:val="00B05F98"/>
    <w:rsid w:val="00B06085"/>
    <w:rsid w:val="00B061EF"/>
    <w:rsid w:val="00B0621B"/>
    <w:rsid w:val="00B062B1"/>
    <w:rsid w:val="00B06634"/>
    <w:rsid w:val="00B0688B"/>
    <w:rsid w:val="00B06A11"/>
    <w:rsid w:val="00B06ABD"/>
    <w:rsid w:val="00B06D8E"/>
    <w:rsid w:val="00B06E10"/>
    <w:rsid w:val="00B06E19"/>
    <w:rsid w:val="00B06E1B"/>
    <w:rsid w:val="00B06E7C"/>
    <w:rsid w:val="00B06FFF"/>
    <w:rsid w:val="00B07012"/>
    <w:rsid w:val="00B0728B"/>
    <w:rsid w:val="00B072E9"/>
    <w:rsid w:val="00B07871"/>
    <w:rsid w:val="00B078F8"/>
    <w:rsid w:val="00B07CCE"/>
    <w:rsid w:val="00B07E5C"/>
    <w:rsid w:val="00B07EF5"/>
    <w:rsid w:val="00B07F1D"/>
    <w:rsid w:val="00B07F29"/>
    <w:rsid w:val="00B1001C"/>
    <w:rsid w:val="00B100B4"/>
    <w:rsid w:val="00B10153"/>
    <w:rsid w:val="00B1031F"/>
    <w:rsid w:val="00B1046D"/>
    <w:rsid w:val="00B104CE"/>
    <w:rsid w:val="00B10622"/>
    <w:rsid w:val="00B106B9"/>
    <w:rsid w:val="00B10717"/>
    <w:rsid w:val="00B108AE"/>
    <w:rsid w:val="00B1092E"/>
    <w:rsid w:val="00B109AF"/>
    <w:rsid w:val="00B10C5D"/>
    <w:rsid w:val="00B10F70"/>
    <w:rsid w:val="00B11206"/>
    <w:rsid w:val="00B11232"/>
    <w:rsid w:val="00B11382"/>
    <w:rsid w:val="00B11494"/>
    <w:rsid w:val="00B115A5"/>
    <w:rsid w:val="00B116B8"/>
    <w:rsid w:val="00B117B8"/>
    <w:rsid w:val="00B117DA"/>
    <w:rsid w:val="00B11AC5"/>
    <w:rsid w:val="00B11AEC"/>
    <w:rsid w:val="00B11B61"/>
    <w:rsid w:val="00B11CBD"/>
    <w:rsid w:val="00B11D01"/>
    <w:rsid w:val="00B11E75"/>
    <w:rsid w:val="00B121B8"/>
    <w:rsid w:val="00B12488"/>
    <w:rsid w:val="00B1255A"/>
    <w:rsid w:val="00B12605"/>
    <w:rsid w:val="00B12A07"/>
    <w:rsid w:val="00B13125"/>
    <w:rsid w:val="00B131B5"/>
    <w:rsid w:val="00B131C7"/>
    <w:rsid w:val="00B131D0"/>
    <w:rsid w:val="00B131DD"/>
    <w:rsid w:val="00B13565"/>
    <w:rsid w:val="00B135A6"/>
    <w:rsid w:val="00B135E4"/>
    <w:rsid w:val="00B1367B"/>
    <w:rsid w:val="00B137FE"/>
    <w:rsid w:val="00B1389D"/>
    <w:rsid w:val="00B13D38"/>
    <w:rsid w:val="00B14087"/>
    <w:rsid w:val="00B143A5"/>
    <w:rsid w:val="00B146A9"/>
    <w:rsid w:val="00B146CE"/>
    <w:rsid w:val="00B148FA"/>
    <w:rsid w:val="00B14B41"/>
    <w:rsid w:val="00B14D28"/>
    <w:rsid w:val="00B14F0B"/>
    <w:rsid w:val="00B1524F"/>
    <w:rsid w:val="00B155D5"/>
    <w:rsid w:val="00B15759"/>
    <w:rsid w:val="00B16013"/>
    <w:rsid w:val="00B160AA"/>
    <w:rsid w:val="00B160F5"/>
    <w:rsid w:val="00B161D2"/>
    <w:rsid w:val="00B1624E"/>
    <w:rsid w:val="00B1645B"/>
    <w:rsid w:val="00B16773"/>
    <w:rsid w:val="00B167BB"/>
    <w:rsid w:val="00B16859"/>
    <w:rsid w:val="00B168B1"/>
    <w:rsid w:val="00B168FD"/>
    <w:rsid w:val="00B169E4"/>
    <w:rsid w:val="00B16A02"/>
    <w:rsid w:val="00B16C7D"/>
    <w:rsid w:val="00B16CA9"/>
    <w:rsid w:val="00B16CBF"/>
    <w:rsid w:val="00B16D6C"/>
    <w:rsid w:val="00B16E30"/>
    <w:rsid w:val="00B16ED8"/>
    <w:rsid w:val="00B16EED"/>
    <w:rsid w:val="00B16F36"/>
    <w:rsid w:val="00B171B6"/>
    <w:rsid w:val="00B1732B"/>
    <w:rsid w:val="00B173F9"/>
    <w:rsid w:val="00B174A6"/>
    <w:rsid w:val="00B178A1"/>
    <w:rsid w:val="00B17E01"/>
    <w:rsid w:val="00B20199"/>
    <w:rsid w:val="00B201CB"/>
    <w:rsid w:val="00B20206"/>
    <w:rsid w:val="00B202CF"/>
    <w:rsid w:val="00B2045B"/>
    <w:rsid w:val="00B204B5"/>
    <w:rsid w:val="00B206BD"/>
    <w:rsid w:val="00B206E6"/>
    <w:rsid w:val="00B207B4"/>
    <w:rsid w:val="00B207E8"/>
    <w:rsid w:val="00B208DD"/>
    <w:rsid w:val="00B208E5"/>
    <w:rsid w:val="00B20938"/>
    <w:rsid w:val="00B20A8B"/>
    <w:rsid w:val="00B20B3E"/>
    <w:rsid w:val="00B20F3C"/>
    <w:rsid w:val="00B20F56"/>
    <w:rsid w:val="00B20FD5"/>
    <w:rsid w:val="00B21031"/>
    <w:rsid w:val="00B214F1"/>
    <w:rsid w:val="00B217F7"/>
    <w:rsid w:val="00B21893"/>
    <w:rsid w:val="00B21AF1"/>
    <w:rsid w:val="00B21B87"/>
    <w:rsid w:val="00B21C80"/>
    <w:rsid w:val="00B21D35"/>
    <w:rsid w:val="00B21E35"/>
    <w:rsid w:val="00B22091"/>
    <w:rsid w:val="00B2240C"/>
    <w:rsid w:val="00B224A0"/>
    <w:rsid w:val="00B22503"/>
    <w:rsid w:val="00B22520"/>
    <w:rsid w:val="00B225DC"/>
    <w:rsid w:val="00B22626"/>
    <w:rsid w:val="00B227E4"/>
    <w:rsid w:val="00B22810"/>
    <w:rsid w:val="00B22892"/>
    <w:rsid w:val="00B228D2"/>
    <w:rsid w:val="00B22DCB"/>
    <w:rsid w:val="00B22FDC"/>
    <w:rsid w:val="00B231B4"/>
    <w:rsid w:val="00B23336"/>
    <w:rsid w:val="00B2334B"/>
    <w:rsid w:val="00B234CF"/>
    <w:rsid w:val="00B234EC"/>
    <w:rsid w:val="00B23586"/>
    <w:rsid w:val="00B2373F"/>
    <w:rsid w:val="00B23AB2"/>
    <w:rsid w:val="00B23B5F"/>
    <w:rsid w:val="00B23BF2"/>
    <w:rsid w:val="00B23DCF"/>
    <w:rsid w:val="00B23E31"/>
    <w:rsid w:val="00B23EC2"/>
    <w:rsid w:val="00B23FF7"/>
    <w:rsid w:val="00B244B8"/>
    <w:rsid w:val="00B2451C"/>
    <w:rsid w:val="00B24662"/>
    <w:rsid w:val="00B24699"/>
    <w:rsid w:val="00B247E9"/>
    <w:rsid w:val="00B249E3"/>
    <w:rsid w:val="00B24A10"/>
    <w:rsid w:val="00B24B16"/>
    <w:rsid w:val="00B24B1F"/>
    <w:rsid w:val="00B24D54"/>
    <w:rsid w:val="00B24DFE"/>
    <w:rsid w:val="00B24F59"/>
    <w:rsid w:val="00B24F96"/>
    <w:rsid w:val="00B2502E"/>
    <w:rsid w:val="00B25061"/>
    <w:rsid w:val="00B25124"/>
    <w:rsid w:val="00B25130"/>
    <w:rsid w:val="00B25216"/>
    <w:rsid w:val="00B253FB"/>
    <w:rsid w:val="00B255B9"/>
    <w:rsid w:val="00B25743"/>
    <w:rsid w:val="00B25753"/>
    <w:rsid w:val="00B2581A"/>
    <w:rsid w:val="00B2584F"/>
    <w:rsid w:val="00B25E36"/>
    <w:rsid w:val="00B260BA"/>
    <w:rsid w:val="00B26104"/>
    <w:rsid w:val="00B262C2"/>
    <w:rsid w:val="00B2661F"/>
    <w:rsid w:val="00B26B79"/>
    <w:rsid w:val="00B26F0F"/>
    <w:rsid w:val="00B27368"/>
    <w:rsid w:val="00B275C4"/>
    <w:rsid w:val="00B27936"/>
    <w:rsid w:val="00B27A5E"/>
    <w:rsid w:val="00B27E36"/>
    <w:rsid w:val="00B27FD9"/>
    <w:rsid w:val="00B30109"/>
    <w:rsid w:val="00B30118"/>
    <w:rsid w:val="00B301C9"/>
    <w:rsid w:val="00B30433"/>
    <w:rsid w:val="00B30539"/>
    <w:rsid w:val="00B30663"/>
    <w:rsid w:val="00B309AF"/>
    <w:rsid w:val="00B30CC7"/>
    <w:rsid w:val="00B3100F"/>
    <w:rsid w:val="00B31074"/>
    <w:rsid w:val="00B31668"/>
    <w:rsid w:val="00B31A8A"/>
    <w:rsid w:val="00B31D2C"/>
    <w:rsid w:val="00B31D32"/>
    <w:rsid w:val="00B31DAE"/>
    <w:rsid w:val="00B31DC9"/>
    <w:rsid w:val="00B320D2"/>
    <w:rsid w:val="00B32526"/>
    <w:rsid w:val="00B32593"/>
    <w:rsid w:val="00B3273B"/>
    <w:rsid w:val="00B3290A"/>
    <w:rsid w:val="00B329CF"/>
    <w:rsid w:val="00B32A52"/>
    <w:rsid w:val="00B32AC3"/>
    <w:rsid w:val="00B32C53"/>
    <w:rsid w:val="00B32CE9"/>
    <w:rsid w:val="00B334C3"/>
    <w:rsid w:val="00B3378F"/>
    <w:rsid w:val="00B33E6B"/>
    <w:rsid w:val="00B3400D"/>
    <w:rsid w:val="00B34093"/>
    <w:rsid w:val="00B34302"/>
    <w:rsid w:val="00B34414"/>
    <w:rsid w:val="00B34878"/>
    <w:rsid w:val="00B34A65"/>
    <w:rsid w:val="00B34BA1"/>
    <w:rsid w:val="00B3531C"/>
    <w:rsid w:val="00B353DE"/>
    <w:rsid w:val="00B3541F"/>
    <w:rsid w:val="00B35734"/>
    <w:rsid w:val="00B3581B"/>
    <w:rsid w:val="00B358B1"/>
    <w:rsid w:val="00B35E8C"/>
    <w:rsid w:val="00B360B6"/>
    <w:rsid w:val="00B361EB"/>
    <w:rsid w:val="00B3621C"/>
    <w:rsid w:val="00B36380"/>
    <w:rsid w:val="00B364F9"/>
    <w:rsid w:val="00B366BE"/>
    <w:rsid w:val="00B367EB"/>
    <w:rsid w:val="00B36A48"/>
    <w:rsid w:val="00B36C02"/>
    <w:rsid w:val="00B36C3D"/>
    <w:rsid w:val="00B36EBC"/>
    <w:rsid w:val="00B372CB"/>
    <w:rsid w:val="00B37331"/>
    <w:rsid w:val="00B373B3"/>
    <w:rsid w:val="00B373FA"/>
    <w:rsid w:val="00B374C6"/>
    <w:rsid w:val="00B37500"/>
    <w:rsid w:val="00B37520"/>
    <w:rsid w:val="00B37624"/>
    <w:rsid w:val="00B378A6"/>
    <w:rsid w:val="00B378EB"/>
    <w:rsid w:val="00B3797F"/>
    <w:rsid w:val="00B379EC"/>
    <w:rsid w:val="00B37C20"/>
    <w:rsid w:val="00B37C24"/>
    <w:rsid w:val="00B37C27"/>
    <w:rsid w:val="00B37CFD"/>
    <w:rsid w:val="00B37D2D"/>
    <w:rsid w:val="00B37D69"/>
    <w:rsid w:val="00B37D7A"/>
    <w:rsid w:val="00B37FFC"/>
    <w:rsid w:val="00B40323"/>
    <w:rsid w:val="00B403BB"/>
    <w:rsid w:val="00B40591"/>
    <w:rsid w:val="00B40634"/>
    <w:rsid w:val="00B407D1"/>
    <w:rsid w:val="00B40920"/>
    <w:rsid w:val="00B40A25"/>
    <w:rsid w:val="00B40FEF"/>
    <w:rsid w:val="00B41058"/>
    <w:rsid w:val="00B41330"/>
    <w:rsid w:val="00B413ED"/>
    <w:rsid w:val="00B41410"/>
    <w:rsid w:val="00B415B3"/>
    <w:rsid w:val="00B416CB"/>
    <w:rsid w:val="00B41FDE"/>
    <w:rsid w:val="00B423A1"/>
    <w:rsid w:val="00B4253E"/>
    <w:rsid w:val="00B4261F"/>
    <w:rsid w:val="00B42754"/>
    <w:rsid w:val="00B42AFD"/>
    <w:rsid w:val="00B42CBB"/>
    <w:rsid w:val="00B42CC3"/>
    <w:rsid w:val="00B42DF4"/>
    <w:rsid w:val="00B42ED1"/>
    <w:rsid w:val="00B42FA8"/>
    <w:rsid w:val="00B43050"/>
    <w:rsid w:val="00B430B0"/>
    <w:rsid w:val="00B432D3"/>
    <w:rsid w:val="00B4343A"/>
    <w:rsid w:val="00B43698"/>
    <w:rsid w:val="00B436C2"/>
    <w:rsid w:val="00B43780"/>
    <w:rsid w:val="00B43944"/>
    <w:rsid w:val="00B43A07"/>
    <w:rsid w:val="00B43AE0"/>
    <w:rsid w:val="00B43BD9"/>
    <w:rsid w:val="00B43CB3"/>
    <w:rsid w:val="00B43CCC"/>
    <w:rsid w:val="00B43CEE"/>
    <w:rsid w:val="00B4405B"/>
    <w:rsid w:val="00B4406A"/>
    <w:rsid w:val="00B4409C"/>
    <w:rsid w:val="00B44188"/>
    <w:rsid w:val="00B443E4"/>
    <w:rsid w:val="00B44484"/>
    <w:rsid w:val="00B444C1"/>
    <w:rsid w:val="00B444F7"/>
    <w:rsid w:val="00B4453E"/>
    <w:rsid w:val="00B44842"/>
    <w:rsid w:val="00B4485A"/>
    <w:rsid w:val="00B4486D"/>
    <w:rsid w:val="00B449F3"/>
    <w:rsid w:val="00B44A4E"/>
    <w:rsid w:val="00B44A57"/>
    <w:rsid w:val="00B44B05"/>
    <w:rsid w:val="00B45089"/>
    <w:rsid w:val="00B45209"/>
    <w:rsid w:val="00B45260"/>
    <w:rsid w:val="00B45433"/>
    <w:rsid w:val="00B45602"/>
    <w:rsid w:val="00B45806"/>
    <w:rsid w:val="00B45895"/>
    <w:rsid w:val="00B45966"/>
    <w:rsid w:val="00B45A79"/>
    <w:rsid w:val="00B45B82"/>
    <w:rsid w:val="00B4614D"/>
    <w:rsid w:val="00B46178"/>
    <w:rsid w:val="00B46280"/>
    <w:rsid w:val="00B463C8"/>
    <w:rsid w:val="00B464E9"/>
    <w:rsid w:val="00B46526"/>
    <w:rsid w:val="00B465F9"/>
    <w:rsid w:val="00B466A6"/>
    <w:rsid w:val="00B466C5"/>
    <w:rsid w:val="00B46868"/>
    <w:rsid w:val="00B468DE"/>
    <w:rsid w:val="00B468F7"/>
    <w:rsid w:val="00B4690B"/>
    <w:rsid w:val="00B46AA3"/>
    <w:rsid w:val="00B46B13"/>
    <w:rsid w:val="00B46C14"/>
    <w:rsid w:val="00B46F82"/>
    <w:rsid w:val="00B472E3"/>
    <w:rsid w:val="00B474BC"/>
    <w:rsid w:val="00B47C1D"/>
    <w:rsid w:val="00B47CF3"/>
    <w:rsid w:val="00B47DB0"/>
    <w:rsid w:val="00B47E2E"/>
    <w:rsid w:val="00B47E8E"/>
    <w:rsid w:val="00B501AC"/>
    <w:rsid w:val="00B503C0"/>
    <w:rsid w:val="00B504AB"/>
    <w:rsid w:val="00B5050C"/>
    <w:rsid w:val="00B5053B"/>
    <w:rsid w:val="00B505C7"/>
    <w:rsid w:val="00B5063D"/>
    <w:rsid w:val="00B5075E"/>
    <w:rsid w:val="00B50B12"/>
    <w:rsid w:val="00B50BF9"/>
    <w:rsid w:val="00B50DBF"/>
    <w:rsid w:val="00B50DD8"/>
    <w:rsid w:val="00B50FB4"/>
    <w:rsid w:val="00B5158C"/>
    <w:rsid w:val="00B51759"/>
    <w:rsid w:val="00B518B7"/>
    <w:rsid w:val="00B51A34"/>
    <w:rsid w:val="00B526DD"/>
    <w:rsid w:val="00B52901"/>
    <w:rsid w:val="00B529EB"/>
    <w:rsid w:val="00B52A5B"/>
    <w:rsid w:val="00B52BF2"/>
    <w:rsid w:val="00B52D9E"/>
    <w:rsid w:val="00B52DCF"/>
    <w:rsid w:val="00B52F8C"/>
    <w:rsid w:val="00B53051"/>
    <w:rsid w:val="00B5322A"/>
    <w:rsid w:val="00B5336E"/>
    <w:rsid w:val="00B53456"/>
    <w:rsid w:val="00B53484"/>
    <w:rsid w:val="00B536DE"/>
    <w:rsid w:val="00B53735"/>
    <w:rsid w:val="00B538B0"/>
    <w:rsid w:val="00B53919"/>
    <w:rsid w:val="00B53B73"/>
    <w:rsid w:val="00B53BD4"/>
    <w:rsid w:val="00B53D55"/>
    <w:rsid w:val="00B541BB"/>
    <w:rsid w:val="00B549F6"/>
    <w:rsid w:val="00B54C03"/>
    <w:rsid w:val="00B54CC2"/>
    <w:rsid w:val="00B54CCD"/>
    <w:rsid w:val="00B54D3A"/>
    <w:rsid w:val="00B54FC0"/>
    <w:rsid w:val="00B5542D"/>
    <w:rsid w:val="00B554C4"/>
    <w:rsid w:val="00B554CA"/>
    <w:rsid w:val="00B55514"/>
    <w:rsid w:val="00B5568C"/>
    <w:rsid w:val="00B55D8D"/>
    <w:rsid w:val="00B55DA7"/>
    <w:rsid w:val="00B55F3F"/>
    <w:rsid w:val="00B5600D"/>
    <w:rsid w:val="00B5631A"/>
    <w:rsid w:val="00B563B8"/>
    <w:rsid w:val="00B56472"/>
    <w:rsid w:val="00B56820"/>
    <w:rsid w:val="00B56848"/>
    <w:rsid w:val="00B56874"/>
    <w:rsid w:val="00B569F9"/>
    <w:rsid w:val="00B56A5F"/>
    <w:rsid w:val="00B56B09"/>
    <w:rsid w:val="00B56E27"/>
    <w:rsid w:val="00B57259"/>
    <w:rsid w:val="00B57430"/>
    <w:rsid w:val="00B57533"/>
    <w:rsid w:val="00B600C1"/>
    <w:rsid w:val="00B600F8"/>
    <w:rsid w:val="00B60422"/>
    <w:rsid w:val="00B60446"/>
    <w:rsid w:val="00B605EC"/>
    <w:rsid w:val="00B6084C"/>
    <w:rsid w:val="00B60902"/>
    <w:rsid w:val="00B609D6"/>
    <w:rsid w:val="00B60A03"/>
    <w:rsid w:val="00B60BE6"/>
    <w:rsid w:val="00B60C50"/>
    <w:rsid w:val="00B60CC7"/>
    <w:rsid w:val="00B60F65"/>
    <w:rsid w:val="00B60FFB"/>
    <w:rsid w:val="00B61002"/>
    <w:rsid w:val="00B610D1"/>
    <w:rsid w:val="00B613A6"/>
    <w:rsid w:val="00B61477"/>
    <w:rsid w:val="00B61731"/>
    <w:rsid w:val="00B61825"/>
    <w:rsid w:val="00B6193D"/>
    <w:rsid w:val="00B61CC0"/>
    <w:rsid w:val="00B61E37"/>
    <w:rsid w:val="00B61ECD"/>
    <w:rsid w:val="00B61FC4"/>
    <w:rsid w:val="00B62320"/>
    <w:rsid w:val="00B6232E"/>
    <w:rsid w:val="00B626A1"/>
    <w:rsid w:val="00B62772"/>
    <w:rsid w:val="00B627CF"/>
    <w:rsid w:val="00B628ED"/>
    <w:rsid w:val="00B62C0D"/>
    <w:rsid w:val="00B62CD6"/>
    <w:rsid w:val="00B62E4B"/>
    <w:rsid w:val="00B62ED1"/>
    <w:rsid w:val="00B62FDA"/>
    <w:rsid w:val="00B63276"/>
    <w:rsid w:val="00B632DA"/>
    <w:rsid w:val="00B63354"/>
    <w:rsid w:val="00B63413"/>
    <w:rsid w:val="00B635C1"/>
    <w:rsid w:val="00B639C4"/>
    <w:rsid w:val="00B63AE0"/>
    <w:rsid w:val="00B63EF2"/>
    <w:rsid w:val="00B640F2"/>
    <w:rsid w:val="00B64346"/>
    <w:rsid w:val="00B645E4"/>
    <w:rsid w:val="00B6467F"/>
    <w:rsid w:val="00B647EB"/>
    <w:rsid w:val="00B64B78"/>
    <w:rsid w:val="00B64E72"/>
    <w:rsid w:val="00B65066"/>
    <w:rsid w:val="00B651F2"/>
    <w:rsid w:val="00B65235"/>
    <w:rsid w:val="00B6523F"/>
    <w:rsid w:val="00B65454"/>
    <w:rsid w:val="00B6569E"/>
    <w:rsid w:val="00B6570E"/>
    <w:rsid w:val="00B65816"/>
    <w:rsid w:val="00B65BF0"/>
    <w:rsid w:val="00B65D3F"/>
    <w:rsid w:val="00B65E76"/>
    <w:rsid w:val="00B66304"/>
    <w:rsid w:val="00B665AC"/>
    <w:rsid w:val="00B666C2"/>
    <w:rsid w:val="00B6683A"/>
    <w:rsid w:val="00B668F8"/>
    <w:rsid w:val="00B66A59"/>
    <w:rsid w:val="00B66ADC"/>
    <w:rsid w:val="00B66AE6"/>
    <w:rsid w:val="00B66F5A"/>
    <w:rsid w:val="00B67027"/>
    <w:rsid w:val="00B67070"/>
    <w:rsid w:val="00B67124"/>
    <w:rsid w:val="00B67252"/>
    <w:rsid w:val="00B675FA"/>
    <w:rsid w:val="00B6780B"/>
    <w:rsid w:val="00B67A62"/>
    <w:rsid w:val="00B67AFA"/>
    <w:rsid w:val="00B67BC4"/>
    <w:rsid w:val="00B67C11"/>
    <w:rsid w:val="00B67C8F"/>
    <w:rsid w:val="00B67D16"/>
    <w:rsid w:val="00B70542"/>
    <w:rsid w:val="00B70597"/>
    <w:rsid w:val="00B706D0"/>
    <w:rsid w:val="00B70739"/>
    <w:rsid w:val="00B70F17"/>
    <w:rsid w:val="00B70F1C"/>
    <w:rsid w:val="00B70F2F"/>
    <w:rsid w:val="00B70FA8"/>
    <w:rsid w:val="00B71013"/>
    <w:rsid w:val="00B71171"/>
    <w:rsid w:val="00B7142A"/>
    <w:rsid w:val="00B7143E"/>
    <w:rsid w:val="00B71453"/>
    <w:rsid w:val="00B71780"/>
    <w:rsid w:val="00B71801"/>
    <w:rsid w:val="00B71883"/>
    <w:rsid w:val="00B718F0"/>
    <w:rsid w:val="00B71B42"/>
    <w:rsid w:val="00B71BC0"/>
    <w:rsid w:val="00B71C6D"/>
    <w:rsid w:val="00B71E54"/>
    <w:rsid w:val="00B71E9A"/>
    <w:rsid w:val="00B71EB7"/>
    <w:rsid w:val="00B71F49"/>
    <w:rsid w:val="00B72374"/>
    <w:rsid w:val="00B724E4"/>
    <w:rsid w:val="00B7257A"/>
    <w:rsid w:val="00B72987"/>
    <w:rsid w:val="00B72A05"/>
    <w:rsid w:val="00B72E75"/>
    <w:rsid w:val="00B72F16"/>
    <w:rsid w:val="00B72FE1"/>
    <w:rsid w:val="00B730B3"/>
    <w:rsid w:val="00B73688"/>
    <w:rsid w:val="00B7389B"/>
    <w:rsid w:val="00B738D2"/>
    <w:rsid w:val="00B738F2"/>
    <w:rsid w:val="00B7392D"/>
    <w:rsid w:val="00B739B3"/>
    <w:rsid w:val="00B73B11"/>
    <w:rsid w:val="00B73BF4"/>
    <w:rsid w:val="00B73D23"/>
    <w:rsid w:val="00B73E55"/>
    <w:rsid w:val="00B73ED9"/>
    <w:rsid w:val="00B74099"/>
    <w:rsid w:val="00B7437F"/>
    <w:rsid w:val="00B744D9"/>
    <w:rsid w:val="00B7450D"/>
    <w:rsid w:val="00B74832"/>
    <w:rsid w:val="00B74838"/>
    <w:rsid w:val="00B74B49"/>
    <w:rsid w:val="00B74B56"/>
    <w:rsid w:val="00B74DB9"/>
    <w:rsid w:val="00B74DC2"/>
    <w:rsid w:val="00B75060"/>
    <w:rsid w:val="00B7520E"/>
    <w:rsid w:val="00B75211"/>
    <w:rsid w:val="00B752A5"/>
    <w:rsid w:val="00B75446"/>
    <w:rsid w:val="00B759D6"/>
    <w:rsid w:val="00B75DE0"/>
    <w:rsid w:val="00B75F62"/>
    <w:rsid w:val="00B76052"/>
    <w:rsid w:val="00B761B8"/>
    <w:rsid w:val="00B76AAD"/>
    <w:rsid w:val="00B76C6C"/>
    <w:rsid w:val="00B77341"/>
    <w:rsid w:val="00B7747D"/>
    <w:rsid w:val="00B7756D"/>
    <w:rsid w:val="00B77691"/>
    <w:rsid w:val="00B7776E"/>
    <w:rsid w:val="00B777BE"/>
    <w:rsid w:val="00B778F0"/>
    <w:rsid w:val="00B77998"/>
    <w:rsid w:val="00B779DF"/>
    <w:rsid w:val="00B77A7E"/>
    <w:rsid w:val="00B77D51"/>
    <w:rsid w:val="00B77DA9"/>
    <w:rsid w:val="00B77ED5"/>
    <w:rsid w:val="00B77F22"/>
    <w:rsid w:val="00B77F54"/>
    <w:rsid w:val="00B8065B"/>
    <w:rsid w:val="00B806AE"/>
    <w:rsid w:val="00B8074C"/>
    <w:rsid w:val="00B80909"/>
    <w:rsid w:val="00B80BAA"/>
    <w:rsid w:val="00B80EFE"/>
    <w:rsid w:val="00B81518"/>
    <w:rsid w:val="00B81664"/>
    <w:rsid w:val="00B816D8"/>
    <w:rsid w:val="00B81738"/>
    <w:rsid w:val="00B817C3"/>
    <w:rsid w:val="00B81888"/>
    <w:rsid w:val="00B81A27"/>
    <w:rsid w:val="00B81A4F"/>
    <w:rsid w:val="00B81C8B"/>
    <w:rsid w:val="00B820FC"/>
    <w:rsid w:val="00B82386"/>
    <w:rsid w:val="00B824DD"/>
    <w:rsid w:val="00B82609"/>
    <w:rsid w:val="00B8272D"/>
    <w:rsid w:val="00B82858"/>
    <w:rsid w:val="00B82B13"/>
    <w:rsid w:val="00B82B3D"/>
    <w:rsid w:val="00B82C19"/>
    <w:rsid w:val="00B82C93"/>
    <w:rsid w:val="00B82D8A"/>
    <w:rsid w:val="00B82DED"/>
    <w:rsid w:val="00B82FFD"/>
    <w:rsid w:val="00B8300F"/>
    <w:rsid w:val="00B83088"/>
    <w:rsid w:val="00B83092"/>
    <w:rsid w:val="00B8353E"/>
    <w:rsid w:val="00B83547"/>
    <w:rsid w:val="00B835CA"/>
    <w:rsid w:val="00B8397E"/>
    <w:rsid w:val="00B83BFE"/>
    <w:rsid w:val="00B84226"/>
    <w:rsid w:val="00B8437F"/>
    <w:rsid w:val="00B843EB"/>
    <w:rsid w:val="00B84589"/>
    <w:rsid w:val="00B84592"/>
    <w:rsid w:val="00B846CA"/>
    <w:rsid w:val="00B847B2"/>
    <w:rsid w:val="00B848C1"/>
    <w:rsid w:val="00B84984"/>
    <w:rsid w:val="00B84A90"/>
    <w:rsid w:val="00B84AB6"/>
    <w:rsid w:val="00B84D9F"/>
    <w:rsid w:val="00B84E98"/>
    <w:rsid w:val="00B84F51"/>
    <w:rsid w:val="00B84F8A"/>
    <w:rsid w:val="00B85345"/>
    <w:rsid w:val="00B856A1"/>
    <w:rsid w:val="00B856B6"/>
    <w:rsid w:val="00B856FC"/>
    <w:rsid w:val="00B85738"/>
    <w:rsid w:val="00B8587E"/>
    <w:rsid w:val="00B8597B"/>
    <w:rsid w:val="00B85EAB"/>
    <w:rsid w:val="00B8631F"/>
    <w:rsid w:val="00B8660D"/>
    <w:rsid w:val="00B86808"/>
    <w:rsid w:val="00B86C8B"/>
    <w:rsid w:val="00B86DC2"/>
    <w:rsid w:val="00B86DFE"/>
    <w:rsid w:val="00B86FB3"/>
    <w:rsid w:val="00B87124"/>
    <w:rsid w:val="00B87205"/>
    <w:rsid w:val="00B87403"/>
    <w:rsid w:val="00B8754B"/>
    <w:rsid w:val="00B876C3"/>
    <w:rsid w:val="00B876C8"/>
    <w:rsid w:val="00B878A5"/>
    <w:rsid w:val="00B87925"/>
    <w:rsid w:val="00B879A3"/>
    <w:rsid w:val="00B87AB8"/>
    <w:rsid w:val="00B87B4D"/>
    <w:rsid w:val="00B87B5B"/>
    <w:rsid w:val="00B87EE6"/>
    <w:rsid w:val="00B90059"/>
    <w:rsid w:val="00B90065"/>
    <w:rsid w:val="00B90123"/>
    <w:rsid w:val="00B9030D"/>
    <w:rsid w:val="00B9056B"/>
    <w:rsid w:val="00B907ED"/>
    <w:rsid w:val="00B909C6"/>
    <w:rsid w:val="00B90A7E"/>
    <w:rsid w:val="00B90CFD"/>
    <w:rsid w:val="00B90F31"/>
    <w:rsid w:val="00B911A8"/>
    <w:rsid w:val="00B9124A"/>
    <w:rsid w:val="00B912CD"/>
    <w:rsid w:val="00B91852"/>
    <w:rsid w:val="00B91B3A"/>
    <w:rsid w:val="00B91B55"/>
    <w:rsid w:val="00B91C0E"/>
    <w:rsid w:val="00B91CBF"/>
    <w:rsid w:val="00B91F52"/>
    <w:rsid w:val="00B920B8"/>
    <w:rsid w:val="00B92167"/>
    <w:rsid w:val="00B9254C"/>
    <w:rsid w:val="00B92584"/>
    <w:rsid w:val="00B925CE"/>
    <w:rsid w:val="00B925FD"/>
    <w:rsid w:val="00B927DF"/>
    <w:rsid w:val="00B9287B"/>
    <w:rsid w:val="00B92915"/>
    <w:rsid w:val="00B92C0E"/>
    <w:rsid w:val="00B92CB0"/>
    <w:rsid w:val="00B92D7E"/>
    <w:rsid w:val="00B9311F"/>
    <w:rsid w:val="00B932DC"/>
    <w:rsid w:val="00B9337B"/>
    <w:rsid w:val="00B93470"/>
    <w:rsid w:val="00B93512"/>
    <w:rsid w:val="00B93B7F"/>
    <w:rsid w:val="00B93E0E"/>
    <w:rsid w:val="00B9471A"/>
    <w:rsid w:val="00B9491D"/>
    <w:rsid w:val="00B949D8"/>
    <w:rsid w:val="00B94AE0"/>
    <w:rsid w:val="00B94B01"/>
    <w:rsid w:val="00B94FD8"/>
    <w:rsid w:val="00B950E7"/>
    <w:rsid w:val="00B95342"/>
    <w:rsid w:val="00B9574F"/>
    <w:rsid w:val="00B95856"/>
    <w:rsid w:val="00B95964"/>
    <w:rsid w:val="00B95A0A"/>
    <w:rsid w:val="00B95A72"/>
    <w:rsid w:val="00B95C44"/>
    <w:rsid w:val="00B95DA4"/>
    <w:rsid w:val="00B96364"/>
    <w:rsid w:val="00B964AA"/>
    <w:rsid w:val="00B964C5"/>
    <w:rsid w:val="00B9654D"/>
    <w:rsid w:val="00B96921"/>
    <w:rsid w:val="00B96A4D"/>
    <w:rsid w:val="00B96B7E"/>
    <w:rsid w:val="00B96BBC"/>
    <w:rsid w:val="00B96E45"/>
    <w:rsid w:val="00B96E4A"/>
    <w:rsid w:val="00B96EC4"/>
    <w:rsid w:val="00B96ECF"/>
    <w:rsid w:val="00B96F15"/>
    <w:rsid w:val="00B96F3B"/>
    <w:rsid w:val="00B96F52"/>
    <w:rsid w:val="00B97127"/>
    <w:rsid w:val="00B97388"/>
    <w:rsid w:val="00B9771C"/>
    <w:rsid w:val="00B97748"/>
    <w:rsid w:val="00B9777E"/>
    <w:rsid w:val="00B9795F"/>
    <w:rsid w:val="00B97B7E"/>
    <w:rsid w:val="00B97E1D"/>
    <w:rsid w:val="00B97F00"/>
    <w:rsid w:val="00BA014D"/>
    <w:rsid w:val="00BA01E4"/>
    <w:rsid w:val="00BA02B7"/>
    <w:rsid w:val="00BA04DC"/>
    <w:rsid w:val="00BA0846"/>
    <w:rsid w:val="00BA0884"/>
    <w:rsid w:val="00BA088B"/>
    <w:rsid w:val="00BA0A45"/>
    <w:rsid w:val="00BA0A55"/>
    <w:rsid w:val="00BA0D1C"/>
    <w:rsid w:val="00BA0D8F"/>
    <w:rsid w:val="00BA0FDF"/>
    <w:rsid w:val="00BA1175"/>
    <w:rsid w:val="00BA11AE"/>
    <w:rsid w:val="00BA13F3"/>
    <w:rsid w:val="00BA1611"/>
    <w:rsid w:val="00BA1682"/>
    <w:rsid w:val="00BA16D9"/>
    <w:rsid w:val="00BA176F"/>
    <w:rsid w:val="00BA1869"/>
    <w:rsid w:val="00BA18E9"/>
    <w:rsid w:val="00BA19BB"/>
    <w:rsid w:val="00BA1F96"/>
    <w:rsid w:val="00BA2071"/>
    <w:rsid w:val="00BA20A2"/>
    <w:rsid w:val="00BA216C"/>
    <w:rsid w:val="00BA2343"/>
    <w:rsid w:val="00BA2864"/>
    <w:rsid w:val="00BA2BD4"/>
    <w:rsid w:val="00BA2C7F"/>
    <w:rsid w:val="00BA2C92"/>
    <w:rsid w:val="00BA2DDA"/>
    <w:rsid w:val="00BA2E70"/>
    <w:rsid w:val="00BA309F"/>
    <w:rsid w:val="00BA33B2"/>
    <w:rsid w:val="00BA3728"/>
    <w:rsid w:val="00BA38DC"/>
    <w:rsid w:val="00BA3909"/>
    <w:rsid w:val="00BA3995"/>
    <w:rsid w:val="00BA3B7B"/>
    <w:rsid w:val="00BA3C9E"/>
    <w:rsid w:val="00BA3CC0"/>
    <w:rsid w:val="00BA3CF5"/>
    <w:rsid w:val="00BA3D98"/>
    <w:rsid w:val="00BA3E51"/>
    <w:rsid w:val="00BA4143"/>
    <w:rsid w:val="00BA418A"/>
    <w:rsid w:val="00BA4285"/>
    <w:rsid w:val="00BA4318"/>
    <w:rsid w:val="00BA455F"/>
    <w:rsid w:val="00BA45DE"/>
    <w:rsid w:val="00BA47A7"/>
    <w:rsid w:val="00BA47DA"/>
    <w:rsid w:val="00BA49CC"/>
    <w:rsid w:val="00BA4DD3"/>
    <w:rsid w:val="00BA4E06"/>
    <w:rsid w:val="00BA4E08"/>
    <w:rsid w:val="00BA4E4D"/>
    <w:rsid w:val="00BA51CE"/>
    <w:rsid w:val="00BA53F2"/>
    <w:rsid w:val="00BA5570"/>
    <w:rsid w:val="00BA5797"/>
    <w:rsid w:val="00BA5A83"/>
    <w:rsid w:val="00BA5ABC"/>
    <w:rsid w:val="00BA5B32"/>
    <w:rsid w:val="00BA5DD7"/>
    <w:rsid w:val="00BA5E08"/>
    <w:rsid w:val="00BA5EBE"/>
    <w:rsid w:val="00BA5FCF"/>
    <w:rsid w:val="00BA61C4"/>
    <w:rsid w:val="00BA6217"/>
    <w:rsid w:val="00BA643E"/>
    <w:rsid w:val="00BA6483"/>
    <w:rsid w:val="00BA6919"/>
    <w:rsid w:val="00BA69D2"/>
    <w:rsid w:val="00BA69F2"/>
    <w:rsid w:val="00BA6AF1"/>
    <w:rsid w:val="00BA6B06"/>
    <w:rsid w:val="00BA6B33"/>
    <w:rsid w:val="00BA7051"/>
    <w:rsid w:val="00BA7086"/>
    <w:rsid w:val="00BA7234"/>
    <w:rsid w:val="00BA739D"/>
    <w:rsid w:val="00BA7913"/>
    <w:rsid w:val="00BA795B"/>
    <w:rsid w:val="00BA7BDE"/>
    <w:rsid w:val="00BB0189"/>
    <w:rsid w:val="00BB0244"/>
    <w:rsid w:val="00BB0435"/>
    <w:rsid w:val="00BB0452"/>
    <w:rsid w:val="00BB047F"/>
    <w:rsid w:val="00BB0620"/>
    <w:rsid w:val="00BB08DA"/>
    <w:rsid w:val="00BB0A59"/>
    <w:rsid w:val="00BB0CA9"/>
    <w:rsid w:val="00BB0CB3"/>
    <w:rsid w:val="00BB0DE1"/>
    <w:rsid w:val="00BB10C0"/>
    <w:rsid w:val="00BB1101"/>
    <w:rsid w:val="00BB127C"/>
    <w:rsid w:val="00BB1313"/>
    <w:rsid w:val="00BB1332"/>
    <w:rsid w:val="00BB140C"/>
    <w:rsid w:val="00BB14FA"/>
    <w:rsid w:val="00BB1618"/>
    <w:rsid w:val="00BB18CF"/>
    <w:rsid w:val="00BB1E0D"/>
    <w:rsid w:val="00BB2105"/>
    <w:rsid w:val="00BB244E"/>
    <w:rsid w:val="00BB2784"/>
    <w:rsid w:val="00BB27B0"/>
    <w:rsid w:val="00BB2878"/>
    <w:rsid w:val="00BB2987"/>
    <w:rsid w:val="00BB2A30"/>
    <w:rsid w:val="00BB2ACD"/>
    <w:rsid w:val="00BB2D94"/>
    <w:rsid w:val="00BB2E56"/>
    <w:rsid w:val="00BB316E"/>
    <w:rsid w:val="00BB31DE"/>
    <w:rsid w:val="00BB32DC"/>
    <w:rsid w:val="00BB332C"/>
    <w:rsid w:val="00BB3354"/>
    <w:rsid w:val="00BB3477"/>
    <w:rsid w:val="00BB3974"/>
    <w:rsid w:val="00BB39A6"/>
    <w:rsid w:val="00BB3AED"/>
    <w:rsid w:val="00BB3B35"/>
    <w:rsid w:val="00BB3BA4"/>
    <w:rsid w:val="00BB3CAA"/>
    <w:rsid w:val="00BB3D56"/>
    <w:rsid w:val="00BB3E0B"/>
    <w:rsid w:val="00BB4235"/>
    <w:rsid w:val="00BB424B"/>
    <w:rsid w:val="00BB4276"/>
    <w:rsid w:val="00BB4424"/>
    <w:rsid w:val="00BB4522"/>
    <w:rsid w:val="00BB48C6"/>
    <w:rsid w:val="00BB498E"/>
    <w:rsid w:val="00BB4B1B"/>
    <w:rsid w:val="00BB4BE7"/>
    <w:rsid w:val="00BB4BF0"/>
    <w:rsid w:val="00BB4C6B"/>
    <w:rsid w:val="00BB4D93"/>
    <w:rsid w:val="00BB4F1D"/>
    <w:rsid w:val="00BB4FC3"/>
    <w:rsid w:val="00BB5092"/>
    <w:rsid w:val="00BB5334"/>
    <w:rsid w:val="00BB54C7"/>
    <w:rsid w:val="00BB5562"/>
    <w:rsid w:val="00BB5693"/>
    <w:rsid w:val="00BB56F4"/>
    <w:rsid w:val="00BB586E"/>
    <w:rsid w:val="00BB590A"/>
    <w:rsid w:val="00BB5EFA"/>
    <w:rsid w:val="00BB6997"/>
    <w:rsid w:val="00BB6A06"/>
    <w:rsid w:val="00BB6A37"/>
    <w:rsid w:val="00BB6A4A"/>
    <w:rsid w:val="00BB6C00"/>
    <w:rsid w:val="00BB6C63"/>
    <w:rsid w:val="00BB6E3B"/>
    <w:rsid w:val="00BB6ECA"/>
    <w:rsid w:val="00BB6EEF"/>
    <w:rsid w:val="00BB735E"/>
    <w:rsid w:val="00BB74C6"/>
    <w:rsid w:val="00BB750B"/>
    <w:rsid w:val="00BB756C"/>
    <w:rsid w:val="00BB763B"/>
    <w:rsid w:val="00BB7A92"/>
    <w:rsid w:val="00BB7B4E"/>
    <w:rsid w:val="00BB7F74"/>
    <w:rsid w:val="00BB7F92"/>
    <w:rsid w:val="00BC015F"/>
    <w:rsid w:val="00BC01C3"/>
    <w:rsid w:val="00BC0567"/>
    <w:rsid w:val="00BC06BD"/>
    <w:rsid w:val="00BC06C9"/>
    <w:rsid w:val="00BC08DD"/>
    <w:rsid w:val="00BC08E1"/>
    <w:rsid w:val="00BC0B1C"/>
    <w:rsid w:val="00BC0B73"/>
    <w:rsid w:val="00BC1281"/>
    <w:rsid w:val="00BC1309"/>
    <w:rsid w:val="00BC13C3"/>
    <w:rsid w:val="00BC1459"/>
    <w:rsid w:val="00BC146C"/>
    <w:rsid w:val="00BC1652"/>
    <w:rsid w:val="00BC16E8"/>
    <w:rsid w:val="00BC1A83"/>
    <w:rsid w:val="00BC1B08"/>
    <w:rsid w:val="00BC1D1F"/>
    <w:rsid w:val="00BC1E5F"/>
    <w:rsid w:val="00BC218F"/>
    <w:rsid w:val="00BC2202"/>
    <w:rsid w:val="00BC22A6"/>
    <w:rsid w:val="00BC2458"/>
    <w:rsid w:val="00BC2474"/>
    <w:rsid w:val="00BC2581"/>
    <w:rsid w:val="00BC26EB"/>
    <w:rsid w:val="00BC2703"/>
    <w:rsid w:val="00BC2D02"/>
    <w:rsid w:val="00BC2D28"/>
    <w:rsid w:val="00BC2E97"/>
    <w:rsid w:val="00BC2EA2"/>
    <w:rsid w:val="00BC2EB6"/>
    <w:rsid w:val="00BC302D"/>
    <w:rsid w:val="00BC3490"/>
    <w:rsid w:val="00BC3522"/>
    <w:rsid w:val="00BC360E"/>
    <w:rsid w:val="00BC360F"/>
    <w:rsid w:val="00BC364D"/>
    <w:rsid w:val="00BC3652"/>
    <w:rsid w:val="00BC38BB"/>
    <w:rsid w:val="00BC3948"/>
    <w:rsid w:val="00BC3CB9"/>
    <w:rsid w:val="00BC3CCA"/>
    <w:rsid w:val="00BC3D6F"/>
    <w:rsid w:val="00BC41AF"/>
    <w:rsid w:val="00BC42B1"/>
    <w:rsid w:val="00BC430A"/>
    <w:rsid w:val="00BC430B"/>
    <w:rsid w:val="00BC446A"/>
    <w:rsid w:val="00BC4982"/>
    <w:rsid w:val="00BC4AA1"/>
    <w:rsid w:val="00BC4C27"/>
    <w:rsid w:val="00BC4C4F"/>
    <w:rsid w:val="00BC4D9A"/>
    <w:rsid w:val="00BC51A4"/>
    <w:rsid w:val="00BC52C8"/>
    <w:rsid w:val="00BC541F"/>
    <w:rsid w:val="00BC584D"/>
    <w:rsid w:val="00BC5997"/>
    <w:rsid w:val="00BC5EB2"/>
    <w:rsid w:val="00BC5F02"/>
    <w:rsid w:val="00BC6093"/>
    <w:rsid w:val="00BC60DA"/>
    <w:rsid w:val="00BC6542"/>
    <w:rsid w:val="00BC681F"/>
    <w:rsid w:val="00BC69C0"/>
    <w:rsid w:val="00BC6A6B"/>
    <w:rsid w:val="00BC6AE4"/>
    <w:rsid w:val="00BC6DC5"/>
    <w:rsid w:val="00BC6EB7"/>
    <w:rsid w:val="00BC7003"/>
    <w:rsid w:val="00BC7217"/>
    <w:rsid w:val="00BC7603"/>
    <w:rsid w:val="00BC7618"/>
    <w:rsid w:val="00BC7773"/>
    <w:rsid w:val="00BC782E"/>
    <w:rsid w:val="00BC7893"/>
    <w:rsid w:val="00BC78A3"/>
    <w:rsid w:val="00BC7A9C"/>
    <w:rsid w:val="00BC7AD4"/>
    <w:rsid w:val="00BC7B1D"/>
    <w:rsid w:val="00BC7BA7"/>
    <w:rsid w:val="00BC7DC3"/>
    <w:rsid w:val="00BC7E35"/>
    <w:rsid w:val="00BC7E3F"/>
    <w:rsid w:val="00BC7FAC"/>
    <w:rsid w:val="00BD0056"/>
    <w:rsid w:val="00BD0136"/>
    <w:rsid w:val="00BD01C6"/>
    <w:rsid w:val="00BD0481"/>
    <w:rsid w:val="00BD0596"/>
    <w:rsid w:val="00BD09A3"/>
    <w:rsid w:val="00BD0A65"/>
    <w:rsid w:val="00BD0A88"/>
    <w:rsid w:val="00BD0ADE"/>
    <w:rsid w:val="00BD0AEB"/>
    <w:rsid w:val="00BD0CFC"/>
    <w:rsid w:val="00BD0EBE"/>
    <w:rsid w:val="00BD0F1A"/>
    <w:rsid w:val="00BD127E"/>
    <w:rsid w:val="00BD12D7"/>
    <w:rsid w:val="00BD1343"/>
    <w:rsid w:val="00BD138A"/>
    <w:rsid w:val="00BD14C0"/>
    <w:rsid w:val="00BD1553"/>
    <w:rsid w:val="00BD1697"/>
    <w:rsid w:val="00BD179B"/>
    <w:rsid w:val="00BD17A6"/>
    <w:rsid w:val="00BD17CF"/>
    <w:rsid w:val="00BD19CE"/>
    <w:rsid w:val="00BD1F10"/>
    <w:rsid w:val="00BD2048"/>
    <w:rsid w:val="00BD2643"/>
    <w:rsid w:val="00BD2961"/>
    <w:rsid w:val="00BD2AEE"/>
    <w:rsid w:val="00BD2B73"/>
    <w:rsid w:val="00BD2ECD"/>
    <w:rsid w:val="00BD3191"/>
    <w:rsid w:val="00BD3392"/>
    <w:rsid w:val="00BD3518"/>
    <w:rsid w:val="00BD361C"/>
    <w:rsid w:val="00BD3844"/>
    <w:rsid w:val="00BD3A46"/>
    <w:rsid w:val="00BD3AE8"/>
    <w:rsid w:val="00BD3BEC"/>
    <w:rsid w:val="00BD3D2C"/>
    <w:rsid w:val="00BD3ECB"/>
    <w:rsid w:val="00BD3EF3"/>
    <w:rsid w:val="00BD410F"/>
    <w:rsid w:val="00BD4223"/>
    <w:rsid w:val="00BD44C1"/>
    <w:rsid w:val="00BD46E8"/>
    <w:rsid w:val="00BD475A"/>
    <w:rsid w:val="00BD4999"/>
    <w:rsid w:val="00BD5242"/>
    <w:rsid w:val="00BD5277"/>
    <w:rsid w:val="00BD536B"/>
    <w:rsid w:val="00BD53DE"/>
    <w:rsid w:val="00BD54EC"/>
    <w:rsid w:val="00BD56D2"/>
    <w:rsid w:val="00BD570E"/>
    <w:rsid w:val="00BD5A24"/>
    <w:rsid w:val="00BD5B56"/>
    <w:rsid w:val="00BD5B84"/>
    <w:rsid w:val="00BD5BD0"/>
    <w:rsid w:val="00BD5E8E"/>
    <w:rsid w:val="00BD60BF"/>
    <w:rsid w:val="00BD611B"/>
    <w:rsid w:val="00BD62D6"/>
    <w:rsid w:val="00BD6387"/>
    <w:rsid w:val="00BD6835"/>
    <w:rsid w:val="00BD6971"/>
    <w:rsid w:val="00BD69C0"/>
    <w:rsid w:val="00BD6AFA"/>
    <w:rsid w:val="00BD6BB2"/>
    <w:rsid w:val="00BD6C28"/>
    <w:rsid w:val="00BD6C7A"/>
    <w:rsid w:val="00BD6F18"/>
    <w:rsid w:val="00BD711F"/>
    <w:rsid w:val="00BD72F7"/>
    <w:rsid w:val="00BD74CB"/>
    <w:rsid w:val="00BD7684"/>
    <w:rsid w:val="00BD78A5"/>
    <w:rsid w:val="00BD7956"/>
    <w:rsid w:val="00BD7B05"/>
    <w:rsid w:val="00BD7D9C"/>
    <w:rsid w:val="00BD7E41"/>
    <w:rsid w:val="00BD7FFE"/>
    <w:rsid w:val="00BE004B"/>
    <w:rsid w:val="00BE01B3"/>
    <w:rsid w:val="00BE024F"/>
    <w:rsid w:val="00BE02D9"/>
    <w:rsid w:val="00BE035F"/>
    <w:rsid w:val="00BE05C1"/>
    <w:rsid w:val="00BE0A2A"/>
    <w:rsid w:val="00BE0A30"/>
    <w:rsid w:val="00BE0A95"/>
    <w:rsid w:val="00BE0ABE"/>
    <w:rsid w:val="00BE0EEE"/>
    <w:rsid w:val="00BE11D6"/>
    <w:rsid w:val="00BE11FC"/>
    <w:rsid w:val="00BE1203"/>
    <w:rsid w:val="00BE122F"/>
    <w:rsid w:val="00BE1382"/>
    <w:rsid w:val="00BE1474"/>
    <w:rsid w:val="00BE1591"/>
    <w:rsid w:val="00BE15B5"/>
    <w:rsid w:val="00BE18B0"/>
    <w:rsid w:val="00BE19CB"/>
    <w:rsid w:val="00BE1B67"/>
    <w:rsid w:val="00BE1B6E"/>
    <w:rsid w:val="00BE1C95"/>
    <w:rsid w:val="00BE1FC9"/>
    <w:rsid w:val="00BE2485"/>
    <w:rsid w:val="00BE258E"/>
    <w:rsid w:val="00BE28FF"/>
    <w:rsid w:val="00BE2BC3"/>
    <w:rsid w:val="00BE2CE1"/>
    <w:rsid w:val="00BE2F20"/>
    <w:rsid w:val="00BE30BE"/>
    <w:rsid w:val="00BE32FF"/>
    <w:rsid w:val="00BE3435"/>
    <w:rsid w:val="00BE35BD"/>
    <w:rsid w:val="00BE35FB"/>
    <w:rsid w:val="00BE3647"/>
    <w:rsid w:val="00BE36B7"/>
    <w:rsid w:val="00BE3788"/>
    <w:rsid w:val="00BE393C"/>
    <w:rsid w:val="00BE3985"/>
    <w:rsid w:val="00BE3A69"/>
    <w:rsid w:val="00BE3BFB"/>
    <w:rsid w:val="00BE3E33"/>
    <w:rsid w:val="00BE4241"/>
    <w:rsid w:val="00BE4851"/>
    <w:rsid w:val="00BE48E7"/>
    <w:rsid w:val="00BE4B7A"/>
    <w:rsid w:val="00BE4F15"/>
    <w:rsid w:val="00BE4FD9"/>
    <w:rsid w:val="00BE51C4"/>
    <w:rsid w:val="00BE544F"/>
    <w:rsid w:val="00BE5462"/>
    <w:rsid w:val="00BE54FD"/>
    <w:rsid w:val="00BE5515"/>
    <w:rsid w:val="00BE553B"/>
    <w:rsid w:val="00BE555A"/>
    <w:rsid w:val="00BE5581"/>
    <w:rsid w:val="00BE563F"/>
    <w:rsid w:val="00BE56A1"/>
    <w:rsid w:val="00BE597C"/>
    <w:rsid w:val="00BE5C73"/>
    <w:rsid w:val="00BE5CCD"/>
    <w:rsid w:val="00BE5DDA"/>
    <w:rsid w:val="00BE6058"/>
    <w:rsid w:val="00BE6631"/>
    <w:rsid w:val="00BE6CFE"/>
    <w:rsid w:val="00BE6E40"/>
    <w:rsid w:val="00BE6EC3"/>
    <w:rsid w:val="00BE6F47"/>
    <w:rsid w:val="00BE6F6D"/>
    <w:rsid w:val="00BE707C"/>
    <w:rsid w:val="00BE72BE"/>
    <w:rsid w:val="00BE72ED"/>
    <w:rsid w:val="00BE7371"/>
    <w:rsid w:val="00BE739E"/>
    <w:rsid w:val="00BE743F"/>
    <w:rsid w:val="00BE7532"/>
    <w:rsid w:val="00BE7548"/>
    <w:rsid w:val="00BE75E8"/>
    <w:rsid w:val="00BE7765"/>
    <w:rsid w:val="00BE7897"/>
    <w:rsid w:val="00BE799B"/>
    <w:rsid w:val="00BE7C0D"/>
    <w:rsid w:val="00BE7CD9"/>
    <w:rsid w:val="00BE7EB4"/>
    <w:rsid w:val="00BF0250"/>
    <w:rsid w:val="00BF0317"/>
    <w:rsid w:val="00BF0357"/>
    <w:rsid w:val="00BF0476"/>
    <w:rsid w:val="00BF0736"/>
    <w:rsid w:val="00BF0A6A"/>
    <w:rsid w:val="00BF0DB3"/>
    <w:rsid w:val="00BF0DD6"/>
    <w:rsid w:val="00BF0E21"/>
    <w:rsid w:val="00BF0E80"/>
    <w:rsid w:val="00BF1435"/>
    <w:rsid w:val="00BF1710"/>
    <w:rsid w:val="00BF1850"/>
    <w:rsid w:val="00BF18C2"/>
    <w:rsid w:val="00BF1AE0"/>
    <w:rsid w:val="00BF1B30"/>
    <w:rsid w:val="00BF1BE5"/>
    <w:rsid w:val="00BF1C9F"/>
    <w:rsid w:val="00BF1CCB"/>
    <w:rsid w:val="00BF1FBD"/>
    <w:rsid w:val="00BF20BE"/>
    <w:rsid w:val="00BF2111"/>
    <w:rsid w:val="00BF22AE"/>
    <w:rsid w:val="00BF2368"/>
    <w:rsid w:val="00BF23F3"/>
    <w:rsid w:val="00BF24E3"/>
    <w:rsid w:val="00BF268B"/>
    <w:rsid w:val="00BF3047"/>
    <w:rsid w:val="00BF327A"/>
    <w:rsid w:val="00BF32F8"/>
    <w:rsid w:val="00BF3405"/>
    <w:rsid w:val="00BF350A"/>
    <w:rsid w:val="00BF3A7A"/>
    <w:rsid w:val="00BF3AEA"/>
    <w:rsid w:val="00BF3BEA"/>
    <w:rsid w:val="00BF3CF5"/>
    <w:rsid w:val="00BF3CFC"/>
    <w:rsid w:val="00BF418C"/>
    <w:rsid w:val="00BF435B"/>
    <w:rsid w:val="00BF48C9"/>
    <w:rsid w:val="00BF4A15"/>
    <w:rsid w:val="00BF4A69"/>
    <w:rsid w:val="00BF4C0E"/>
    <w:rsid w:val="00BF4CAB"/>
    <w:rsid w:val="00BF5197"/>
    <w:rsid w:val="00BF52D3"/>
    <w:rsid w:val="00BF53AA"/>
    <w:rsid w:val="00BF5588"/>
    <w:rsid w:val="00BF562D"/>
    <w:rsid w:val="00BF568E"/>
    <w:rsid w:val="00BF5CB1"/>
    <w:rsid w:val="00BF5E35"/>
    <w:rsid w:val="00BF5EB3"/>
    <w:rsid w:val="00BF5FF0"/>
    <w:rsid w:val="00BF603C"/>
    <w:rsid w:val="00BF60E2"/>
    <w:rsid w:val="00BF637C"/>
    <w:rsid w:val="00BF66F7"/>
    <w:rsid w:val="00BF671E"/>
    <w:rsid w:val="00BF689C"/>
    <w:rsid w:val="00BF69DD"/>
    <w:rsid w:val="00BF69FA"/>
    <w:rsid w:val="00BF6A7A"/>
    <w:rsid w:val="00BF6AD5"/>
    <w:rsid w:val="00BF6DE8"/>
    <w:rsid w:val="00BF6F03"/>
    <w:rsid w:val="00BF6FD1"/>
    <w:rsid w:val="00BF72C7"/>
    <w:rsid w:val="00BF75D7"/>
    <w:rsid w:val="00BF7B47"/>
    <w:rsid w:val="00BF7F3A"/>
    <w:rsid w:val="00C0003C"/>
    <w:rsid w:val="00C00228"/>
    <w:rsid w:val="00C002D3"/>
    <w:rsid w:val="00C00364"/>
    <w:rsid w:val="00C003CF"/>
    <w:rsid w:val="00C00492"/>
    <w:rsid w:val="00C00554"/>
    <w:rsid w:val="00C006A4"/>
    <w:rsid w:val="00C006C2"/>
    <w:rsid w:val="00C0083B"/>
    <w:rsid w:val="00C008C4"/>
    <w:rsid w:val="00C00F14"/>
    <w:rsid w:val="00C01086"/>
    <w:rsid w:val="00C01293"/>
    <w:rsid w:val="00C01335"/>
    <w:rsid w:val="00C014CB"/>
    <w:rsid w:val="00C0152D"/>
    <w:rsid w:val="00C016D2"/>
    <w:rsid w:val="00C01951"/>
    <w:rsid w:val="00C01A8D"/>
    <w:rsid w:val="00C01D6D"/>
    <w:rsid w:val="00C01D7A"/>
    <w:rsid w:val="00C0254D"/>
    <w:rsid w:val="00C029A0"/>
    <w:rsid w:val="00C02B32"/>
    <w:rsid w:val="00C02D33"/>
    <w:rsid w:val="00C0324B"/>
    <w:rsid w:val="00C033C5"/>
    <w:rsid w:val="00C034B3"/>
    <w:rsid w:val="00C035C3"/>
    <w:rsid w:val="00C036FA"/>
    <w:rsid w:val="00C03E3A"/>
    <w:rsid w:val="00C03EED"/>
    <w:rsid w:val="00C04236"/>
    <w:rsid w:val="00C0429E"/>
    <w:rsid w:val="00C0444B"/>
    <w:rsid w:val="00C0451F"/>
    <w:rsid w:val="00C047FA"/>
    <w:rsid w:val="00C04A47"/>
    <w:rsid w:val="00C04C80"/>
    <w:rsid w:val="00C04F94"/>
    <w:rsid w:val="00C04FA1"/>
    <w:rsid w:val="00C0503D"/>
    <w:rsid w:val="00C0547B"/>
    <w:rsid w:val="00C058D5"/>
    <w:rsid w:val="00C05B6B"/>
    <w:rsid w:val="00C05BA4"/>
    <w:rsid w:val="00C05BBC"/>
    <w:rsid w:val="00C05BE9"/>
    <w:rsid w:val="00C05CAA"/>
    <w:rsid w:val="00C05D6F"/>
    <w:rsid w:val="00C05DED"/>
    <w:rsid w:val="00C063EF"/>
    <w:rsid w:val="00C06526"/>
    <w:rsid w:val="00C065EA"/>
    <w:rsid w:val="00C066ED"/>
    <w:rsid w:val="00C067FC"/>
    <w:rsid w:val="00C069A9"/>
    <w:rsid w:val="00C069EC"/>
    <w:rsid w:val="00C06B62"/>
    <w:rsid w:val="00C06C10"/>
    <w:rsid w:val="00C06C2D"/>
    <w:rsid w:val="00C06C5B"/>
    <w:rsid w:val="00C06D97"/>
    <w:rsid w:val="00C06E24"/>
    <w:rsid w:val="00C07168"/>
    <w:rsid w:val="00C072F1"/>
    <w:rsid w:val="00C07356"/>
    <w:rsid w:val="00C07755"/>
    <w:rsid w:val="00C07794"/>
    <w:rsid w:val="00C077F7"/>
    <w:rsid w:val="00C0796D"/>
    <w:rsid w:val="00C07BAA"/>
    <w:rsid w:val="00C07C70"/>
    <w:rsid w:val="00C07D6C"/>
    <w:rsid w:val="00C07DAF"/>
    <w:rsid w:val="00C07EE1"/>
    <w:rsid w:val="00C07EE9"/>
    <w:rsid w:val="00C07F6F"/>
    <w:rsid w:val="00C100F0"/>
    <w:rsid w:val="00C1033A"/>
    <w:rsid w:val="00C10384"/>
    <w:rsid w:val="00C106F3"/>
    <w:rsid w:val="00C107B0"/>
    <w:rsid w:val="00C107BF"/>
    <w:rsid w:val="00C10868"/>
    <w:rsid w:val="00C108A4"/>
    <w:rsid w:val="00C109E4"/>
    <w:rsid w:val="00C10A1B"/>
    <w:rsid w:val="00C10D1F"/>
    <w:rsid w:val="00C10F8F"/>
    <w:rsid w:val="00C11090"/>
    <w:rsid w:val="00C11149"/>
    <w:rsid w:val="00C111E5"/>
    <w:rsid w:val="00C1161A"/>
    <w:rsid w:val="00C116FD"/>
    <w:rsid w:val="00C11730"/>
    <w:rsid w:val="00C1173F"/>
    <w:rsid w:val="00C117CA"/>
    <w:rsid w:val="00C118E9"/>
    <w:rsid w:val="00C11A38"/>
    <w:rsid w:val="00C11CF4"/>
    <w:rsid w:val="00C11E5B"/>
    <w:rsid w:val="00C11E5D"/>
    <w:rsid w:val="00C11F10"/>
    <w:rsid w:val="00C12882"/>
    <w:rsid w:val="00C12BA2"/>
    <w:rsid w:val="00C12C56"/>
    <w:rsid w:val="00C13118"/>
    <w:rsid w:val="00C13323"/>
    <w:rsid w:val="00C13503"/>
    <w:rsid w:val="00C13519"/>
    <w:rsid w:val="00C137C1"/>
    <w:rsid w:val="00C138E5"/>
    <w:rsid w:val="00C13A57"/>
    <w:rsid w:val="00C13B01"/>
    <w:rsid w:val="00C13D2C"/>
    <w:rsid w:val="00C13FD7"/>
    <w:rsid w:val="00C14048"/>
    <w:rsid w:val="00C1411E"/>
    <w:rsid w:val="00C141AC"/>
    <w:rsid w:val="00C143CD"/>
    <w:rsid w:val="00C143F0"/>
    <w:rsid w:val="00C14425"/>
    <w:rsid w:val="00C145E7"/>
    <w:rsid w:val="00C14783"/>
    <w:rsid w:val="00C149A9"/>
    <w:rsid w:val="00C14A13"/>
    <w:rsid w:val="00C14B23"/>
    <w:rsid w:val="00C14F43"/>
    <w:rsid w:val="00C150DF"/>
    <w:rsid w:val="00C150F4"/>
    <w:rsid w:val="00C155DD"/>
    <w:rsid w:val="00C1573E"/>
    <w:rsid w:val="00C157CE"/>
    <w:rsid w:val="00C15D92"/>
    <w:rsid w:val="00C16233"/>
    <w:rsid w:val="00C165A5"/>
    <w:rsid w:val="00C1692C"/>
    <w:rsid w:val="00C16BBA"/>
    <w:rsid w:val="00C16E56"/>
    <w:rsid w:val="00C16EE9"/>
    <w:rsid w:val="00C16F25"/>
    <w:rsid w:val="00C16F61"/>
    <w:rsid w:val="00C172CE"/>
    <w:rsid w:val="00C173AD"/>
    <w:rsid w:val="00C175AA"/>
    <w:rsid w:val="00C175DE"/>
    <w:rsid w:val="00C17711"/>
    <w:rsid w:val="00C177A8"/>
    <w:rsid w:val="00C177F4"/>
    <w:rsid w:val="00C178EF"/>
    <w:rsid w:val="00C17D6E"/>
    <w:rsid w:val="00C17E05"/>
    <w:rsid w:val="00C17F4F"/>
    <w:rsid w:val="00C200DD"/>
    <w:rsid w:val="00C2015F"/>
    <w:rsid w:val="00C202D9"/>
    <w:rsid w:val="00C20381"/>
    <w:rsid w:val="00C20429"/>
    <w:rsid w:val="00C204D2"/>
    <w:rsid w:val="00C20770"/>
    <w:rsid w:val="00C20778"/>
    <w:rsid w:val="00C207FE"/>
    <w:rsid w:val="00C20993"/>
    <w:rsid w:val="00C20CF0"/>
    <w:rsid w:val="00C20EC3"/>
    <w:rsid w:val="00C21057"/>
    <w:rsid w:val="00C210F8"/>
    <w:rsid w:val="00C212B9"/>
    <w:rsid w:val="00C212BE"/>
    <w:rsid w:val="00C21525"/>
    <w:rsid w:val="00C21820"/>
    <w:rsid w:val="00C218B4"/>
    <w:rsid w:val="00C21994"/>
    <w:rsid w:val="00C21AA8"/>
    <w:rsid w:val="00C21C45"/>
    <w:rsid w:val="00C21D99"/>
    <w:rsid w:val="00C21E34"/>
    <w:rsid w:val="00C21E89"/>
    <w:rsid w:val="00C21FB9"/>
    <w:rsid w:val="00C2210E"/>
    <w:rsid w:val="00C221AC"/>
    <w:rsid w:val="00C22283"/>
    <w:rsid w:val="00C227E5"/>
    <w:rsid w:val="00C22810"/>
    <w:rsid w:val="00C22E2A"/>
    <w:rsid w:val="00C22F58"/>
    <w:rsid w:val="00C2319D"/>
    <w:rsid w:val="00C23582"/>
    <w:rsid w:val="00C235E2"/>
    <w:rsid w:val="00C23B5D"/>
    <w:rsid w:val="00C23DE3"/>
    <w:rsid w:val="00C23DEA"/>
    <w:rsid w:val="00C23F51"/>
    <w:rsid w:val="00C24115"/>
    <w:rsid w:val="00C243EE"/>
    <w:rsid w:val="00C249EA"/>
    <w:rsid w:val="00C24E3E"/>
    <w:rsid w:val="00C24FD3"/>
    <w:rsid w:val="00C2506C"/>
    <w:rsid w:val="00C250C0"/>
    <w:rsid w:val="00C25250"/>
    <w:rsid w:val="00C256CC"/>
    <w:rsid w:val="00C2579D"/>
    <w:rsid w:val="00C25870"/>
    <w:rsid w:val="00C25DBD"/>
    <w:rsid w:val="00C25E74"/>
    <w:rsid w:val="00C26108"/>
    <w:rsid w:val="00C26144"/>
    <w:rsid w:val="00C261D6"/>
    <w:rsid w:val="00C2626D"/>
    <w:rsid w:val="00C263A5"/>
    <w:rsid w:val="00C263DB"/>
    <w:rsid w:val="00C267DA"/>
    <w:rsid w:val="00C268FF"/>
    <w:rsid w:val="00C269D8"/>
    <w:rsid w:val="00C26A1A"/>
    <w:rsid w:val="00C26C9B"/>
    <w:rsid w:val="00C2708D"/>
    <w:rsid w:val="00C275D9"/>
    <w:rsid w:val="00C27642"/>
    <w:rsid w:val="00C2784B"/>
    <w:rsid w:val="00C27920"/>
    <w:rsid w:val="00C27CC3"/>
    <w:rsid w:val="00C30274"/>
    <w:rsid w:val="00C3030B"/>
    <w:rsid w:val="00C30710"/>
    <w:rsid w:val="00C30A03"/>
    <w:rsid w:val="00C30A56"/>
    <w:rsid w:val="00C30C39"/>
    <w:rsid w:val="00C30C81"/>
    <w:rsid w:val="00C30DFB"/>
    <w:rsid w:val="00C30F38"/>
    <w:rsid w:val="00C30F5F"/>
    <w:rsid w:val="00C3125A"/>
    <w:rsid w:val="00C31565"/>
    <w:rsid w:val="00C3165F"/>
    <w:rsid w:val="00C316B5"/>
    <w:rsid w:val="00C31795"/>
    <w:rsid w:val="00C318AA"/>
    <w:rsid w:val="00C319FA"/>
    <w:rsid w:val="00C31B8D"/>
    <w:rsid w:val="00C31BD5"/>
    <w:rsid w:val="00C31D83"/>
    <w:rsid w:val="00C31F46"/>
    <w:rsid w:val="00C32622"/>
    <w:rsid w:val="00C32881"/>
    <w:rsid w:val="00C329D3"/>
    <w:rsid w:val="00C32AD3"/>
    <w:rsid w:val="00C32D14"/>
    <w:rsid w:val="00C32E41"/>
    <w:rsid w:val="00C3303B"/>
    <w:rsid w:val="00C331A4"/>
    <w:rsid w:val="00C3320F"/>
    <w:rsid w:val="00C33240"/>
    <w:rsid w:val="00C333A0"/>
    <w:rsid w:val="00C3346B"/>
    <w:rsid w:val="00C33637"/>
    <w:rsid w:val="00C336D5"/>
    <w:rsid w:val="00C3376B"/>
    <w:rsid w:val="00C3394C"/>
    <w:rsid w:val="00C33989"/>
    <w:rsid w:val="00C33ADC"/>
    <w:rsid w:val="00C33E87"/>
    <w:rsid w:val="00C33EE8"/>
    <w:rsid w:val="00C33F91"/>
    <w:rsid w:val="00C342BC"/>
    <w:rsid w:val="00C344B8"/>
    <w:rsid w:val="00C346F0"/>
    <w:rsid w:val="00C34759"/>
    <w:rsid w:val="00C3478B"/>
    <w:rsid w:val="00C34807"/>
    <w:rsid w:val="00C348A4"/>
    <w:rsid w:val="00C34C43"/>
    <w:rsid w:val="00C34C67"/>
    <w:rsid w:val="00C34CB0"/>
    <w:rsid w:val="00C34CC5"/>
    <w:rsid w:val="00C34EC5"/>
    <w:rsid w:val="00C35024"/>
    <w:rsid w:val="00C35219"/>
    <w:rsid w:val="00C35381"/>
    <w:rsid w:val="00C353C8"/>
    <w:rsid w:val="00C35500"/>
    <w:rsid w:val="00C35540"/>
    <w:rsid w:val="00C3568C"/>
    <w:rsid w:val="00C3579C"/>
    <w:rsid w:val="00C359E7"/>
    <w:rsid w:val="00C35ABB"/>
    <w:rsid w:val="00C35B42"/>
    <w:rsid w:val="00C35B90"/>
    <w:rsid w:val="00C35BFE"/>
    <w:rsid w:val="00C35CC1"/>
    <w:rsid w:val="00C35D17"/>
    <w:rsid w:val="00C35D41"/>
    <w:rsid w:val="00C35F33"/>
    <w:rsid w:val="00C36079"/>
    <w:rsid w:val="00C361BF"/>
    <w:rsid w:val="00C361CC"/>
    <w:rsid w:val="00C3621D"/>
    <w:rsid w:val="00C362EB"/>
    <w:rsid w:val="00C36510"/>
    <w:rsid w:val="00C36568"/>
    <w:rsid w:val="00C365C6"/>
    <w:rsid w:val="00C369E0"/>
    <w:rsid w:val="00C36CE4"/>
    <w:rsid w:val="00C36D2B"/>
    <w:rsid w:val="00C36EEA"/>
    <w:rsid w:val="00C3719E"/>
    <w:rsid w:val="00C371E5"/>
    <w:rsid w:val="00C37325"/>
    <w:rsid w:val="00C37411"/>
    <w:rsid w:val="00C37433"/>
    <w:rsid w:val="00C37472"/>
    <w:rsid w:val="00C37BF2"/>
    <w:rsid w:val="00C37F21"/>
    <w:rsid w:val="00C40123"/>
    <w:rsid w:val="00C40128"/>
    <w:rsid w:val="00C40157"/>
    <w:rsid w:val="00C4037D"/>
    <w:rsid w:val="00C406B3"/>
    <w:rsid w:val="00C40944"/>
    <w:rsid w:val="00C40BBA"/>
    <w:rsid w:val="00C40C37"/>
    <w:rsid w:val="00C40F23"/>
    <w:rsid w:val="00C4130B"/>
    <w:rsid w:val="00C414F5"/>
    <w:rsid w:val="00C41746"/>
    <w:rsid w:val="00C41B1D"/>
    <w:rsid w:val="00C41DC3"/>
    <w:rsid w:val="00C41DE9"/>
    <w:rsid w:val="00C41EB4"/>
    <w:rsid w:val="00C41F0B"/>
    <w:rsid w:val="00C41F41"/>
    <w:rsid w:val="00C42065"/>
    <w:rsid w:val="00C4208E"/>
    <w:rsid w:val="00C420BE"/>
    <w:rsid w:val="00C422EE"/>
    <w:rsid w:val="00C4235B"/>
    <w:rsid w:val="00C424A5"/>
    <w:rsid w:val="00C4253F"/>
    <w:rsid w:val="00C42624"/>
    <w:rsid w:val="00C4268A"/>
    <w:rsid w:val="00C4288F"/>
    <w:rsid w:val="00C428D2"/>
    <w:rsid w:val="00C42BDB"/>
    <w:rsid w:val="00C42C2C"/>
    <w:rsid w:val="00C42C51"/>
    <w:rsid w:val="00C42CAD"/>
    <w:rsid w:val="00C42CC8"/>
    <w:rsid w:val="00C42D84"/>
    <w:rsid w:val="00C42EC8"/>
    <w:rsid w:val="00C42ED5"/>
    <w:rsid w:val="00C42F1B"/>
    <w:rsid w:val="00C433EA"/>
    <w:rsid w:val="00C435B1"/>
    <w:rsid w:val="00C43839"/>
    <w:rsid w:val="00C43ACD"/>
    <w:rsid w:val="00C44267"/>
    <w:rsid w:val="00C4436E"/>
    <w:rsid w:val="00C4447D"/>
    <w:rsid w:val="00C44604"/>
    <w:rsid w:val="00C44E78"/>
    <w:rsid w:val="00C44EB5"/>
    <w:rsid w:val="00C4507D"/>
    <w:rsid w:val="00C45145"/>
    <w:rsid w:val="00C4542B"/>
    <w:rsid w:val="00C457E7"/>
    <w:rsid w:val="00C4593A"/>
    <w:rsid w:val="00C45975"/>
    <w:rsid w:val="00C45A1F"/>
    <w:rsid w:val="00C45BA1"/>
    <w:rsid w:val="00C45C17"/>
    <w:rsid w:val="00C45D0D"/>
    <w:rsid w:val="00C466D6"/>
    <w:rsid w:val="00C46872"/>
    <w:rsid w:val="00C46A22"/>
    <w:rsid w:val="00C46DD7"/>
    <w:rsid w:val="00C46E3F"/>
    <w:rsid w:val="00C46E4D"/>
    <w:rsid w:val="00C47639"/>
    <w:rsid w:val="00C47C13"/>
    <w:rsid w:val="00C47E5A"/>
    <w:rsid w:val="00C47EF1"/>
    <w:rsid w:val="00C47FF1"/>
    <w:rsid w:val="00C502DF"/>
    <w:rsid w:val="00C502E6"/>
    <w:rsid w:val="00C50319"/>
    <w:rsid w:val="00C5034E"/>
    <w:rsid w:val="00C503A4"/>
    <w:rsid w:val="00C5061D"/>
    <w:rsid w:val="00C508A5"/>
    <w:rsid w:val="00C508E4"/>
    <w:rsid w:val="00C5097F"/>
    <w:rsid w:val="00C50983"/>
    <w:rsid w:val="00C50C4D"/>
    <w:rsid w:val="00C51274"/>
    <w:rsid w:val="00C51290"/>
    <w:rsid w:val="00C51400"/>
    <w:rsid w:val="00C5147F"/>
    <w:rsid w:val="00C51BF7"/>
    <w:rsid w:val="00C51F8E"/>
    <w:rsid w:val="00C52247"/>
    <w:rsid w:val="00C52384"/>
    <w:rsid w:val="00C526C5"/>
    <w:rsid w:val="00C529D9"/>
    <w:rsid w:val="00C52A76"/>
    <w:rsid w:val="00C52C88"/>
    <w:rsid w:val="00C52FB3"/>
    <w:rsid w:val="00C5318F"/>
    <w:rsid w:val="00C53192"/>
    <w:rsid w:val="00C532E2"/>
    <w:rsid w:val="00C533C6"/>
    <w:rsid w:val="00C53856"/>
    <w:rsid w:val="00C53B7F"/>
    <w:rsid w:val="00C53C96"/>
    <w:rsid w:val="00C53DA0"/>
    <w:rsid w:val="00C53E5E"/>
    <w:rsid w:val="00C53F97"/>
    <w:rsid w:val="00C541F1"/>
    <w:rsid w:val="00C5435E"/>
    <w:rsid w:val="00C5481D"/>
    <w:rsid w:val="00C54AAF"/>
    <w:rsid w:val="00C54D94"/>
    <w:rsid w:val="00C55216"/>
    <w:rsid w:val="00C55502"/>
    <w:rsid w:val="00C556EC"/>
    <w:rsid w:val="00C55732"/>
    <w:rsid w:val="00C55837"/>
    <w:rsid w:val="00C55BD1"/>
    <w:rsid w:val="00C55FAE"/>
    <w:rsid w:val="00C560EF"/>
    <w:rsid w:val="00C56108"/>
    <w:rsid w:val="00C5615D"/>
    <w:rsid w:val="00C561B4"/>
    <w:rsid w:val="00C562EC"/>
    <w:rsid w:val="00C56344"/>
    <w:rsid w:val="00C56448"/>
    <w:rsid w:val="00C56665"/>
    <w:rsid w:val="00C56794"/>
    <w:rsid w:val="00C567D8"/>
    <w:rsid w:val="00C56B8E"/>
    <w:rsid w:val="00C571F3"/>
    <w:rsid w:val="00C577D7"/>
    <w:rsid w:val="00C57A4B"/>
    <w:rsid w:val="00C57E00"/>
    <w:rsid w:val="00C603F2"/>
    <w:rsid w:val="00C60408"/>
    <w:rsid w:val="00C6049C"/>
    <w:rsid w:val="00C605A9"/>
    <w:rsid w:val="00C605F9"/>
    <w:rsid w:val="00C60681"/>
    <w:rsid w:val="00C606DA"/>
    <w:rsid w:val="00C60987"/>
    <w:rsid w:val="00C60A31"/>
    <w:rsid w:val="00C60DC5"/>
    <w:rsid w:val="00C60EBE"/>
    <w:rsid w:val="00C60F0C"/>
    <w:rsid w:val="00C60FE6"/>
    <w:rsid w:val="00C61067"/>
    <w:rsid w:val="00C610CB"/>
    <w:rsid w:val="00C61103"/>
    <w:rsid w:val="00C61386"/>
    <w:rsid w:val="00C613D7"/>
    <w:rsid w:val="00C613E6"/>
    <w:rsid w:val="00C6181A"/>
    <w:rsid w:val="00C619E7"/>
    <w:rsid w:val="00C61A4B"/>
    <w:rsid w:val="00C61AA9"/>
    <w:rsid w:val="00C61BA5"/>
    <w:rsid w:val="00C61D12"/>
    <w:rsid w:val="00C61DCD"/>
    <w:rsid w:val="00C61E2D"/>
    <w:rsid w:val="00C620C8"/>
    <w:rsid w:val="00C6212A"/>
    <w:rsid w:val="00C6234C"/>
    <w:rsid w:val="00C6254E"/>
    <w:rsid w:val="00C625B6"/>
    <w:rsid w:val="00C625C9"/>
    <w:rsid w:val="00C626BE"/>
    <w:rsid w:val="00C62975"/>
    <w:rsid w:val="00C6312C"/>
    <w:rsid w:val="00C633DB"/>
    <w:rsid w:val="00C633E2"/>
    <w:rsid w:val="00C63515"/>
    <w:rsid w:val="00C637B5"/>
    <w:rsid w:val="00C638EA"/>
    <w:rsid w:val="00C63AC0"/>
    <w:rsid w:val="00C63B35"/>
    <w:rsid w:val="00C63B80"/>
    <w:rsid w:val="00C63DE2"/>
    <w:rsid w:val="00C63EAC"/>
    <w:rsid w:val="00C63F0F"/>
    <w:rsid w:val="00C63F80"/>
    <w:rsid w:val="00C63FDC"/>
    <w:rsid w:val="00C64053"/>
    <w:rsid w:val="00C6436E"/>
    <w:rsid w:val="00C644EA"/>
    <w:rsid w:val="00C6470F"/>
    <w:rsid w:val="00C6493D"/>
    <w:rsid w:val="00C64991"/>
    <w:rsid w:val="00C64F55"/>
    <w:rsid w:val="00C651AD"/>
    <w:rsid w:val="00C651E7"/>
    <w:rsid w:val="00C652BA"/>
    <w:rsid w:val="00C6539A"/>
    <w:rsid w:val="00C655AE"/>
    <w:rsid w:val="00C657A4"/>
    <w:rsid w:val="00C659B0"/>
    <w:rsid w:val="00C659E0"/>
    <w:rsid w:val="00C65C9A"/>
    <w:rsid w:val="00C65FA5"/>
    <w:rsid w:val="00C663C3"/>
    <w:rsid w:val="00C66A4C"/>
    <w:rsid w:val="00C66FCA"/>
    <w:rsid w:val="00C671BD"/>
    <w:rsid w:val="00C674E3"/>
    <w:rsid w:val="00C677E0"/>
    <w:rsid w:val="00C679A8"/>
    <w:rsid w:val="00C679CC"/>
    <w:rsid w:val="00C67A2E"/>
    <w:rsid w:val="00C67A85"/>
    <w:rsid w:val="00C67B24"/>
    <w:rsid w:val="00C67B3B"/>
    <w:rsid w:val="00C67B52"/>
    <w:rsid w:val="00C7023F"/>
    <w:rsid w:val="00C70255"/>
    <w:rsid w:val="00C70561"/>
    <w:rsid w:val="00C70672"/>
    <w:rsid w:val="00C70823"/>
    <w:rsid w:val="00C709D8"/>
    <w:rsid w:val="00C709E1"/>
    <w:rsid w:val="00C70A15"/>
    <w:rsid w:val="00C70AD8"/>
    <w:rsid w:val="00C70D90"/>
    <w:rsid w:val="00C70E7F"/>
    <w:rsid w:val="00C70F28"/>
    <w:rsid w:val="00C710F3"/>
    <w:rsid w:val="00C716C7"/>
    <w:rsid w:val="00C71A8D"/>
    <w:rsid w:val="00C71C89"/>
    <w:rsid w:val="00C71CC9"/>
    <w:rsid w:val="00C7217B"/>
    <w:rsid w:val="00C721E2"/>
    <w:rsid w:val="00C722DE"/>
    <w:rsid w:val="00C723C4"/>
    <w:rsid w:val="00C7253A"/>
    <w:rsid w:val="00C7258B"/>
    <w:rsid w:val="00C72601"/>
    <w:rsid w:val="00C7269C"/>
    <w:rsid w:val="00C7275E"/>
    <w:rsid w:val="00C727F4"/>
    <w:rsid w:val="00C72993"/>
    <w:rsid w:val="00C72A0E"/>
    <w:rsid w:val="00C72B02"/>
    <w:rsid w:val="00C72B80"/>
    <w:rsid w:val="00C72CAD"/>
    <w:rsid w:val="00C72CEC"/>
    <w:rsid w:val="00C72D07"/>
    <w:rsid w:val="00C72DE8"/>
    <w:rsid w:val="00C72EBC"/>
    <w:rsid w:val="00C73102"/>
    <w:rsid w:val="00C7316C"/>
    <w:rsid w:val="00C7320A"/>
    <w:rsid w:val="00C73643"/>
    <w:rsid w:val="00C73690"/>
    <w:rsid w:val="00C738A3"/>
    <w:rsid w:val="00C738EB"/>
    <w:rsid w:val="00C7390C"/>
    <w:rsid w:val="00C739DB"/>
    <w:rsid w:val="00C73AB3"/>
    <w:rsid w:val="00C73AE6"/>
    <w:rsid w:val="00C73D28"/>
    <w:rsid w:val="00C73EA7"/>
    <w:rsid w:val="00C7421B"/>
    <w:rsid w:val="00C74375"/>
    <w:rsid w:val="00C74443"/>
    <w:rsid w:val="00C74506"/>
    <w:rsid w:val="00C7450E"/>
    <w:rsid w:val="00C7461D"/>
    <w:rsid w:val="00C74665"/>
    <w:rsid w:val="00C746E5"/>
    <w:rsid w:val="00C74EFC"/>
    <w:rsid w:val="00C74F2A"/>
    <w:rsid w:val="00C75105"/>
    <w:rsid w:val="00C75229"/>
    <w:rsid w:val="00C752D7"/>
    <w:rsid w:val="00C753CD"/>
    <w:rsid w:val="00C754AB"/>
    <w:rsid w:val="00C75561"/>
    <w:rsid w:val="00C75587"/>
    <w:rsid w:val="00C755FB"/>
    <w:rsid w:val="00C7584F"/>
    <w:rsid w:val="00C75985"/>
    <w:rsid w:val="00C759FE"/>
    <w:rsid w:val="00C75A78"/>
    <w:rsid w:val="00C75DF7"/>
    <w:rsid w:val="00C75E5B"/>
    <w:rsid w:val="00C75E6D"/>
    <w:rsid w:val="00C75EAB"/>
    <w:rsid w:val="00C762A3"/>
    <w:rsid w:val="00C7649E"/>
    <w:rsid w:val="00C76518"/>
    <w:rsid w:val="00C76527"/>
    <w:rsid w:val="00C767E5"/>
    <w:rsid w:val="00C7684B"/>
    <w:rsid w:val="00C768E7"/>
    <w:rsid w:val="00C76AC6"/>
    <w:rsid w:val="00C76B04"/>
    <w:rsid w:val="00C76C36"/>
    <w:rsid w:val="00C76CE8"/>
    <w:rsid w:val="00C76D50"/>
    <w:rsid w:val="00C770D6"/>
    <w:rsid w:val="00C77102"/>
    <w:rsid w:val="00C77164"/>
    <w:rsid w:val="00C772E2"/>
    <w:rsid w:val="00C77514"/>
    <w:rsid w:val="00C77550"/>
    <w:rsid w:val="00C77576"/>
    <w:rsid w:val="00C77924"/>
    <w:rsid w:val="00C77B23"/>
    <w:rsid w:val="00C77B7C"/>
    <w:rsid w:val="00C77BDC"/>
    <w:rsid w:val="00C77D1A"/>
    <w:rsid w:val="00C77FDF"/>
    <w:rsid w:val="00C802C8"/>
    <w:rsid w:val="00C805C1"/>
    <w:rsid w:val="00C8062B"/>
    <w:rsid w:val="00C806CC"/>
    <w:rsid w:val="00C80811"/>
    <w:rsid w:val="00C80A25"/>
    <w:rsid w:val="00C80AB6"/>
    <w:rsid w:val="00C80AC9"/>
    <w:rsid w:val="00C80E65"/>
    <w:rsid w:val="00C80E7F"/>
    <w:rsid w:val="00C81149"/>
    <w:rsid w:val="00C811EA"/>
    <w:rsid w:val="00C814C0"/>
    <w:rsid w:val="00C815B4"/>
    <w:rsid w:val="00C81841"/>
    <w:rsid w:val="00C818DF"/>
    <w:rsid w:val="00C81DDF"/>
    <w:rsid w:val="00C822F5"/>
    <w:rsid w:val="00C8267D"/>
    <w:rsid w:val="00C826A8"/>
    <w:rsid w:val="00C827F8"/>
    <w:rsid w:val="00C82B1D"/>
    <w:rsid w:val="00C82CD7"/>
    <w:rsid w:val="00C82FCE"/>
    <w:rsid w:val="00C8319C"/>
    <w:rsid w:val="00C83238"/>
    <w:rsid w:val="00C8349E"/>
    <w:rsid w:val="00C83605"/>
    <w:rsid w:val="00C83655"/>
    <w:rsid w:val="00C83C20"/>
    <w:rsid w:val="00C83C98"/>
    <w:rsid w:val="00C83D9C"/>
    <w:rsid w:val="00C83DC5"/>
    <w:rsid w:val="00C83E0D"/>
    <w:rsid w:val="00C84093"/>
    <w:rsid w:val="00C8445A"/>
    <w:rsid w:val="00C845CD"/>
    <w:rsid w:val="00C84D2A"/>
    <w:rsid w:val="00C84E40"/>
    <w:rsid w:val="00C84E69"/>
    <w:rsid w:val="00C85104"/>
    <w:rsid w:val="00C8522B"/>
    <w:rsid w:val="00C85301"/>
    <w:rsid w:val="00C85376"/>
    <w:rsid w:val="00C854D9"/>
    <w:rsid w:val="00C8570A"/>
    <w:rsid w:val="00C85772"/>
    <w:rsid w:val="00C857ED"/>
    <w:rsid w:val="00C85817"/>
    <w:rsid w:val="00C85EB3"/>
    <w:rsid w:val="00C86261"/>
    <w:rsid w:val="00C86BEE"/>
    <w:rsid w:val="00C86C7B"/>
    <w:rsid w:val="00C86C8C"/>
    <w:rsid w:val="00C870A5"/>
    <w:rsid w:val="00C8757D"/>
    <w:rsid w:val="00C87684"/>
    <w:rsid w:val="00C87726"/>
    <w:rsid w:val="00C8785F"/>
    <w:rsid w:val="00C87C44"/>
    <w:rsid w:val="00C87D7F"/>
    <w:rsid w:val="00C9004A"/>
    <w:rsid w:val="00C90146"/>
    <w:rsid w:val="00C90502"/>
    <w:rsid w:val="00C9065D"/>
    <w:rsid w:val="00C90A69"/>
    <w:rsid w:val="00C90C02"/>
    <w:rsid w:val="00C90C23"/>
    <w:rsid w:val="00C90C27"/>
    <w:rsid w:val="00C90E79"/>
    <w:rsid w:val="00C90F40"/>
    <w:rsid w:val="00C90F7B"/>
    <w:rsid w:val="00C91107"/>
    <w:rsid w:val="00C911BD"/>
    <w:rsid w:val="00C91368"/>
    <w:rsid w:val="00C9163E"/>
    <w:rsid w:val="00C9175B"/>
    <w:rsid w:val="00C91E7E"/>
    <w:rsid w:val="00C91EA4"/>
    <w:rsid w:val="00C91FEB"/>
    <w:rsid w:val="00C92089"/>
    <w:rsid w:val="00C92257"/>
    <w:rsid w:val="00C923B9"/>
    <w:rsid w:val="00C92658"/>
    <w:rsid w:val="00C92749"/>
    <w:rsid w:val="00C9278B"/>
    <w:rsid w:val="00C927C5"/>
    <w:rsid w:val="00C928C5"/>
    <w:rsid w:val="00C92A2B"/>
    <w:rsid w:val="00C92AF2"/>
    <w:rsid w:val="00C92C7E"/>
    <w:rsid w:val="00C92CF8"/>
    <w:rsid w:val="00C92DA1"/>
    <w:rsid w:val="00C92E6D"/>
    <w:rsid w:val="00C93004"/>
    <w:rsid w:val="00C93116"/>
    <w:rsid w:val="00C93122"/>
    <w:rsid w:val="00C9341C"/>
    <w:rsid w:val="00C93648"/>
    <w:rsid w:val="00C936DE"/>
    <w:rsid w:val="00C93ACD"/>
    <w:rsid w:val="00C93BBD"/>
    <w:rsid w:val="00C93D7D"/>
    <w:rsid w:val="00C93E86"/>
    <w:rsid w:val="00C94106"/>
    <w:rsid w:val="00C942E6"/>
    <w:rsid w:val="00C9437B"/>
    <w:rsid w:val="00C943A7"/>
    <w:rsid w:val="00C944AA"/>
    <w:rsid w:val="00C944F4"/>
    <w:rsid w:val="00C946D3"/>
    <w:rsid w:val="00C94973"/>
    <w:rsid w:val="00C94DA4"/>
    <w:rsid w:val="00C94E69"/>
    <w:rsid w:val="00C94E88"/>
    <w:rsid w:val="00C94F72"/>
    <w:rsid w:val="00C95045"/>
    <w:rsid w:val="00C9508D"/>
    <w:rsid w:val="00C9515D"/>
    <w:rsid w:val="00C9523A"/>
    <w:rsid w:val="00C95469"/>
    <w:rsid w:val="00C95B6F"/>
    <w:rsid w:val="00C9609D"/>
    <w:rsid w:val="00C96159"/>
    <w:rsid w:val="00C9637A"/>
    <w:rsid w:val="00C963CA"/>
    <w:rsid w:val="00C96405"/>
    <w:rsid w:val="00C96512"/>
    <w:rsid w:val="00C96534"/>
    <w:rsid w:val="00C967F2"/>
    <w:rsid w:val="00C96921"/>
    <w:rsid w:val="00C96965"/>
    <w:rsid w:val="00C96A59"/>
    <w:rsid w:val="00C96A78"/>
    <w:rsid w:val="00C96C73"/>
    <w:rsid w:val="00C96CE2"/>
    <w:rsid w:val="00C96DD5"/>
    <w:rsid w:val="00C97946"/>
    <w:rsid w:val="00C9794B"/>
    <w:rsid w:val="00C9797F"/>
    <w:rsid w:val="00C97A9A"/>
    <w:rsid w:val="00C97BB5"/>
    <w:rsid w:val="00C97C4E"/>
    <w:rsid w:val="00C97D95"/>
    <w:rsid w:val="00C97E1C"/>
    <w:rsid w:val="00C97F64"/>
    <w:rsid w:val="00CA0162"/>
    <w:rsid w:val="00CA01C9"/>
    <w:rsid w:val="00CA023E"/>
    <w:rsid w:val="00CA04AC"/>
    <w:rsid w:val="00CA057E"/>
    <w:rsid w:val="00CA07E1"/>
    <w:rsid w:val="00CA0928"/>
    <w:rsid w:val="00CA0959"/>
    <w:rsid w:val="00CA0A02"/>
    <w:rsid w:val="00CA0BF5"/>
    <w:rsid w:val="00CA0C2F"/>
    <w:rsid w:val="00CA0DEA"/>
    <w:rsid w:val="00CA0F69"/>
    <w:rsid w:val="00CA0FEF"/>
    <w:rsid w:val="00CA1523"/>
    <w:rsid w:val="00CA159B"/>
    <w:rsid w:val="00CA169A"/>
    <w:rsid w:val="00CA16A4"/>
    <w:rsid w:val="00CA17F5"/>
    <w:rsid w:val="00CA1825"/>
    <w:rsid w:val="00CA198F"/>
    <w:rsid w:val="00CA1B6D"/>
    <w:rsid w:val="00CA1C4A"/>
    <w:rsid w:val="00CA1DFF"/>
    <w:rsid w:val="00CA1E30"/>
    <w:rsid w:val="00CA228A"/>
    <w:rsid w:val="00CA231E"/>
    <w:rsid w:val="00CA2388"/>
    <w:rsid w:val="00CA2436"/>
    <w:rsid w:val="00CA29CC"/>
    <w:rsid w:val="00CA2A4B"/>
    <w:rsid w:val="00CA2AAD"/>
    <w:rsid w:val="00CA2B63"/>
    <w:rsid w:val="00CA30C8"/>
    <w:rsid w:val="00CA3430"/>
    <w:rsid w:val="00CA34DC"/>
    <w:rsid w:val="00CA3AED"/>
    <w:rsid w:val="00CA3D18"/>
    <w:rsid w:val="00CA3E89"/>
    <w:rsid w:val="00CA4051"/>
    <w:rsid w:val="00CA434E"/>
    <w:rsid w:val="00CA434F"/>
    <w:rsid w:val="00CA4764"/>
    <w:rsid w:val="00CA47A2"/>
    <w:rsid w:val="00CA496D"/>
    <w:rsid w:val="00CA498E"/>
    <w:rsid w:val="00CA4C06"/>
    <w:rsid w:val="00CA4D8C"/>
    <w:rsid w:val="00CA4EB2"/>
    <w:rsid w:val="00CA4FA8"/>
    <w:rsid w:val="00CA4FCF"/>
    <w:rsid w:val="00CA501F"/>
    <w:rsid w:val="00CA504F"/>
    <w:rsid w:val="00CA5149"/>
    <w:rsid w:val="00CA53D8"/>
    <w:rsid w:val="00CA54EE"/>
    <w:rsid w:val="00CA55AE"/>
    <w:rsid w:val="00CA571E"/>
    <w:rsid w:val="00CA57B6"/>
    <w:rsid w:val="00CA5817"/>
    <w:rsid w:val="00CA584D"/>
    <w:rsid w:val="00CA5E7F"/>
    <w:rsid w:val="00CA6328"/>
    <w:rsid w:val="00CA6620"/>
    <w:rsid w:val="00CA663A"/>
    <w:rsid w:val="00CA66E9"/>
    <w:rsid w:val="00CA6729"/>
    <w:rsid w:val="00CA6835"/>
    <w:rsid w:val="00CA6860"/>
    <w:rsid w:val="00CA6926"/>
    <w:rsid w:val="00CA6CE2"/>
    <w:rsid w:val="00CA6D36"/>
    <w:rsid w:val="00CA7068"/>
    <w:rsid w:val="00CA708B"/>
    <w:rsid w:val="00CA70D8"/>
    <w:rsid w:val="00CA71D5"/>
    <w:rsid w:val="00CA77D1"/>
    <w:rsid w:val="00CA77D9"/>
    <w:rsid w:val="00CA7903"/>
    <w:rsid w:val="00CA7EB1"/>
    <w:rsid w:val="00CA7F83"/>
    <w:rsid w:val="00CB031F"/>
    <w:rsid w:val="00CB0604"/>
    <w:rsid w:val="00CB0982"/>
    <w:rsid w:val="00CB0C43"/>
    <w:rsid w:val="00CB0F45"/>
    <w:rsid w:val="00CB0F76"/>
    <w:rsid w:val="00CB0F9D"/>
    <w:rsid w:val="00CB0FF2"/>
    <w:rsid w:val="00CB102A"/>
    <w:rsid w:val="00CB10DF"/>
    <w:rsid w:val="00CB112C"/>
    <w:rsid w:val="00CB11EF"/>
    <w:rsid w:val="00CB13B5"/>
    <w:rsid w:val="00CB158D"/>
    <w:rsid w:val="00CB1664"/>
    <w:rsid w:val="00CB1697"/>
    <w:rsid w:val="00CB172D"/>
    <w:rsid w:val="00CB1980"/>
    <w:rsid w:val="00CB1BB3"/>
    <w:rsid w:val="00CB1C74"/>
    <w:rsid w:val="00CB1D5D"/>
    <w:rsid w:val="00CB23BE"/>
    <w:rsid w:val="00CB2446"/>
    <w:rsid w:val="00CB246B"/>
    <w:rsid w:val="00CB2517"/>
    <w:rsid w:val="00CB25E9"/>
    <w:rsid w:val="00CB261F"/>
    <w:rsid w:val="00CB276E"/>
    <w:rsid w:val="00CB2796"/>
    <w:rsid w:val="00CB2961"/>
    <w:rsid w:val="00CB2973"/>
    <w:rsid w:val="00CB29D4"/>
    <w:rsid w:val="00CB2BC9"/>
    <w:rsid w:val="00CB2C51"/>
    <w:rsid w:val="00CB2ECE"/>
    <w:rsid w:val="00CB33C1"/>
    <w:rsid w:val="00CB3A39"/>
    <w:rsid w:val="00CB3AD0"/>
    <w:rsid w:val="00CB3C9D"/>
    <w:rsid w:val="00CB3E56"/>
    <w:rsid w:val="00CB3F78"/>
    <w:rsid w:val="00CB3FF9"/>
    <w:rsid w:val="00CB403E"/>
    <w:rsid w:val="00CB407F"/>
    <w:rsid w:val="00CB4118"/>
    <w:rsid w:val="00CB4133"/>
    <w:rsid w:val="00CB42EA"/>
    <w:rsid w:val="00CB449D"/>
    <w:rsid w:val="00CB454E"/>
    <w:rsid w:val="00CB48ED"/>
    <w:rsid w:val="00CB4A95"/>
    <w:rsid w:val="00CB4B50"/>
    <w:rsid w:val="00CB4E9A"/>
    <w:rsid w:val="00CB4EED"/>
    <w:rsid w:val="00CB54D7"/>
    <w:rsid w:val="00CB54D9"/>
    <w:rsid w:val="00CB5625"/>
    <w:rsid w:val="00CB566A"/>
    <w:rsid w:val="00CB56DF"/>
    <w:rsid w:val="00CB5984"/>
    <w:rsid w:val="00CB5A46"/>
    <w:rsid w:val="00CB5B26"/>
    <w:rsid w:val="00CB5D3E"/>
    <w:rsid w:val="00CB5D75"/>
    <w:rsid w:val="00CB5E51"/>
    <w:rsid w:val="00CB5EB8"/>
    <w:rsid w:val="00CB5F3D"/>
    <w:rsid w:val="00CB5F50"/>
    <w:rsid w:val="00CB609F"/>
    <w:rsid w:val="00CB636B"/>
    <w:rsid w:val="00CB6ADA"/>
    <w:rsid w:val="00CB6CE4"/>
    <w:rsid w:val="00CB6DB9"/>
    <w:rsid w:val="00CB6E3F"/>
    <w:rsid w:val="00CB7082"/>
    <w:rsid w:val="00CB70F3"/>
    <w:rsid w:val="00CB7450"/>
    <w:rsid w:val="00CB7464"/>
    <w:rsid w:val="00CB767B"/>
    <w:rsid w:val="00CB783B"/>
    <w:rsid w:val="00CB7F02"/>
    <w:rsid w:val="00CB7FF4"/>
    <w:rsid w:val="00CC0159"/>
    <w:rsid w:val="00CC0195"/>
    <w:rsid w:val="00CC01A6"/>
    <w:rsid w:val="00CC052C"/>
    <w:rsid w:val="00CC05DE"/>
    <w:rsid w:val="00CC0643"/>
    <w:rsid w:val="00CC07CE"/>
    <w:rsid w:val="00CC0856"/>
    <w:rsid w:val="00CC08FA"/>
    <w:rsid w:val="00CC0C10"/>
    <w:rsid w:val="00CC0D26"/>
    <w:rsid w:val="00CC0DEF"/>
    <w:rsid w:val="00CC0E69"/>
    <w:rsid w:val="00CC142D"/>
    <w:rsid w:val="00CC1489"/>
    <w:rsid w:val="00CC14F4"/>
    <w:rsid w:val="00CC1548"/>
    <w:rsid w:val="00CC164F"/>
    <w:rsid w:val="00CC16AD"/>
    <w:rsid w:val="00CC1DFE"/>
    <w:rsid w:val="00CC1E05"/>
    <w:rsid w:val="00CC1F7F"/>
    <w:rsid w:val="00CC2232"/>
    <w:rsid w:val="00CC2237"/>
    <w:rsid w:val="00CC2495"/>
    <w:rsid w:val="00CC28E7"/>
    <w:rsid w:val="00CC28FD"/>
    <w:rsid w:val="00CC2D06"/>
    <w:rsid w:val="00CC2DAE"/>
    <w:rsid w:val="00CC3258"/>
    <w:rsid w:val="00CC3259"/>
    <w:rsid w:val="00CC32DE"/>
    <w:rsid w:val="00CC33AB"/>
    <w:rsid w:val="00CC3693"/>
    <w:rsid w:val="00CC3736"/>
    <w:rsid w:val="00CC3B7E"/>
    <w:rsid w:val="00CC3CDD"/>
    <w:rsid w:val="00CC3D4D"/>
    <w:rsid w:val="00CC3E50"/>
    <w:rsid w:val="00CC3F06"/>
    <w:rsid w:val="00CC4157"/>
    <w:rsid w:val="00CC419A"/>
    <w:rsid w:val="00CC442F"/>
    <w:rsid w:val="00CC48A0"/>
    <w:rsid w:val="00CC4ADB"/>
    <w:rsid w:val="00CC5345"/>
    <w:rsid w:val="00CC548B"/>
    <w:rsid w:val="00CC54CC"/>
    <w:rsid w:val="00CC55B5"/>
    <w:rsid w:val="00CC5727"/>
    <w:rsid w:val="00CC5735"/>
    <w:rsid w:val="00CC5899"/>
    <w:rsid w:val="00CC58A5"/>
    <w:rsid w:val="00CC5973"/>
    <w:rsid w:val="00CC5980"/>
    <w:rsid w:val="00CC59CE"/>
    <w:rsid w:val="00CC5C03"/>
    <w:rsid w:val="00CC5C33"/>
    <w:rsid w:val="00CC5C47"/>
    <w:rsid w:val="00CC5D19"/>
    <w:rsid w:val="00CC5E32"/>
    <w:rsid w:val="00CC6122"/>
    <w:rsid w:val="00CC6183"/>
    <w:rsid w:val="00CC62DC"/>
    <w:rsid w:val="00CC632E"/>
    <w:rsid w:val="00CC63DD"/>
    <w:rsid w:val="00CC649A"/>
    <w:rsid w:val="00CC6A67"/>
    <w:rsid w:val="00CC6D93"/>
    <w:rsid w:val="00CC6E4C"/>
    <w:rsid w:val="00CC7178"/>
    <w:rsid w:val="00CC7259"/>
    <w:rsid w:val="00CC72CC"/>
    <w:rsid w:val="00CC747E"/>
    <w:rsid w:val="00CC74F5"/>
    <w:rsid w:val="00CC7636"/>
    <w:rsid w:val="00CC7C19"/>
    <w:rsid w:val="00CC7CF0"/>
    <w:rsid w:val="00CC7F98"/>
    <w:rsid w:val="00CD00C0"/>
    <w:rsid w:val="00CD0168"/>
    <w:rsid w:val="00CD0208"/>
    <w:rsid w:val="00CD0424"/>
    <w:rsid w:val="00CD048C"/>
    <w:rsid w:val="00CD05E5"/>
    <w:rsid w:val="00CD06FA"/>
    <w:rsid w:val="00CD07A9"/>
    <w:rsid w:val="00CD08B8"/>
    <w:rsid w:val="00CD0A18"/>
    <w:rsid w:val="00CD0B1F"/>
    <w:rsid w:val="00CD0C89"/>
    <w:rsid w:val="00CD0CA5"/>
    <w:rsid w:val="00CD0CE5"/>
    <w:rsid w:val="00CD0D79"/>
    <w:rsid w:val="00CD101D"/>
    <w:rsid w:val="00CD10F9"/>
    <w:rsid w:val="00CD1141"/>
    <w:rsid w:val="00CD1315"/>
    <w:rsid w:val="00CD14BB"/>
    <w:rsid w:val="00CD1AAB"/>
    <w:rsid w:val="00CD1C11"/>
    <w:rsid w:val="00CD1CDD"/>
    <w:rsid w:val="00CD1DA0"/>
    <w:rsid w:val="00CD1DC5"/>
    <w:rsid w:val="00CD1E59"/>
    <w:rsid w:val="00CD1E9E"/>
    <w:rsid w:val="00CD2224"/>
    <w:rsid w:val="00CD2270"/>
    <w:rsid w:val="00CD227C"/>
    <w:rsid w:val="00CD22A2"/>
    <w:rsid w:val="00CD24A6"/>
    <w:rsid w:val="00CD2659"/>
    <w:rsid w:val="00CD2889"/>
    <w:rsid w:val="00CD304D"/>
    <w:rsid w:val="00CD3212"/>
    <w:rsid w:val="00CD325F"/>
    <w:rsid w:val="00CD3714"/>
    <w:rsid w:val="00CD37CE"/>
    <w:rsid w:val="00CD37EB"/>
    <w:rsid w:val="00CD3994"/>
    <w:rsid w:val="00CD3BFF"/>
    <w:rsid w:val="00CD3E19"/>
    <w:rsid w:val="00CD3E25"/>
    <w:rsid w:val="00CD3FE7"/>
    <w:rsid w:val="00CD40C3"/>
    <w:rsid w:val="00CD41DD"/>
    <w:rsid w:val="00CD421B"/>
    <w:rsid w:val="00CD4375"/>
    <w:rsid w:val="00CD43FA"/>
    <w:rsid w:val="00CD4533"/>
    <w:rsid w:val="00CD492F"/>
    <w:rsid w:val="00CD4975"/>
    <w:rsid w:val="00CD4B30"/>
    <w:rsid w:val="00CD4B52"/>
    <w:rsid w:val="00CD4BC3"/>
    <w:rsid w:val="00CD4C71"/>
    <w:rsid w:val="00CD4DD1"/>
    <w:rsid w:val="00CD4F0F"/>
    <w:rsid w:val="00CD51F3"/>
    <w:rsid w:val="00CD53D1"/>
    <w:rsid w:val="00CD53DB"/>
    <w:rsid w:val="00CD5735"/>
    <w:rsid w:val="00CD58AB"/>
    <w:rsid w:val="00CD603B"/>
    <w:rsid w:val="00CD6048"/>
    <w:rsid w:val="00CD604A"/>
    <w:rsid w:val="00CD6203"/>
    <w:rsid w:val="00CD642E"/>
    <w:rsid w:val="00CD6534"/>
    <w:rsid w:val="00CD6704"/>
    <w:rsid w:val="00CD698D"/>
    <w:rsid w:val="00CD6AA7"/>
    <w:rsid w:val="00CD6C7A"/>
    <w:rsid w:val="00CD6CC4"/>
    <w:rsid w:val="00CD7133"/>
    <w:rsid w:val="00CD7143"/>
    <w:rsid w:val="00CD734D"/>
    <w:rsid w:val="00CD765A"/>
    <w:rsid w:val="00CD7776"/>
    <w:rsid w:val="00CD780E"/>
    <w:rsid w:val="00CD78F5"/>
    <w:rsid w:val="00CD7CB4"/>
    <w:rsid w:val="00CD7D54"/>
    <w:rsid w:val="00CD7E80"/>
    <w:rsid w:val="00CD7E9E"/>
    <w:rsid w:val="00CD7F94"/>
    <w:rsid w:val="00CE0011"/>
    <w:rsid w:val="00CE01C6"/>
    <w:rsid w:val="00CE0398"/>
    <w:rsid w:val="00CE03D2"/>
    <w:rsid w:val="00CE03E2"/>
    <w:rsid w:val="00CE03E6"/>
    <w:rsid w:val="00CE03FF"/>
    <w:rsid w:val="00CE064F"/>
    <w:rsid w:val="00CE06D9"/>
    <w:rsid w:val="00CE092A"/>
    <w:rsid w:val="00CE0B15"/>
    <w:rsid w:val="00CE0BC0"/>
    <w:rsid w:val="00CE0BE8"/>
    <w:rsid w:val="00CE0FF0"/>
    <w:rsid w:val="00CE113D"/>
    <w:rsid w:val="00CE1324"/>
    <w:rsid w:val="00CE1374"/>
    <w:rsid w:val="00CE1503"/>
    <w:rsid w:val="00CE1682"/>
    <w:rsid w:val="00CE1858"/>
    <w:rsid w:val="00CE1A5F"/>
    <w:rsid w:val="00CE1B2E"/>
    <w:rsid w:val="00CE1C51"/>
    <w:rsid w:val="00CE1C8D"/>
    <w:rsid w:val="00CE1EF3"/>
    <w:rsid w:val="00CE1F99"/>
    <w:rsid w:val="00CE21C6"/>
    <w:rsid w:val="00CE2288"/>
    <w:rsid w:val="00CE271F"/>
    <w:rsid w:val="00CE295B"/>
    <w:rsid w:val="00CE29B2"/>
    <w:rsid w:val="00CE2C58"/>
    <w:rsid w:val="00CE2D89"/>
    <w:rsid w:val="00CE349E"/>
    <w:rsid w:val="00CE34D2"/>
    <w:rsid w:val="00CE355D"/>
    <w:rsid w:val="00CE36C3"/>
    <w:rsid w:val="00CE37B5"/>
    <w:rsid w:val="00CE39C9"/>
    <w:rsid w:val="00CE3A55"/>
    <w:rsid w:val="00CE3CCA"/>
    <w:rsid w:val="00CE3D9C"/>
    <w:rsid w:val="00CE3DAF"/>
    <w:rsid w:val="00CE3E57"/>
    <w:rsid w:val="00CE40B8"/>
    <w:rsid w:val="00CE4246"/>
    <w:rsid w:val="00CE43B8"/>
    <w:rsid w:val="00CE478F"/>
    <w:rsid w:val="00CE49B5"/>
    <w:rsid w:val="00CE4AC9"/>
    <w:rsid w:val="00CE4BE3"/>
    <w:rsid w:val="00CE4DB4"/>
    <w:rsid w:val="00CE4DCA"/>
    <w:rsid w:val="00CE4E34"/>
    <w:rsid w:val="00CE4E97"/>
    <w:rsid w:val="00CE5116"/>
    <w:rsid w:val="00CE5134"/>
    <w:rsid w:val="00CE52E1"/>
    <w:rsid w:val="00CE5776"/>
    <w:rsid w:val="00CE590B"/>
    <w:rsid w:val="00CE5AA7"/>
    <w:rsid w:val="00CE5BE0"/>
    <w:rsid w:val="00CE5D0D"/>
    <w:rsid w:val="00CE5F39"/>
    <w:rsid w:val="00CE604D"/>
    <w:rsid w:val="00CE60D2"/>
    <w:rsid w:val="00CE6137"/>
    <w:rsid w:val="00CE628D"/>
    <w:rsid w:val="00CE62D6"/>
    <w:rsid w:val="00CE6388"/>
    <w:rsid w:val="00CE63F1"/>
    <w:rsid w:val="00CE646D"/>
    <w:rsid w:val="00CE64DB"/>
    <w:rsid w:val="00CE68CD"/>
    <w:rsid w:val="00CE6DF2"/>
    <w:rsid w:val="00CE6F80"/>
    <w:rsid w:val="00CE7157"/>
    <w:rsid w:val="00CE71CE"/>
    <w:rsid w:val="00CE7343"/>
    <w:rsid w:val="00CE7438"/>
    <w:rsid w:val="00CE7594"/>
    <w:rsid w:val="00CE7623"/>
    <w:rsid w:val="00CE7653"/>
    <w:rsid w:val="00CE7CAD"/>
    <w:rsid w:val="00CF028D"/>
    <w:rsid w:val="00CF0338"/>
    <w:rsid w:val="00CF03DA"/>
    <w:rsid w:val="00CF0687"/>
    <w:rsid w:val="00CF06BA"/>
    <w:rsid w:val="00CF0CC8"/>
    <w:rsid w:val="00CF0D78"/>
    <w:rsid w:val="00CF11AE"/>
    <w:rsid w:val="00CF11C6"/>
    <w:rsid w:val="00CF1216"/>
    <w:rsid w:val="00CF13E4"/>
    <w:rsid w:val="00CF140B"/>
    <w:rsid w:val="00CF1997"/>
    <w:rsid w:val="00CF1CD5"/>
    <w:rsid w:val="00CF20CF"/>
    <w:rsid w:val="00CF2119"/>
    <w:rsid w:val="00CF2265"/>
    <w:rsid w:val="00CF2368"/>
    <w:rsid w:val="00CF2571"/>
    <w:rsid w:val="00CF26C2"/>
    <w:rsid w:val="00CF279F"/>
    <w:rsid w:val="00CF28DF"/>
    <w:rsid w:val="00CF2919"/>
    <w:rsid w:val="00CF29F8"/>
    <w:rsid w:val="00CF2C27"/>
    <w:rsid w:val="00CF2C77"/>
    <w:rsid w:val="00CF2FE0"/>
    <w:rsid w:val="00CF30BC"/>
    <w:rsid w:val="00CF3658"/>
    <w:rsid w:val="00CF3890"/>
    <w:rsid w:val="00CF391F"/>
    <w:rsid w:val="00CF3944"/>
    <w:rsid w:val="00CF3D73"/>
    <w:rsid w:val="00CF3D85"/>
    <w:rsid w:val="00CF3D8B"/>
    <w:rsid w:val="00CF3D8F"/>
    <w:rsid w:val="00CF4389"/>
    <w:rsid w:val="00CF45BB"/>
    <w:rsid w:val="00CF4687"/>
    <w:rsid w:val="00CF46B1"/>
    <w:rsid w:val="00CF46B6"/>
    <w:rsid w:val="00CF46BF"/>
    <w:rsid w:val="00CF4953"/>
    <w:rsid w:val="00CF4A11"/>
    <w:rsid w:val="00CF4A3D"/>
    <w:rsid w:val="00CF4D4A"/>
    <w:rsid w:val="00CF4EBF"/>
    <w:rsid w:val="00CF4FC3"/>
    <w:rsid w:val="00CF523F"/>
    <w:rsid w:val="00CF598E"/>
    <w:rsid w:val="00CF5D26"/>
    <w:rsid w:val="00CF5ED8"/>
    <w:rsid w:val="00CF6089"/>
    <w:rsid w:val="00CF611B"/>
    <w:rsid w:val="00CF639F"/>
    <w:rsid w:val="00CF654C"/>
    <w:rsid w:val="00CF6AA8"/>
    <w:rsid w:val="00CF6AE0"/>
    <w:rsid w:val="00CF6BCA"/>
    <w:rsid w:val="00CF7179"/>
    <w:rsid w:val="00CF726C"/>
    <w:rsid w:val="00CF728C"/>
    <w:rsid w:val="00CF728E"/>
    <w:rsid w:val="00CF72C2"/>
    <w:rsid w:val="00CF73DD"/>
    <w:rsid w:val="00CF7506"/>
    <w:rsid w:val="00CF7594"/>
    <w:rsid w:val="00CF7605"/>
    <w:rsid w:val="00CF7981"/>
    <w:rsid w:val="00CF7C5A"/>
    <w:rsid w:val="00CF7DCB"/>
    <w:rsid w:val="00D00133"/>
    <w:rsid w:val="00D002B1"/>
    <w:rsid w:val="00D00368"/>
    <w:rsid w:val="00D003D8"/>
    <w:rsid w:val="00D00610"/>
    <w:rsid w:val="00D00674"/>
    <w:rsid w:val="00D00770"/>
    <w:rsid w:val="00D0099F"/>
    <w:rsid w:val="00D00A85"/>
    <w:rsid w:val="00D00FD9"/>
    <w:rsid w:val="00D01458"/>
    <w:rsid w:val="00D0154B"/>
    <w:rsid w:val="00D0159D"/>
    <w:rsid w:val="00D017E3"/>
    <w:rsid w:val="00D01A58"/>
    <w:rsid w:val="00D01E7A"/>
    <w:rsid w:val="00D02000"/>
    <w:rsid w:val="00D020D4"/>
    <w:rsid w:val="00D0231C"/>
    <w:rsid w:val="00D02682"/>
    <w:rsid w:val="00D02697"/>
    <w:rsid w:val="00D02736"/>
    <w:rsid w:val="00D0284B"/>
    <w:rsid w:val="00D02B59"/>
    <w:rsid w:val="00D02E36"/>
    <w:rsid w:val="00D030F2"/>
    <w:rsid w:val="00D0320C"/>
    <w:rsid w:val="00D032BB"/>
    <w:rsid w:val="00D032CC"/>
    <w:rsid w:val="00D033B4"/>
    <w:rsid w:val="00D0357D"/>
    <w:rsid w:val="00D03612"/>
    <w:rsid w:val="00D038AD"/>
    <w:rsid w:val="00D0394C"/>
    <w:rsid w:val="00D03B91"/>
    <w:rsid w:val="00D03BD9"/>
    <w:rsid w:val="00D03C3B"/>
    <w:rsid w:val="00D03C53"/>
    <w:rsid w:val="00D03F92"/>
    <w:rsid w:val="00D040A0"/>
    <w:rsid w:val="00D0410D"/>
    <w:rsid w:val="00D0417F"/>
    <w:rsid w:val="00D0424F"/>
    <w:rsid w:val="00D04317"/>
    <w:rsid w:val="00D04489"/>
    <w:rsid w:val="00D04582"/>
    <w:rsid w:val="00D0458B"/>
    <w:rsid w:val="00D04742"/>
    <w:rsid w:val="00D04749"/>
    <w:rsid w:val="00D04784"/>
    <w:rsid w:val="00D04CEC"/>
    <w:rsid w:val="00D04EE1"/>
    <w:rsid w:val="00D0508C"/>
    <w:rsid w:val="00D05240"/>
    <w:rsid w:val="00D0529B"/>
    <w:rsid w:val="00D0529F"/>
    <w:rsid w:val="00D052C1"/>
    <w:rsid w:val="00D053C5"/>
    <w:rsid w:val="00D057D3"/>
    <w:rsid w:val="00D058AF"/>
    <w:rsid w:val="00D05956"/>
    <w:rsid w:val="00D05994"/>
    <w:rsid w:val="00D05AEA"/>
    <w:rsid w:val="00D05C20"/>
    <w:rsid w:val="00D05F3C"/>
    <w:rsid w:val="00D061F5"/>
    <w:rsid w:val="00D063A0"/>
    <w:rsid w:val="00D0656B"/>
    <w:rsid w:val="00D0682C"/>
    <w:rsid w:val="00D0690E"/>
    <w:rsid w:val="00D06937"/>
    <w:rsid w:val="00D06938"/>
    <w:rsid w:val="00D06B8D"/>
    <w:rsid w:val="00D06E0E"/>
    <w:rsid w:val="00D06E23"/>
    <w:rsid w:val="00D06EA8"/>
    <w:rsid w:val="00D070D6"/>
    <w:rsid w:val="00D070E8"/>
    <w:rsid w:val="00D07117"/>
    <w:rsid w:val="00D071AD"/>
    <w:rsid w:val="00D0725A"/>
    <w:rsid w:val="00D07600"/>
    <w:rsid w:val="00D07994"/>
    <w:rsid w:val="00D07998"/>
    <w:rsid w:val="00D079D8"/>
    <w:rsid w:val="00D07BAC"/>
    <w:rsid w:val="00D07D9E"/>
    <w:rsid w:val="00D07ECE"/>
    <w:rsid w:val="00D07FD1"/>
    <w:rsid w:val="00D101F8"/>
    <w:rsid w:val="00D10479"/>
    <w:rsid w:val="00D10675"/>
    <w:rsid w:val="00D106E5"/>
    <w:rsid w:val="00D10A4D"/>
    <w:rsid w:val="00D10A7B"/>
    <w:rsid w:val="00D10A8E"/>
    <w:rsid w:val="00D10CFF"/>
    <w:rsid w:val="00D10ECD"/>
    <w:rsid w:val="00D11045"/>
    <w:rsid w:val="00D1114B"/>
    <w:rsid w:val="00D111B2"/>
    <w:rsid w:val="00D11599"/>
    <w:rsid w:val="00D1175B"/>
    <w:rsid w:val="00D117A0"/>
    <w:rsid w:val="00D117A4"/>
    <w:rsid w:val="00D117EF"/>
    <w:rsid w:val="00D11867"/>
    <w:rsid w:val="00D119B1"/>
    <w:rsid w:val="00D11A8F"/>
    <w:rsid w:val="00D11C6E"/>
    <w:rsid w:val="00D11CE1"/>
    <w:rsid w:val="00D11D33"/>
    <w:rsid w:val="00D1212A"/>
    <w:rsid w:val="00D121E6"/>
    <w:rsid w:val="00D121EA"/>
    <w:rsid w:val="00D12458"/>
    <w:rsid w:val="00D12497"/>
    <w:rsid w:val="00D1251B"/>
    <w:rsid w:val="00D126FA"/>
    <w:rsid w:val="00D12730"/>
    <w:rsid w:val="00D12943"/>
    <w:rsid w:val="00D12EFF"/>
    <w:rsid w:val="00D12F1F"/>
    <w:rsid w:val="00D12F43"/>
    <w:rsid w:val="00D12F96"/>
    <w:rsid w:val="00D130BB"/>
    <w:rsid w:val="00D1317F"/>
    <w:rsid w:val="00D13707"/>
    <w:rsid w:val="00D1393D"/>
    <w:rsid w:val="00D1397C"/>
    <w:rsid w:val="00D13B09"/>
    <w:rsid w:val="00D13E88"/>
    <w:rsid w:val="00D13EA6"/>
    <w:rsid w:val="00D13F6E"/>
    <w:rsid w:val="00D13FB4"/>
    <w:rsid w:val="00D14092"/>
    <w:rsid w:val="00D14123"/>
    <w:rsid w:val="00D14160"/>
    <w:rsid w:val="00D1432C"/>
    <w:rsid w:val="00D14490"/>
    <w:rsid w:val="00D14536"/>
    <w:rsid w:val="00D145C2"/>
    <w:rsid w:val="00D1483E"/>
    <w:rsid w:val="00D149C2"/>
    <w:rsid w:val="00D15089"/>
    <w:rsid w:val="00D15586"/>
    <w:rsid w:val="00D15653"/>
    <w:rsid w:val="00D15732"/>
    <w:rsid w:val="00D15836"/>
    <w:rsid w:val="00D158ED"/>
    <w:rsid w:val="00D15909"/>
    <w:rsid w:val="00D15BB5"/>
    <w:rsid w:val="00D15C27"/>
    <w:rsid w:val="00D15DCA"/>
    <w:rsid w:val="00D15E54"/>
    <w:rsid w:val="00D160C8"/>
    <w:rsid w:val="00D1625A"/>
    <w:rsid w:val="00D16469"/>
    <w:rsid w:val="00D16558"/>
    <w:rsid w:val="00D166CA"/>
    <w:rsid w:val="00D167B6"/>
    <w:rsid w:val="00D16C69"/>
    <w:rsid w:val="00D17907"/>
    <w:rsid w:val="00D17983"/>
    <w:rsid w:val="00D17C70"/>
    <w:rsid w:val="00D17D1D"/>
    <w:rsid w:val="00D17D4A"/>
    <w:rsid w:val="00D20019"/>
    <w:rsid w:val="00D2035C"/>
    <w:rsid w:val="00D20432"/>
    <w:rsid w:val="00D2048C"/>
    <w:rsid w:val="00D205EB"/>
    <w:rsid w:val="00D206A5"/>
    <w:rsid w:val="00D2071C"/>
    <w:rsid w:val="00D207CF"/>
    <w:rsid w:val="00D20F37"/>
    <w:rsid w:val="00D20FD4"/>
    <w:rsid w:val="00D2102B"/>
    <w:rsid w:val="00D21259"/>
    <w:rsid w:val="00D212A4"/>
    <w:rsid w:val="00D2141B"/>
    <w:rsid w:val="00D21473"/>
    <w:rsid w:val="00D2147D"/>
    <w:rsid w:val="00D21584"/>
    <w:rsid w:val="00D21702"/>
    <w:rsid w:val="00D218C3"/>
    <w:rsid w:val="00D21C0A"/>
    <w:rsid w:val="00D21CBC"/>
    <w:rsid w:val="00D21DAB"/>
    <w:rsid w:val="00D21E61"/>
    <w:rsid w:val="00D22038"/>
    <w:rsid w:val="00D222B7"/>
    <w:rsid w:val="00D22698"/>
    <w:rsid w:val="00D228AA"/>
    <w:rsid w:val="00D22BCC"/>
    <w:rsid w:val="00D22EFD"/>
    <w:rsid w:val="00D233B1"/>
    <w:rsid w:val="00D23636"/>
    <w:rsid w:val="00D2367C"/>
    <w:rsid w:val="00D23727"/>
    <w:rsid w:val="00D2375E"/>
    <w:rsid w:val="00D237E1"/>
    <w:rsid w:val="00D2392E"/>
    <w:rsid w:val="00D23970"/>
    <w:rsid w:val="00D23B3F"/>
    <w:rsid w:val="00D23DCC"/>
    <w:rsid w:val="00D23DD8"/>
    <w:rsid w:val="00D245AA"/>
    <w:rsid w:val="00D24630"/>
    <w:rsid w:val="00D24843"/>
    <w:rsid w:val="00D249C9"/>
    <w:rsid w:val="00D24A92"/>
    <w:rsid w:val="00D24B68"/>
    <w:rsid w:val="00D24C26"/>
    <w:rsid w:val="00D24CA4"/>
    <w:rsid w:val="00D24DCE"/>
    <w:rsid w:val="00D252E5"/>
    <w:rsid w:val="00D2537E"/>
    <w:rsid w:val="00D2539A"/>
    <w:rsid w:val="00D25521"/>
    <w:rsid w:val="00D257C9"/>
    <w:rsid w:val="00D25804"/>
    <w:rsid w:val="00D25A02"/>
    <w:rsid w:val="00D25ACC"/>
    <w:rsid w:val="00D25D3E"/>
    <w:rsid w:val="00D25EEF"/>
    <w:rsid w:val="00D26028"/>
    <w:rsid w:val="00D26298"/>
    <w:rsid w:val="00D26327"/>
    <w:rsid w:val="00D2640C"/>
    <w:rsid w:val="00D26512"/>
    <w:rsid w:val="00D2652A"/>
    <w:rsid w:val="00D265E3"/>
    <w:rsid w:val="00D26625"/>
    <w:rsid w:val="00D26653"/>
    <w:rsid w:val="00D266F0"/>
    <w:rsid w:val="00D267E5"/>
    <w:rsid w:val="00D26939"/>
    <w:rsid w:val="00D269F6"/>
    <w:rsid w:val="00D26A73"/>
    <w:rsid w:val="00D26B6E"/>
    <w:rsid w:val="00D26CC1"/>
    <w:rsid w:val="00D27277"/>
    <w:rsid w:val="00D27578"/>
    <w:rsid w:val="00D27605"/>
    <w:rsid w:val="00D27C75"/>
    <w:rsid w:val="00D27D86"/>
    <w:rsid w:val="00D27E83"/>
    <w:rsid w:val="00D27EB2"/>
    <w:rsid w:val="00D27EB5"/>
    <w:rsid w:val="00D27EBD"/>
    <w:rsid w:val="00D3047E"/>
    <w:rsid w:val="00D30534"/>
    <w:rsid w:val="00D3059B"/>
    <w:rsid w:val="00D305AC"/>
    <w:rsid w:val="00D30655"/>
    <w:rsid w:val="00D30836"/>
    <w:rsid w:val="00D30A09"/>
    <w:rsid w:val="00D30C28"/>
    <w:rsid w:val="00D30CFF"/>
    <w:rsid w:val="00D30D35"/>
    <w:rsid w:val="00D30EA1"/>
    <w:rsid w:val="00D30EBC"/>
    <w:rsid w:val="00D310C8"/>
    <w:rsid w:val="00D311CC"/>
    <w:rsid w:val="00D311E1"/>
    <w:rsid w:val="00D31328"/>
    <w:rsid w:val="00D31557"/>
    <w:rsid w:val="00D31596"/>
    <w:rsid w:val="00D31674"/>
    <w:rsid w:val="00D316B0"/>
    <w:rsid w:val="00D316E2"/>
    <w:rsid w:val="00D31A87"/>
    <w:rsid w:val="00D31B32"/>
    <w:rsid w:val="00D31B83"/>
    <w:rsid w:val="00D31BC2"/>
    <w:rsid w:val="00D31C31"/>
    <w:rsid w:val="00D31D18"/>
    <w:rsid w:val="00D31D54"/>
    <w:rsid w:val="00D31D9C"/>
    <w:rsid w:val="00D31DC7"/>
    <w:rsid w:val="00D31F50"/>
    <w:rsid w:val="00D3210C"/>
    <w:rsid w:val="00D321E0"/>
    <w:rsid w:val="00D32364"/>
    <w:rsid w:val="00D323C9"/>
    <w:rsid w:val="00D3252C"/>
    <w:rsid w:val="00D325F7"/>
    <w:rsid w:val="00D327C6"/>
    <w:rsid w:val="00D328F3"/>
    <w:rsid w:val="00D32D72"/>
    <w:rsid w:val="00D32E7D"/>
    <w:rsid w:val="00D32E8A"/>
    <w:rsid w:val="00D32F90"/>
    <w:rsid w:val="00D334B2"/>
    <w:rsid w:val="00D33545"/>
    <w:rsid w:val="00D337C7"/>
    <w:rsid w:val="00D33B30"/>
    <w:rsid w:val="00D33C74"/>
    <w:rsid w:val="00D33CF5"/>
    <w:rsid w:val="00D33D67"/>
    <w:rsid w:val="00D33E97"/>
    <w:rsid w:val="00D33FC2"/>
    <w:rsid w:val="00D3431F"/>
    <w:rsid w:val="00D344BB"/>
    <w:rsid w:val="00D3454D"/>
    <w:rsid w:val="00D345FE"/>
    <w:rsid w:val="00D34BA5"/>
    <w:rsid w:val="00D34C7E"/>
    <w:rsid w:val="00D34DF1"/>
    <w:rsid w:val="00D34F90"/>
    <w:rsid w:val="00D34FE2"/>
    <w:rsid w:val="00D35001"/>
    <w:rsid w:val="00D350A7"/>
    <w:rsid w:val="00D35162"/>
    <w:rsid w:val="00D352CB"/>
    <w:rsid w:val="00D3558C"/>
    <w:rsid w:val="00D355C2"/>
    <w:rsid w:val="00D359AC"/>
    <w:rsid w:val="00D35B59"/>
    <w:rsid w:val="00D35BAF"/>
    <w:rsid w:val="00D35EB0"/>
    <w:rsid w:val="00D35F16"/>
    <w:rsid w:val="00D360CE"/>
    <w:rsid w:val="00D36143"/>
    <w:rsid w:val="00D36177"/>
    <w:rsid w:val="00D365EF"/>
    <w:rsid w:val="00D36742"/>
    <w:rsid w:val="00D36CA4"/>
    <w:rsid w:val="00D370CE"/>
    <w:rsid w:val="00D3720F"/>
    <w:rsid w:val="00D376CA"/>
    <w:rsid w:val="00D377C9"/>
    <w:rsid w:val="00D37B40"/>
    <w:rsid w:val="00D37DAE"/>
    <w:rsid w:val="00D4009C"/>
    <w:rsid w:val="00D400F0"/>
    <w:rsid w:val="00D4036C"/>
    <w:rsid w:val="00D40A3A"/>
    <w:rsid w:val="00D40B9E"/>
    <w:rsid w:val="00D40C09"/>
    <w:rsid w:val="00D41137"/>
    <w:rsid w:val="00D4121B"/>
    <w:rsid w:val="00D41259"/>
    <w:rsid w:val="00D41403"/>
    <w:rsid w:val="00D41457"/>
    <w:rsid w:val="00D41577"/>
    <w:rsid w:val="00D415A1"/>
    <w:rsid w:val="00D415A7"/>
    <w:rsid w:val="00D41C5A"/>
    <w:rsid w:val="00D41C95"/>
    <w:rsid w:val="00D41FF6"/>
    <w:rsid w:val="00D42326"/>
    <w:rsid w:val="00D426F6"/>
    <w:rsid w:val="00D4273A"/>
    <w:rsid w:val="00D427A4"/>
    <w:rsid w:val="00D428BD"/>
    <w:rsid w:val="00D42B04"/>
    <w:rsid w:val="00D42D9D"/>
    <w:rsid w:val="00D42DA9"/>
    <w:rsid w:val="00D42DFE"/>
    <w:rsid w:val="00D42F5F"/>
    <w:rsid w:val="00D42FCF"/>
    <w:rsid w:val="00D43065"/>
    <w:rsid w:val="00D431B1"/>
    <w:rsid w:val="00D431DB"/>
    <w:rsid w:val="00D433ED"/>
    <w:rsid w:val="00D43490"/>
    <w:rsid w:val="00D436C4"/>
    <w:rsid w:val="00D439B0"/>
    <w:rsid w:val="00D439C1"/>
    <w:rsid w:val="00D43A46"/>
    <w:rsid w:val="00D43AC3"/>
    <w:rsid w:val="00D43CA4"/>
    <w:rsid w:val="00D43F4E"/>
    <w:rsid w:val="00D44002"/>
    <w:rsid w:val="00D44098"/>
    <w:rsid w:val="00D4409B"/>
    <w:rsid w:val="00D440D3"/>
    <w:rsid w:val="00D44220"/>
    <w:rsid w:val="00D44349"/>
    <w:rsid w:val="00D44504"/>
    <w:rsid w:val="00D4464D"/>
    <w:rsid w:val="00D44725"/>
    <w:rsid w:val="00D4481B"/>
    <w:rsid w:val="00D44A56"/>
    <w:rsid w:val="00D44A74"/>
    <w:rsid w:val="00D44D42"/>
    <w:rsid w:val="00D44F7E"/>
    <w:rsid w:val="00D453D2"/>
    <w:rsid w:val="00D45465"/>
    <w:rsid w:val="00D454AE"/>
    <w:rsid w:val="00D454C6"/>
    <w:rsid w:val="00D45566"/>
    <w:rsid w:val="00D45591"/>
    <w:rsid w:val="00D45646"/>
    <w:rsid w:val="00D4568A"/>
    <w:rsid w:val="00D45758"/>
    <w:rsid w:val="00D4589F"/>
    <w:rsid w:val="00D45D38"/>
    <w:rsid w:val="00D45EEB"/>
    <w:rsid w:val="00D461B0"/>
    <w:rsid w:val="00D4659D"/>
    <w:rsid w:val="00D465CA"/>
    <w:rsid w:val="00D4662B"/>
    <w:rsid w:val="00D46757"/>
    <w:rsid w:val="00D46AC4"/>
    <w:rsid w:val="00D46E80"/>
    <w:rsid w:val="00D47050"/>
    <w:rsid w:val="00D47349"/>
    <w:rsid w:val="00D474DA"/>
    <w:rsid w:val="00D4782F"/>
    <w:rsid w:val="00D4792A"/>
    <w:rsid w:val="00D47A99"/>
    <w:rsid w:val="00D47AC4"/>
    <w:rsid w:val="00D47C81"/>
    <w:rsid w:val="00D47CF7"/>
    <w:rsid w:val="00D5001D"/>
    <w:rsid w:val="00D500CE"/>
    <w:rsid w:val="00D50530"/>
    <w:rsid w:val="00D5070C"/>
    <w:rsid w:val="00D50912"/>
    <w:rsid w:val="00D50A5F"/>
    <w:rsid w:val="00D50C5D"/>
    <w:rsid w:val="00D50C8A"/>
    <w:rsid w:val="00D50E83"/>
    <w:rsid w:val="00D50FEA"/>
    <w:rsid w:val="00D51189"/>
    <w:rsid w:val="00D512CC"/>
    <w:rsid w:val="00D51635"/>
    <w:rsid w:val="00D517CF"/>
    <w:rsid w:val="00D5187B"/>
    <w:rsid w:val="00D51888"/>
    <w:rsid w:val="00D518C8"/>
    <w:rsid w:val="00D519EC"/>
    <w:rsid w:val="00D51F02"/>
    <w:rsid w:val="00D52041"/>
    <w:rsid w:val="00D521F3"/>
    <w:rsid w:val="00D5229C"/>
    <w:rsid w:val="00D52302"/>
    <w:rsid w:val="00D52341"/>
    <w:rsid w:val="00D52460"/>
    <w:rsid w:val="00D525D1"/>
    <w:rsid w:val="00D5285D"/>
    <w:rsid w:val="00D528F6"/>
    <w:rsid w:val="00D5297A"/>
    <w:rsid w:val="00D529D1"/>
    <w:rsid w:val="00D52AFA"/>
    <w:rsid w:val="00D52DB2"/>
    <w:rsid w:val="00D52E11"/>
    <w:rsid w:val="00D53379"/>
    <w:rsid w:val="00D53717"/>
    <w:rsid w:val="00D5377E"/>
    <w:rsid w:val="00D5392A"/>
    <w:rsid w:val="00D5392F"/>
    <w:rsid w:val="00D53BB3"/>
    <w:rsid w:val="00D53C05"/>
    <w:rsid w:val="00D53E27"/>
    <w:rsid w:val="00D53E6B"/>
    <w:rsid w:val="00D53EBD"/>
    <w:rsid w:val="00D54078"/>
    <w:rsid w:val="00D54157"/>
    <w:rsid w:val="00D541F1"/>
    <w:rsid w:val="00D54592"/>
    <w:rsid w:val="00D54797"/>
    <w:rsid w:val="00D54872"/>
    <w:rsid w:val="00D54980"/>
    <w:rsid w:val="00D549E5"/>
    <w:rsid w:val="00D54AA0"/>
    <w:rsid w:val="00D54B15"/>
    <w:rsid w:val="00D54BCD"/>
    <w:rsid w:val="00D5501B"/>
    <w:rsid w:val="00D55727"/>
    <w:rsid w:val="00D55794"/>
    <w:rsid w:val="00D55860"/>
    <w:rsid w:val="00D5590B"/>
    <w:rsid w:val="00D5593B"/>
    <w:rsid w:val="00D55A2B"/>
    <w:rsid w:val="00D55B35"/>
    <w:rsid w:val="00D55D20"/>
    <w:rsid w:val="00D55F2D"/>
    <w:rsid w:val="00D55F54"/>
    <w:rsid w:val="00D5613C"/>
    <w:rsid w:val="00D561B3"/>
    <w:rsid w:val="00D563A6"/>
    <w:rsid w:val="00D5668E"/>
    <w:rsid w:val="00D5672F"/>
    <w:rsid w:val="00D567E1"/>
    <w:rsid w:val="00D56801"/>
    <w:rsid w:val="00D56FBE"/>
    <w:rsid w:val="00D5725A"/>
    <w:rsid w:val="00D5725B"/>
    <w:rsid w:val="00D5730D"/>
    <w:rsid w:val="00D57347"/>
    <w:rsid w:val="00D573ED"/>
    <w:rsid w:val="00D57D39"/>
    <w:rsid w:val="00D57E31"/>
    <w:rsid w:val="00D57E4B"/>
    <w:rsid w:val="00D57F3F"/>
    <w:rsid w:val="00D60062"/>
    <w:rsid w:val="00D600EB"/>
    <w:rsid w:val="00D6014D"/>
    <w:rsid w:val="00D60177"/>
    <w:rsid w:val="00D60279"/>
    <w:rsid w:val="00D603BE"/>
    <w:rsid w:val="00D6061E"/>
    <w:rsid w:val="00D60685"/>
    <w:rsid w:val="00D607B2"/>
    <w:rsid w:val="00D607FD"/>
    <w:rsid w:val="00D60B7E"/>
    <w:rsid w:val="00D60C8E"/>
    <w:rsid w:val="00D60DBA"/>
    <w:rsid w:val="00D60F49"/>
    <w:rsid w:val="00D60F88"/>
    <w:rsid w:val="00D60FAA"/>
    <w:rsid w:val="00D60FE7"/>
    <w:rsid w:val="00D6107C"/>
    <w:rsid w:val="00D610BA"/>
    <w:rsid w:val="00D6159C"/>
    <w:rsid w:val="00D616A8"/>
    <w:rsid w:val="00D616EC"/>
    <w:rsid w:val="00D61703"/>
    <w:rsid w:val="00D6177E"/>
    <w:rsid w:val="00D61A22"/>
    <w:rsid w:val="00D61C82"/>
    <w:rsid w:val="00D61E32"/>
    <w:rsid w:val="00D61EE6"/>
    <w:rsid w:val="00D61F7D"/>
    <w:rsid w:val="00D620EB"/>
    <w:rsid w:val="00D6236C"/>
    <w:rsid w:val="00D62493"/>
    <w:rsid w:val="00D626F2"/>
    <w:rsid w:val="00D6284E"/>
    <w:rsid w:val="00D62CEF"/>
    <w:rsid w:val="00D62EC2"/>
    <w:rsid w:val="00D63052"/>
    <w:rsid w:val="00D630EC"/>
    <w:rsid w:val="00D632CB"/>
    <w:rsid w:val="00D632E7"/>
    <w:rsid w:val="00D63474"/>
    <w:rsid w:val="00D635F7"/>
    <w:rsid w:val="00D635F9"/>
    <w:rsid w:val="00D63879"/>
    <w:rsid w:val="00D6394E"/>
    <w:rsid w:val="00D63A90"/>
    <w:rsid w:val="00D63B14"/>
    <w:rsid w:val="00D63B5C"/>
    <w:rsid w:val="00D63BA3"/>
    <w:rsid w:val="00D63BC2"/>
    <w:rsid w:val="00D63E51"/>
    <w:rsid w:val="00D6466F"/>
    <w:rsid w:val="00D64682"/>
    <w:rsid w:val="00D6470D"/>
    <w:rsid w:val="00D64815"/>
    <w:rsid w:val="00D648C0"/>
    <w:rsid w:val="00D649CE"/>
    <w:rsid w:val="00D64A5F"/>
    <w:rsid w:val="00D64B43"/>
    <w:rsid w:val="00D64D3A"/>
    <w:rsid w:val="00D651DD"/>
    <w:rsid w:val="00D655F6"/>
    <w:rsid w:val="00D6565F"/>
    <w:rsid w:val="00D6589C"/>
    <w:rsid w:val="00D6594F"/>
    <w:rsid w:val="00D65A58"/>
    <w:rsid w:val="00D65C54"/>
    <w:rsid w:val="00D65CFC"/>
    <w:rsid w:val="00D65FE5"/>
    <w:rsid w:val="00D662D7"/>
    <w:rsid w:val="00D664A1"/>
    <w:rsid w:val="00D66A4A"/>
    <w:rsid w:val="00D66CAF"/>
    <w:rsid w:val="00D66F95"/>
    <w:rsid w:val="00D671DE"/>
    <w:rsid w:val="00D67236"/>
    <w:rsid w:val="00D672A2"/>
    <w:rsid w:val="00D678E6"/>
    <w:rsid w:val="00D67D7E"/>
    <w:rsid w:val="00D67DFA"/>
    <w:rsid w:val="00D69EAC"/>
    <w:rsid w:val="00D701C8"/>
    <w:rsid w:val="00D702EB"/>
    <w:rsid w:val="00D7036E"/>
    <w:rsid w:val="00D705F6"/>
    <w:rsid w:val="00D70641"/>
    <w:rsid w:val="00D707C0"/>
    <w:rsid w:val="00D70964"/>
    <w:rsid w:val="00D70A91"/>
    <w:rsid w:val="00D70D8F"/>
    <w:rsid w:val="00D71017"/>
    <w:rsid w:val="00D71210"/>
    <w:rsid w:val="00D7123A"/>
    <w:rsid w:val="00D71252"/>
    <w:rsid w:val="00D7131B"/>
    <w:rsid w:val="00D7132D"/>
    <w:rsid w:val="00D714D3"/>
    <w:rsid w:val="00D716BA"/>
    <w:rsid w:val="00D7190A"/>
    <w:rsid w:val="00D7195F"/>
    <w:rsid w:val="00D71D8B"/>
    <w:rsid w:val="00D71F40"/>
    <w:rsid w:val="00D720EE"/>
    <w:rsid w:val="00D72100"/>
    <w:rsid w:val="00D721BD"/>
    <w:rsid w:val="00D72309"/>
    <w:rsid w:val="00D725A9"/>
    <w:rsid w:val="00D726E3"/>
    <w:rsid w:val="00D72706"/>
    <w:rsid w:val="00D727B9"/>
    <w:rsid w:val="00D727D8"/>
    <w:rsid w:val="00D7282A"/>
    <w:rsid w:val="00D729EA"/>
    <w:rsid w:val="00D72A60"/>
    <w:rsid w:val="00D72A66"/>
    <w:rsid w:val="00D72D97"/>
    <w:rsid w:val="00D72E91"/>
    <w:rsid w:val="00D72FC7"/>
    <w:rsid w:val="00D73338"/>
    <w:rsid w:val="00D7338C"/>
    <w:rsid w:val="00D733CB"/>
    <w:rsid w:val="00D735A8"/>
    <w:rsid w:val="00D7378F"/>
    <w:rsid w:val="00D73943"/>
    <w:rsid w:val="00D73BF9"/>
    <w:rsid w:val="00D73D15"/>
    <w:rsid w:val="00D7421D"/>
    <w:rsid w:val="00D74631"/>
    <w:rsid w:val="00D74C4C"/>
    <w:rsid w:val="00D75086"/>
    <w:rsid w:val="00D750CF"/>
    <w:rsid w:val="00D7545B"/>
    <w:rsid w:val="00D755EA"/>
    <w:rsid w:val="00D757C2"/>
    <w:rsid w:val="00D75B0B"/>
    <w:rsid w:val="00D75B1A"/>
    <w:rsid w:val="00D75B73"/>
    <w:rsid w:val="00D75D52"/>
    <w:rsid w:val="00D75DF9"/>
    <w:rsid w:val="00D75FFE"/>
    <w:rsid w:val="00D7620D"/>
    <w:rsid w:val="00D76540"/>
    <w:rsid w:val="00D7667B"/>
    <w:rsid w:val="00D76692"/>
    <w:rsid w:val="00D7692C"/>
    <w:rsid w:val="00D76951"/>
    <w:rsid w:val="00D76BC8"/>
    <w:rsid w:val="00D76ED2"/>
    <w:rsid w:val="00D76F0F"/>
    <w:rsid w:val="00D76F35"/>
    <w:rsid w:val="00D76FAD"/>
    <w:rsid w:val="00D7707F"/>
    <w:rsid w:val="00D770A9"/>
    <w:rsid w:val="00D77100"/>
    <w:rsid w:val="00D77174"/>
    <w:rsid w:val="00D77523"/>
    <w:rsid w:val="00D7764F"/>
    <w:rsid w:val="00D776F7"/>
    <w:rsid w:val="00D779CC"/>
    <w:rsid w:val="00D77B01"/>
    <w:rsid w:val="00D77E5D"/>
    <w:rsid w:val="00D77ED3"/>
    <w:rsid w:val="00D77F2A"/>
    <w:rsid w:val="00D8016A"/>
    <w:rsid w:val="00D803F1"/>
    <w:rsid w:val="00D803FD"/>
    <w:rsid w:val="00D80522"/>
    <w:rsid w:val="00D805A2"/>
    <w:rsid w:val="00D809A5"/>
    <w:rsid w:val="00D80A96"/>
    <w:rsid w:val="00D80AFB"/>
    <w:rsid w:val="00D80B99"/>
    <w:rsid w:val="00D80D77"/>
    <w:rsid w:val="00D80EF0"/>
    <w:rsid w:val="00D81040"/>
    <w:rsid w:val="00D811CA"/>
    <w:rsid w:val="00D81552"/>
    <w:rsid w:val="00D81599"/>
    <w:rsid w:val="00D81659"/>
    <w:rsid w:val="00D817E0"/>
    <w:rsid w:val="00D81885"/>
    <w:rsid w:val="00D81906"/>
    <w:rsid w:val="00D81B82"/>
    <w:rsid w:val="00D81D58"/>
    <w:rsid w:val="00D81DD0"/>
    <w:rsid w:val="00D81E3D"/>
    <w:rsid w:val="00D820FA"/>
    <w:rsid w:val="00D821DF"/>
    <w:rsid w:val="00D824E8"/>
    <w:rsid w:val="00D82576"/>
    <w:rsid w:val="00D8270F"/>
    <w:rsid w:val="00D828FB"/>
    <w:rsid w:val="00D8297A"/>
    <w:rsid w:val="00D8297D"/>
    <w:rsid w:val="00D82A00"/>
    <w:rsid w:val="00D82A69"/>
    <w:rsid w:val="00D82AC5"/>
    <w:rsid w:val="00D82B4B"/>
    <w:rsid w:val="00D82C82"/>
    <w:rsid w:val="00D82DF0"/>
    <w:rsid w:val="00D82EEE"/>
    <w:rsid w:val="00D82F06"/>
    <w:rsid w:val="00D82F29"/>
    <w:rsid w:val="00D82FC7"/>
    <w:rsid w:val="00D82FCC"/>
    <w:rsid w:val="00D831CE"/>
    <w:rsid w:val="00D831FE"/>
    <w:rsid w:val="00D83283"/>
    <w:rsid w:val="00D832C5"/>
    <w:rsid w:val="00D83504"/>
    <w:rsid w:val="00D8367C"/>
    <w:rsid w:val="00D83695"/>
    <w:rsid w:val="00D8370B"/>
    <w:rsid w:val="00D8376C"/>
    <w:rsid w:val="00D83D8E"/>
    <w:rsid w:val="00D83E1D"/>
    <w:rsid w:val="00D84224"/>
    <w:rsid w:val="00D843F7"/>
    <w:rsid w:val="00D844DF"/>
    <w:rsid w:val="00D845BD"/>
    <w:rsid w:val="00D8475B"/>
    <w:rsid w:val="00D84BD4"/>
    <w:rsid w:val="00D84C57"/>
    <w:rsid w:val="00D84DE5"/>
    <w:rsid w:val="00D85001"/>
    <w:rsid w:val="00D85100"/>
    <w:rsid w:val="00D859BB"/>
    <w:rsid w:val="00D85D64"/>
    <w:rsid w:val="00D85EEC"/>
    <w:rsid w:val="00D85F6D"/>
    <w:rsid w:val="00D85F77"/>
    <w:rsid w:val="00D85FB5"/>
    <w:rsid w:val="00D86007"/>
    <w:rsid w:val="00D86149"/>
    <w:rsid w:val="00D86246"/>
    <w:rsid w:val="00D86502"/>
    <w:rsid w:val="00D86AB9"/>
    <w:rsid w:val="00D86DBC"/>
    <w:rsid w:val="00D86DC5"/>
    <w:rsid w:val="00D86E5D"/>
    <w:rsid w:val="00D86F92"/>
    <w:rsid w:val="00D8708A"/>
    <w:rsid w:val="00D87105"/>
    <w:rsid w:val="00D871A0"/>
    <w:rsid w:val="00D871E2"/>
    <w:rsid w:val="00D872CB"/>
    <w:rsid w:val="00D87502"/>
    <w:rsid w:val="00D8751D"/>
    <w:rsid w:val="00D8758A"/>
    <w:rsid w:val="00D87656"/>
    <w:rsid w:val="00D87868"/>
    <w:rsid w:val="00D87B54"/>
    <w:rsid w:val="00D87BBC"/>
    <w:rsid w:val="00D87C2E"/>
    <w:rsid w:val="00D87D4C"/>
    <w:rsid w:val="00D87E9B"/>
    <w:rsid w:val="00D90171"/>
    <w:rsid w:val="00D9052B"/>
    <w:rsid w:val="00D905F4"/>
    <w:rsid w:val="00D906FB"/>
    <w:rsid w:val="00D90874"/>
    <w:rsid w:val="00D908C0"/>
    <w:rsid w:val="00D908C5"/>
    <w:rsid w:val="00D90C61"/>
    <w:rsid w:val="00D90D67"/>
    <w:rsid w:val="00D9122D"/>
    <w:rsid w:val="00D91587"/>
    <w:rsid w:val="00D915B8"/>
    <w:rsid w:val="00D91671"/>
    <w:rsid w:val="00D916E8"/>
    <w:rsid w:val="00D91948"/>
    <w:rsid w:val="00D91B85"/>
    <w:rsid w:val="00D91C8C"/>
    <w:rsid w:val="00D91D41"/>
    <w:rsid w:val="00D91D4D"/>
    <w:rsid w:val="00D91DA9"/>
    <w:rsid w:val="00D91F9A"/>
    <w:rsid w:val="00D9213D"/>
    <w:rsid w:val="00D922BE"/>
    <w:rsid w:val="00D9258C"/>
    <w:rsid w:val="00D927FD"/>
    <w:rsid w:val="00D92AAE"/>
    <w:rsid w:val="00D92BD9"/>
    <w:rsid w:val="00D92EA3"/>
    <w:rsid w:val="00D93159"/>
    <w:rsid w:val="00D93183"/>
    <w:rsid w:val="00D9370E"/>
    <w:rsid w:val="00D93A08"/>
    <w:rsid w:val="00D93A9A"/>
    <w:rsid w:val="00D93C2B"/>
    <w:rsid w:val="00D93CE0"/>
    <w:rsid w:val="00D93D05"/>
    <w:rsid w:val="00D93DEC"/>
    <w:rsid w:val="00D93E60"/>
    <w:rsid w:val="00D940D9"/>
    <w:rsid w:val="00D94699"/>
    <w:rsid w:val="00D94739"/>
    <w:rsid w:val="00D949D6"/>
    <w:rsid w:val="00D94D5E"/>
    <w:rsid w:val="00D94F24"/>
    <w:rsid w:val="00D95267"/>
    <w:rsid w:val="00D9536D"/>
    <w:rsid w:val="00D958EF"/>
    <w:rsid w:val="00D95975"/>
    <w:rsid w:val="00D95B0E"/>
    <w:rsid w:val="00D95C08"/>
    <w:rsid w:val="00D95C1E"/>
    <w:rsid w:val="00D95FE2"/>
    <w:rsid w:val="00D9649E"/>
    <w:rsid w:val="00D964C1"/>
    <w:rsid w:val="00D9650C"/>
    <w:rsid w:val="00D9653E"/>
    <w:rsid w:val="00D9671B"/>
    <w:rsid w:val="00D96F9A"/>
    <w:rsid w:val="00D973D1"/>
    <w:rsid w:val="00D97406"/>
    <w:rsid w:val="00D97538"/>
    <w:rsid w:val="00D975B8"/>
    <w:rsid w:val="00D979F4"/>
    <w:rsid w:val="00D97A1B"/>
    <w:rsid w:val="00D97A4C"/>
    <w:rsid w:val="00D97AB1"/>
    <w:rsid w:val="00D97E36"/>
    <w:rsid w:val="00D97F73"/>
    <w:rsid w:val="00DA00F0"/>
    <w:rsid w:val="00DA0287"/>
    <w:rsid w:val="00DA03D5"/>
    <w:rsid w:val="00DA03DE"/>
    <w:rsid w:val="00DA07B8"/>
    <w:rsid w:val="00DA093A"/>
    <w:rsid w:val="00DA0ABC"/>
    <w:rsid w:val="00DA0C0B"/>
    <w:rsid w:val="00DA0C5C"/>
    <w:rsid w:val="00DA0CAE"/>
    <w:rsid w:val="00DA0CD0"/>
    <w:rsid w:val="00DA0E43"/>
    <w:rsid w:val="00DA0FDC"/>
    <w:rsid w:val="00DA1073"/>
    <w:rsid w:val="00DA124C"/>
    <w:rsid w:val="00DA136E"/>
    <w:rsid w:val="00DA1755"/>
    <w:rsid w:val="00DA185D"/>
    <w:rsid w:val="00DA189D"/>
    <w:rsid w:val="00DA195C"/>
    <w:rsid w:val="00DA1D29"/>
    <w:rsid w:val="00DA1D73"/>
    <w:rsid w:val="00DA1F33"/>
    <w:rsid w:val="00DA1F3A"/>
    <w:rsid w:val="00DA20C9"/>
    <w:rsid w:val="00DA2317"/>
    <w:rsid w:val="00DA255D"/>
    <w:rsid w:val="00DA2695"/>
    <w:rsid w:val="00DA297C"/>
    <w:rsid w:val="00DA297E"/>
    <w:rsid w:val="00DA2F90"/>
    <w:rsid w:val="00DA32B4"/>
    <w:rsid w:val="00DA342C"/>
    <w:rsid w:val="00DA34E1"/>
    <w:rsid w:val="00DA3516"/>
    <w:rsid w:val="00DA370F"/>
    <w:rsid w:val="00DA3992"/>
    <w:rsid w:val="00DA3AB0"/>
    <w:rsid w:val="00DA3CB4"/>
    <w:rsid w:val="00DA3DF5"/>
    <w:rsid w:val="00DA4177"/>
    <w:rsid w:val="00DA4449"/>
    <w:rsid w:val="00DA452E"/>
    <w:rsid w:val="00DA4779"/>
    <w:rsid w:val="00DA49C2"/>
    <w:rsid w:val="00DA4AB7"/>
    <w:rsid w:val="00DA4E63"/>
    <w:rsid w:val="00DA50C6"/>
    <w:rsid w:val="00DA54AA"/>
    <w:rsid w:val="00DA54D1"/>
    <w:rsid w:val="00DA54E3"/>
    <w:rsid w:val="00DA56F9"/>
    <w:rsid w:val="00DA57D3"/>
    <w:rsid w:val="00DA58E1"/>
    <w:rsid w:val="00DA5A49"/>
    <w:rsid w:val="00DA5C3E"/>
    <w:rsid w:val="00DA5C59"/>
    <w:rsid w:val="00DA627E"/>
    <w:rsid w:val="00DA6CBD"/>
    <w:rsid w:val="00DA6D25"/>
    <w:rsid w:val="00DA6E1D"/>
    <w:rsid w:val="00DA6E60"/>
    <w:rsid w:val="00DA6F4E"/>
    <w:rsid w:val="00DA7100"/>
    <w:rsid w:val="00DA75B1"/>
    <w:rsid w:val="00DA7727"/>
    <w:rsid w:val="00DA77D1"/>
    <w:rsid w:val="00DA77DF"/>
    <w:rsid w:val="00DA7988"/>
    <w:rsid w:val="00DA7AFD"/>
    <w:rsid w:val="00DA7C4E"/>
    <w:rsid w:val="00DA7DF0"/>
    <w:rsid w:val="00DA7E01"/>
    <w:rsid w:val="00DA7E93"/>
    <w:rsid w:val="00DA7EC6"/>
    <w:rsid w:val="00DB0021"/>
    <w:rsid w:val="00DB006A"/>
    <w:rsid w:val="00DB00F0"/>
    <w:rsid w:val="00DB0214"/>
    <w:rsid w:val="00DB03D7"/>
    <w:rsid w:val="00DB04B1"/>
    <w:rsid w:val="00DB0619"/>
    <w:rsid w:val="00DB0A3C"/>
    <w:rsid w:val="00DB0B36"/>
    <w:rsid w:val="00DB0B4A"/>
    <w:rsid w:val="00DB0C56"/>
    <w:rsid w:val="00DB0DA4"/>
    <w:rsid w:val="00DB0E31"/>
    <w:rsid w:val="00DB11E8"/>
    <w:rsid w:val="00DB123F"/>
    <w:rsid w:val="00DB124F"/>
    <w:rsid w:val="00DB12EA"/>
    <w:rsid w:val="00DB15A4"/>
    <w:rsid w:val="00DB15F9"/>
    <w:rsid w:val="00DB1935"/>
    <w:rsid w:val="00DB197E"/>
    <w:rsid w:val="00DB1B1B"/>
    <w:rsid w:val="00DB1BBF"/>
    <w:rsid w:val="00DB1C03"/>
    <w:rsid w:val="00DB1C34"/>
    <w:rsid w:val="00DB1C62"/>
    <w:rsid w:val="00DB1EC9"/>
    <w:rsid w:val="00DB2012"/>
    <w:rsid w:val="00DB2340"/>
    <w:rsid w:val="00DB238D"/>
    <w:rsid w:val="00DB249D"/>
    <w:rsid w:val="00DB24C6"/>
    <w:rsid w:val="00DB2938"/>
    <w:rsid w:val="00DB2AF9"/>
    <w:rsid w:val="00DB2BC0"/>
    <w:rsid w:val="00DB2FE1"/>
    <w:rsid w:val="00DB302F"/>
    <w:rsid w:val="00DB30ED"/>
    <w:rsid w:val="00DB317C"/>
    <w:rsid w:val="00DB37CB"/>
    <w:rsid w:val="00DB396A"/>
    <w:rsid w:val="00DB39BB"/>
    <w:rsid w:val="00DB3C88"/>
    <w:rsid w:val="00DB402F"/>
    <w:rsid w:val="00DB419B"/>
    <w:rsid w:val="00DB423D"/>
    <w:rsid w:val="00DB4319"/>
    <w:rsid w:val="00DB433F"/>
    <w:rsid w:val="00DB439F"/>
    <w:rsid w:val="00DB4570"/>
    <w:rsid w:val="00DB4696"/>
    <w:rsid w:val="00DB4771"/>
    <w:rsid w:val="00DB47F5"/>
    <w:rsid w:val="00DB487B"/>
    <w:rsid w:val="00DB48DF"/>
    <w:rsid w:val="00DB49B2"/>
    <w:rsid w:val="00DB4D4F"/>
    <w:rsid w:val="00DB4E5F"/>
    <w:rsid w:val="00DB4E7B"/>
    <w:rsid w:val="00DB4EA8"/>
    <w:rsid w:val="00DB4FA7"/>
    <w:rsid w:val="00DB5024"/>
    <w:rsid w:val="00DB5038"/>
    <w:rsid w:val="00DB517D"/>
    <w:rsid w:val="00DB53E7"/>
    <w:rsid w:val="00DB5425"/>
    <w:rsid w:val="00DB5581"/>
    <w:rsid w:val="00DB5689"/>
    <w:rsid w:val="00DB5699"/>
    <w:rsid w:val="00DB5850"/>
    <w:rsid w:val="00DB5C8E"/>
    <w:rsid w:val="00DB5DE6"/>
    <w:rsid w:val="00DB5E2D"/>
    <w:rsid w:val="00DB5FBD"/>
    <w:rsid w:val="00DB628B"/>
    <w:rsid w:val="00DB6C18"/>
    <w:rsid w:val="00DB6C9A"/>
    <w:rsid w:val="00DB6CF8"/>
    <w:rsid w:val="00DB7175"/>
    <w:rsid w:val="00DB7179"/>
    <w:rsid w:val="00DB71FD"/>
    <w:rsid w:val="00DB735B"/>
    <w:rsid w:val="00DB7363"/>
    <w:rsid w:val="00DB747C"/>
    <w:rsid w:val="00DB7683"/>
    <w:rsid w:val="00DB76B0"/>
    <w:rsid w:val="00DB76DC"/>
    <w:rsid w:val="00DB78C9"/>
    <w:rsid w:val="00DB78EC"/>
    <w:rsid w:val="00DB7993"/>
    <w:rsid w:val="00DBA5AA"/>
    <w:rsid w:val="00DC0043"/>
    <w:rsid w:val="00DC00AB"/>
    <w:rsid w:val="00DC0252"/>
    <w:rsid w:val="00DC0280"/>
    <w:rsid w:val="00DC03A7"/>
    <w:rsid w:val="00DC0498"/>
    <w:rsid w:val="00DC05A5"/>
    <w:rsid w:val="00DC06A5"/>
    <w:rsid w:val="00DC0712"/>
    <w:rsid w:val="00DC0751"/>
    <w:rsid w:val="00DC07C0"/>
    <w:rsid w:val="00DC086B"/>
    <w:rsid w:val="00DC088C"/>
    <w:rsid w:val="00DC0A49"/>
    <w:rsid w:val="00DC0AE3"/>
    <w:rsid w:val="00DC0B44"/>
    <w:rsid w:val="00DC0B93"/>
    <w:rsid w:val="00DC0DCB"/>
    <w:rsid w:val="00DC0DE7"/>
    <w:rsid w:val="00DC0DF9"/>
    <w:rsid w:val="00DC0F2C"/>
    <w:rsid w:val="00DC10A9"/>
    <w:rsid w:val="00DC1150"/>
    <w:rsid w:val="00DC1583"/>
    <w:rsid w:val="00DC19A0"/>
    <w:rsid w:val="00DC1A91"/>
    <w:rsid w:val="00DC1D13"/>
    <w:rsid w:val="00DC1D29"/>
    <w:rsid w:val="00DC1FCE"/>
    <w:rsid w:val="00DC2104"/>
    <w:rsid w:val="00DC2181"/>
    <w:rsid w:val="00DC2298"/>
    <w:rsid w:val="00DC255F"/>
    <w:rsid w:val="00DC25A1"/>
    <w:rsid w:val="00DC2606"/>
    <w:rsid w:val="00DC2674"/>
    <w:rsid w:val="00DC29ED"/>
    <w:rsid w:val="00DC2A3D"/>
    <w:rsid w:val="00DC2A81"/>
    <w:rsid w:val="00DC2A99"/>
    <w:rsid w:val="00DC2B52"/>
    <w:rsid w:val="00DC2F02"/>
    <w:rsid w:val="00DC2F8F"/>
    <w:rsid w:val="00DC3122"/>
    <w:rsid w:val="00DC315D"/>
    <w:rsid w:val="00DC32BE"/>
    <w:rsid w:val="00DC33DC"/>
    <w:rsid w:val="00DC345B"/>
    <w:rsid w:val="00DC38DB"/>
    <w:rsid w:val="00DC3D73"/>
    <w:rsid w:val="00DC3DAA"/>
    <w:rsid w:val="00DC3EB8"/>
    <w:rsid w:val="00DC3F26"/>
    <w:rsid w:val="00DC402D"/>
    <w:rsid w:val="00DC4194"/>
    <w:rsid w:val="00DC4250"/>
    <w:rsid w:val="00DC495D"/>
    <w:rsid w:val="00DC49C9"/>
    <w:rsid w:val="00DC4A2E"/>
    <w:rsid w:val="00DC4AC7"/>
    <w:rsid w:val="00DC4BB9"/>
    <w:rsid w:val="00DC4CDB"/>
    <w:rsid w:val="00DC4E07"/>
    <w:rsid w:val="00DC4EA4"/>
    <w:rsid w:val="00DC4F20"/>
    <w:rsid w:val="00DC513B"/>
    <w:rsid w:val="00DC520E"/>
    <w:rsid w:val="00DC55B4"/>
    <w:rsid w:val="00DC58B5"/>
    <w:rsid w:val="00DC5B07"/>
    <w:rsid w:val="00DC5B22"/>
    <w:rsid w:val="00DC5BFF"/>
    <w:rsid w:val="00DC5C33"/>
    <w:rsid w:val="00DC5D08"/>
    <w:rsid w:val="00DC5D37"/>
    <w:rsid w:val="00DC60D8"/>
    <w:rsid w:val="00DC61DC"/>
    <w:rsid w:val="00DC6661"/>
    <w:rsid w:val="00DC68E4"/>
    <w:rsid w:val="00DC6A30"/>
    <w:rsid w:val="00DC6A6D"/>
    <w:rsid w:val="00DC6AA5"/>
    <w:rsid w:val="00DC6AFB"/>
    <w:rsid w:val="00DC6B47"/>
    <w:rsid w:val="00DC6BD3"/>
    <w:rsid w:val="00DC6C65"/>
    <w:rsid w:val="00DC6F32"/>
    <w:rsid w:val="00DC6F40"/>
    <w:rsid w:val="00DC7117"/>
    <w:rsid w:val="00DC712F"/>
    <w:rsid w:val="00DC741E"/>
    <w:rsid w:val="00DC7422"/>
    <w:rsid w:val="00DC7435"/>
    <w:rsid w:val="00DC74B8"/>
    <w:rsid w:val="00DC7761"/>
    <w:rsid w:val="00DC7789"/>
    <w:rsid w:val="00DC77C9"/>
    <w:rsid w:val="00DC7CE0"/>
    <w:rsid w:val="00DC7F20"/>
    <w:rsid w:val="00DD0023"/>
    <w:rsid w:val="00DD0255"/>
    <w:rsid w:val="00DD03B8"/>
    <w:rsid w:val="00DD07A2"/>
    <w:rsid w:val="00DD08EA"/>
    <w:rsid w:val="00DD0BE9"/>
    <w:rsid w:val="00DD0BF3"/>
    <w:rsid w:val="00DD0FF5"/>
    <w:rsid w:val="00DD1295"/>
    <w:rsid w:val="00DD156C"/>
    <w:rsid w:val="00DD164E"/>
    <w:rsid w:val="00DD16BE"/>
    <w:rsid w:val="00DD182E"/>
    <w:rsid w:val="00DD1A92"/>
    <w:rsid w:val="00DD1B9B"/>
    <w:rsid w:val="00DD1C46"/>
    <w:rsid w:val="00DD1CDA"/>
    <w:rsid w:val="00DD1DE6"/>
    <w:rsid w:val="00DD1F58"/>
    <w:rsid w:val="00DD23E6"/>
    <w:rsid w:val="00DD23FD"/>
    <w:rsid w:val="00DD256A"/>
    <w:rsid w:val="00DD2597"/>
    <w:rsid w:val="00DD2660"/>
    <w:rsid w:val="00DD2AF1"/>
    <w:rsid w:val="00DD2AFF"/>
    <w:rsid w:val="00DD2B51"/>
    <w:rsid w:val="00DD2BAD"/>
    <w:rsid w:val="00DD2FE6"/>
    <w:rsid w:val="00DD30AD"/>
    <w:rsid w:val="00DD3911"/>
    <w:rsid w:val="00DD39B3"/>
    <w:rsid w:val="00DD39C3"/>
    <w:rsid w:val="00DD3A8A"/>
    <w:rsid w:val="00DD3BE0"/>
    <w:rsid w:val="00DD41BB"/>
    <w:rsid w:val="00DD41F8"/>
    <w:rsid w:val="00DD430A"/>
    <w:rsid w:val="00DD4778"/>
    <w:rsid w:val="00DD4A7B"/>
    <w:rsid w:val="00DD4BFE"/>
    <w:rsid w:val="00DD4C17"/>
    <w:rsid w:val="00DD5001"/>
    <w:rsid w:val="00DD519D"/>
    <w:rsid w:val="00DD51A5"/>
    <w:rsid w:val="00DD5292"/>
    <w:rsid w:val="00DD53B6"/>
    <w:rsid w:val="00DD5505"/>
    <w:rsid w:val="00DD598C"/>
    <w:rsid w:val="00DD5A37"/>
    <w:rsid w:val="00DD5BDE"/>
    <w:rsid w:val="00DD5C89"/>
    <w:rsid w:val="00DD5C8C"/>
    <w:rsid w:val="00DD617A"/>
    <w:rsid w:val="00DD61BE"/>
    <w:rsid w:val="00DD6281"/>
    <w:rsid w:val="00DD63BB"/>
    <w:rsid w:val="00DD648B"/>
    <w:rsid w:val="00DD6781"/>
    <w:rsid w:val="00DD695C"/>
    <w:rsid w:val="00DD6E6C"/>
    <w:rsid w:val="00DD6F0F"/>
    <w:rsid w:val="00DD6F9E"/>
    <w:rsid w:val="00DD7192"/>
    <w:rsid w:val="00DD7295"/>
    <w:rsid w:val="00DD7299"/>
    <w:rsid w:val="00DD7362"/>
    <w:rsid w:val="00DD7616"/>
    <w:rsid w:val="00DD7713"/>
    <w:rsid w:val="00DD774B"/>
    <w:rsid w:val="00DD77BE"/>
    <w:rsid w:val="00DD788A"/>
    <w:rsid w:val="00DD7E01"/>
    <w:rsid w:val="00DE0251"/>
    <w:rsid w:val="00DE037B"/>
    <w:rsid w:val="00DE0496"/>
    <w:rsid w:val="00DE05CE"/>
    <w:rsid w:val="00DE073F"/>
    <w:rsid w:val="00DE08B8"/>
    <w:rsid w:val="00DE0941"/>
    <w:rsid w:val="00DE0A74"/>
    <w:rsid w:val="00DE0DA1"/>
    <w:rsid w:val="00DE0F55"/>
    <w:rsid w:val="00DE1003"/>
    <w:rsid w:val="00DE118D"/>
    <w:rsid w:val="00DE11CC"/>
    <w:rsid w:val="00DE140A"/>
    <w:rsid w:val="00DE155E"/>
    <w:rsid w:val="00DE1CB5"/>
    <w:rsid w:val="00DE1D50"/>
    <w:rsid w:val="00DE1F84"/>
    <w:rsid w:val="00DE1FB7"/>
    <w:rsid w:val="00DE2056"/>
    <w:rsid w:val="00DE25FC"/>
    <w:rsid w:val="00DE26BF"/>
    <w:rsid w:val="00DE26D8"/>
    <w:rsid w:val="00DE299F"/>
    <w:rsid w:val="00DE29FD"/>
    <w:rsid w:val="00DE2A97"/>
    <w:rsid w:val="00DE2A9A"/>
    <w:rsid w:val="00DE2B10"/>
    <w:rsid w:val="00DE2C17"/>
    <w:rsid w:val="00DE2F7A"/>
    <w:rsid w:val="00DE30BE"/>
    <w:rsid w:val="00DE3333"/>
    <w:rsid w:val="00DE360D"/>
    <w:rsid w:val="00DE3881"/>
    <w:rsid w:val="00DE38AD"/>
    <w:rsid w:val="00DE39CA"/>
    <w:rsid w:val="00DE3D78"/>
    <w:rsid w:val="00DE3E15"/>
    <w:rsid w:val="00DE3E23"/>
    <w:rsid w:val="00DE469B"/>
    <w:rsid w:val="00DE4856"/>
    <w:rsid w:val="00DE48B0"/>
    <w:rsid w:val="00DE4F68"/>
    <w:rsid w:val="00DE4FE9"/>
    <w:rsid w:val="00DE510B"/>
    <w:rsid w:val="00DE518C"/>
    <w:rsid w:val="00DE529C"/>
    <w:rsid w:val="00DE52EE"/>
    <w:rsid w:val="00DE55AC"/>
    <w:rsid w:val="00DE5B1B"/>
    <w:rsid w:val="00DE5BA6"/>
    <w:rsid w:val="00DE5D41"/>
    <w:rsid w:val="00DE5F8C"/>
    <w:rsid w:val="00DE64E7"/>
    <w:rsid w:val="00DE64EF"/>
    <w:rsid w:val="00DE662E"/>
    <w:rsid w:val="00DE6700"/>
    <w:rsid w:val="00DE6B85"/>
    <w:rsid w:val="00DE6E33"/>
    <w:rsid w:val="00DE73B0"/>
    <w:rsid w:val="00DE7641"/>
    <w:rsid w:val="00DE781D"/>
    <w:rsid w:val="00DE791B"/>
    <w:rsid w:val="00DE7A0F"/>
    <w:rsid w:val="00DE7D09"/>
    <w:rsid w:val="00DE7DA0"/>
    <w:rsid w:val="00DF009B"/>
    <w:rsid w:val="00DF017B"/>
    <w:rsid w:val="00DF023C"/>
    <w:rsid w:val="00DF05E3"/>
    <w:rsid w:val="00DF0648"/>
    <w:rsid w:val="00DF0847"/>
    <w:rsid w:val="00DF086C"/>
    <w:rsid w:val="00DF08D4"/>
    <w:rsid w:val="00DF09CA"/>
    <w:rsid w:val="00DF0A66"/>
    <w:rsid w:val="00DF0CA9"/>
    <w:rsid w:val="00DF0D24"/>
    <w:rsid w:val="00DF0F7A"/>
    <w:rsid w:val="00DF132D"/>
    <w:rsid w:val="00DF1350"/>
    <w:rsid w:val="00DF1381"/>
    <w:rsid w:val="00DF177C"/>
    <w:rsid w:val="00DF190F"/>
    <w:rsid w:val="00DF1A43"/>
    <w:rsid w:val="00DF1C43"/>
    <w:rsid w:val="00DF1DC8"/>
    <w:rsid w:val="00DF1E5C"/>
    <w:rsid w:val="00DF20A8"/>
    <w:rsid w:val="00DF2543"/>
    <w:rsid w:val="00DF27B1"/>
    <w:rsid w:val="00DF27EA"/>
    <w:rsid w:val="00DF283D"/>
    <w:rsid w:val="00DF29E5"/>
    <w:rsid w:val="00DF2A24"/>
    <w:rsid w:val="00DF2BFC"/>
    <w:rsid w:val="00DF2E49"/>
    <w:rsid w:val="00DF2F03"/>
    <w:rsid w:val="00DF2F3A"/>
    <w:rsid w:val="00DF3332"/>
    <w:rsid w:val="00DF35A9"/>
    <w:rsid w:val="00DF3634"/>
    <w:rsid w:val="00DF378A"/>
    <w:rsid w:val="00DF3D7B"/>
    <w:rsid w:val="00DF3F86"/>
    <w:rsid w:val="00DF3FCA"/>
    <w:rsid w:val="00DF4234"/>
    <w:rsid w:val="00DF4325"/>
    <w:rsid w:val="00DF435D"/>
    <w:rsid w:val="00DF467B"/>
    <w:rsid w:val="00DF46F0"/>
    <w:rsid w:val="00DF4985"/>
    <w:rsid w:val="00DF4A89"/>
    <w:rsid w:val="00DF4B31"/>
    <w:rsid w:val="00DF4C4C"/>
    <w:rsid w:val="00DF4CF5"/>
    <w:rsid w:val="00DF4D06"/>
    <w:rsid w:val="00DF4EC3"/>
    <w:rsid w:val="00DF4F67"/>
    <w:rsid w:val="00DF50D8"/>
    <w:rsid w:val="00DF5158"/>
    <w:rsid w:val="00DF52B7"/>
    <w:rsid w:val="00DF5422"/>
    <w:rsid w:val="00DF548B"/>
    <w:rsid w:val="00DF5567"/>
    <w:rsid w:val="00DF55F9"/>
    <w:rsid w:val="00DF562E"/>
    <w:rsid w:val="00DF572A"/>
    <w:rsid w:val="00DF58A0"/>
    <w:rsid w:val="00DF5A9E"/>
    <w:rsid w:val="00DF5D51"/>
    <w:rsid w:val="00DF5E9F"/>
    <w:rsid w:val="00DF60B2"/>
    <w:rsid w:val="00DF6103"/>
    <w:rsid w:val="00DF623E"/>
    <w:rsid w:val="00DF6300"/>
    <w:rsid w:val="00DF6425"/>
    <w:rsid w:val="00DF64DD"/>
    <w:rsid w:val="00DF6570"/>
    <w:rsid w:val="00DF6614"/>
    <w:rsid w:val="00DF671D"/>
    <w:rsid w:val="00DF6A6E"/>
    <w:rsid w:val="00DF6B29"/>
    <w:rsid w:val="00DF6E07"/>
    <w:rsid w:val="00DF6EE8"/>
    <w:rsid w:val="00DF6FF0"/>
    <w:rsid w:val="00DF700C"/>
    <w:rsid w:val="00DF7236"/>
    <w:rsid w:val="00DF72BA"/>
    <w:rsid w:val="00DF776C"/>
    <w:rsid w:val="00DF7BA2"/>
    <w:rsid w:val="00DF7C08"/>
    <w:rsid w:val="00DF7DDF"/>
    <w:rsid w:val="00E00168"/>
    <w:rsid w:val="00E004BE"/>
    <w:rsid w:val="00E005E0"/>
    <w:rsid w:val="00E00640"/>
    <w:rsid w:val="00E006B8"/>
    <w:rsid w:val="00E0089F"/>
    <w:rsid w:val="00E008E5"/>
    <w:rsid w:val="00E009DC"/>
    <w:rsid w:val="00E00A5E"/>
    <w:rsid w:val="00E00E1A"/>
    <w:rsid w:val="00E00E92"/>
    <w:rsid w:val="00E00F64"/>
    <w:rsid w:val="00E01043"/>
    <w:rsid w:val="00E01436"/>
    <w:rsid w:val="00E01588"/>
    <w:rsid w:val="00E01688"/>
    <w:rsid w:val="00E018CF"/>
    <w:rsid w:val="00E01997"/>
    <w:rsid w:val="00E01A54"/>
    <w:rsid w:val="00E01B19"/>
    <w:rsid w:val="00E02014"/>
    <w:rsid w:val="00E02139"/>
    <w:rsid w:val="00E02200"/>
    <w:rsid w:val="00E0239A"/>
    <w:rsid w:val="00E02450"/>
    <w:rsid w:val="00E02465"/>
    <w:rsid w:val="00E026F6"/>
    <w:rsid w:val="00E0278E"/>
    <w:rsid w:val="00E027EC"/>
    <w:rsid w:val="00E027EF"/>
    <w:rsid w:val="00E02980"/>
    <w:rsid w:val="00E02991"/>
    <w:rsid w:val="00E02A88"/>
    <w:rsid w:val="00E02B99"/>
    <w:rsid w:val="00E02E00"/>
    <w:rsid w:val="00E02ECD"/>
    <w:rsid w:val="00E0318E"/>
    <w:rsid w:val="00E031FD"/>
    <w:rsid w:val="00E0342D"/>
    <w:rsid w:val="00E035BA"/>
    <w:rsid w:val="00E03627"/>
    <w:rsid w:val="00E0362D"/>
    <w:rsid w:val="00E036D8"/>
    <w:rsid w:val="00E0397D"/>
    <w:rsid w:val="00E039E9"/>
    <w:rsid w:val="00E04044"/>
    <w:rsid w:val="00E042C1"/>
    <w:rsid w:val="00E0436F"/>
    <w:rsid w:val="00E043F4"/>
    <w:rsid w:val="00E04557"/>
    <w:rsid w:val="00E0466A"/>
    <w:rsid w:val="00E0489C"/>
    <w:rsid w:val="00E04935"/>
    <w:rsid w:val="00E04A1E"/>
    <w:rsid w:val="00E04AE6"/>
    <w:rsid w:val="00E04BE6"/>
    <w:rsid w:val="00E04C34"/>
    <w:rsid w:val="00E04CDE"/>
    <w:rsid w:val="00E04D6A"/>
    <w:rsid w:val="00E04FCB"/>
    <w:rsid w:val="00E05546"/>
    <w:rsid w:val="00E057E0"/>
    <w:rsid w:val="00E05B41"/>
    <w:rsid w:val="00E05D8D"/>
    <w:rsid w:val="00E05E69"/>
    <w:rsid w:val="00E05ED9"/>
    <w:rsid w:val="00E060CF"/>
    <w:rsid w:val="00E06150"/>
    <w:rsid w:val="00E061A2"/>
    <w:rsid w:val="00E061E1"/>
    <w:rsid w:val="00E062C7"/>
    <w:rsid w:val="00E0662E"/>
    <w:rsid w:val="00E066F5"/>
    <w:rsid w:val="00E06741"/>
    <w:rsid w:val="00E06941"/>
    <w:rsid w:val="00E06ABA"/>
    <w:rsid w:val="00E06B50"/>
    <w:rsid w:val="00E06BE4"/>
    <w:rsid w:val="00E06D7B"/>
    <w:rsid w:val="00E06E06"/>
    <w:rsid w:val="00E073A2"/>
    <w:rsid w:val="00E075A9"/>
    <w:rsid w:val="00E076B4"/>
    <w:rsid w:val="00E076F2"/>
    <w:rsid w:val="00E0777E"/>
    <w:rsid w:val="00E077DF"/>
    <w:rsid w:val="00E07ADC"/>
    <w:rsid w:val="00E07B0F"/>
    <w:rsid w:val="00E07D2F"/>
    <w:rsid w:val="00E07D33"/>
    <w:rsid w:val="00E10418"/>
    <w:rsid w:val="00E1042F"/>
    <w:rsid w:val="00E104DC"/>
    <w:rsid w:val="00E10531"/>
    <w:rsid w:val="00E10570"/>
    <w:rsid w:val="00E106DF"/>
    <w:rsid w:val="00E10729"/>
    <w:rsid w:val="00E107A2"/>
    <w:rsid w:val="00E109A2"/>
    <w:rsid w:val="00E10ACB"/>
    <w:rsid w:val="00E10C47"/>
    <w:rsid w:val="00E10CE5"/>
    <w:rsid w:val="00E10DE1"/>
    <w:rsid w:val="00E10E6D"/>
    <w:rsid w:val="00E10EBE"/>
    <w:rsid w:val="00E10FDC"/>
    <w:rsid w:val="00E11370"/>
    <w:rsid w:val="00E11794"/>
    <w:rsid w:val="00E11806"/>
    <w:rsid w:val="00E1199C"/>
    <w:rsid w:val="00E11BB7"/>
    <w:rsid w:val="00E11BB8"/>
    <w:rsid w:val="00E11C1F"/>
    <w:rsid w:val="00E11D1B"/>
    <w:rsid w:val="00E11DB5"/>
    <w:rsid w:val="00E11F99"/>
    <w:rsid w:val="00E11FAD"/>
    <w:rsid w:val="00E11FB4"/>
    <w:rsid w:val="00E11FD1"/>
    <w:rsid w:val="00E1214A"/>
    <w:rsid w:val="00E12397"/>
    <w:rsid w:val="00E126D5"/>
    <w:rsid w:val="00E12A10"/>
    <w:rsid w:val="00E12A4A"/>
    <w:rsid w:val="00E12B57"/>
    <w:rsid w:val="00E12E36"/>
    <w:rsid w:val="00E1325C"/>
    <w:rsid w:val="00E1328F"/>
    <w:rsid w:val="00E13489"/>
    <w:rsid w:val="00E134C7"/>
    <w:rsid w:val="00E134D8"/>
    <w:rsid w:val="00E135A5"/>
    <w:rsid w:val="00E137D8"/>
    <w:rsid w:val="00E137DD"/>
    <w:rsid w:val="00E13865"/>
    <w:rsid w:val="00E13D3A"/>
    <w:rsid w:val="00E13DAC"/>
    <w:rsid w:val="00E13E41"/>
    <w:rsid w:val="00E13F35"/>
    <w:rsid w:val="00E14062"/>
    <w:rsid w:val="00E140D8"/>
    <w:rsid w:val="00E141D6"/>
    <w:rsid w:val="00E14528"/>
    <w:rsid w:val="00E145DF"/>
    <w:rsid w:val="00E14889"/>
    <w:rsid w:val="00E14917"/>
    <w:rsid w:val="00E14C9C"/>
    <w:rsid w:val="00E14CD0"/>
    <w:rsid w:val="00E14D75"/>
    <w:rsid w:val="00E14D9D"/>
    <w:rsid w:val="00E14DF0"/>
    <w:rsid w:val="00E14E37"/>
    <w:rsid w:val="00E14E60"/>
    <w:rsid w:val="00E14F62"/>
    <w:rsid w:val="00E14F83"/>
    <w:rsid w:val="00E1524C"/>
    <w:rsid w:val="00E152E2"/>
    <w:rsid w:val="00E15360"/>
    <w:rsid w:val="00E153CE"/>
    <w:rsid w:val="00E15426"/>
    <w:rsid w:val="00E15495"/>
    <w:rsid w:val="00E1575C"/>
    <w:rsid w:val="00E1599B"/>
    <w:rsid w:val="00E15AFF"/>
    <w:rsid w:val="00E15B25"/>
    <w:rsid w:val="00E15DFD"/>
    <w:rsid w:val="00E15E99"/>
    <w:rsid w:val="00E15ED8"/>
    <w:rsid w:val="00E15F51"/>
    <w:rsid w:val="00E15FB0"/>
    <w:rsid w:val="00E15FD6"/>
    <w:rsid w:val="00E16214"/>
    <w:rsid w:val="00E16470"/>
    <w:rsid w:val="00E16542"/>
    <w:rsid w:val="00E165C1"/>
    <w:rsid w:val="00E16A47"/>
    <w:rsid w:val="00E16AEF"/>
    <w:rsid w:val="00E16B98"/>
    <w:rsid w:val="00E16E47"/>
    <w:rsid w:val="00E16E58"/>
    <w:rsid w:val="00E1707F"/>
    <w:rsid w:val="00E1743F"/>
    <w:rsid w:val="00E175F8"/>
    <w:rsid w:val="00E1761E"/>
    <w:rsid w:val="00E177CC"/>
    <w:rsid w:val="00E177D5"/>
    <w:rsid w:val="00E17867"/>
    <w:rsid w:val="00E17B6E"/>
    <w:rsid w:val="00E17C37"/>
    <w:rsid w:val="00E17C82"/>
    <w:rsid w:val="00E17DBB"/>
    <w:rsid w:val="00E17EBF"/>
    <w:rsid w:val="00E17ED1"/>
    <w:rsid w:val="00E17EDB"/>
    <w:rsid w:val="00E2014C"/>
    <w:rsid w:val="00E20658"/>
    <w:rsid w:val="00E207B0"/>
    <w:rsid w:val="00E20A5E"/>
    <w:rsid w:val="00E20C45"/>
    <w:rsid w:val="00E20F38"/>
    <w:rsid w:val="00E211AB"/>
    <w:rsid w:val="00E2131C"/>
    <w:rsid w:val="00E21AEC"/>
    <w:rsid w:val="00E21E75"/>
    <w:rsid w:val="00E2259E"/>
    <w:rsid w:val="00E228C1"/>
    <w:rsid w:val="00E22A85"/>
    <w:rsid w:val="00E22C84"/>
    <w:rsid w:val="00E22CF0"/>
    <w:rsid w:val="00E22E09"/>
    <w:rsid w:val="00E22EE1"/>
    <w:rsid w:val="00E22F43"/>
    <w:rsid w:val="00E22F95"/>
    <w:rsid w:val="00E22FB7"/>
    <w:rsid w:val="00E231D6"/>
    <w:rsid w:val="00E23286"/>
    <w:rsid w:val="00E23362"/>
    <w:rsid w:val="00E2356B"/>
    <w:rsid w:val="00E2364D"/>
    <w:rsid w:val="00E2373F"/>
    <w:rsid w:val="00E23819"/>
    <w:rsid w:val="00E2393A"/>
    <w:rsid w:val="00E23999"/>
    <w:rsid w:val="00E239BB"/>
    <w:rsid w:val="00E239C5"/>
    <w:rsid w:val="00E23A47"/>
    <w:rsid w:val="00E23A94"/>
    <w:rsid w:val="00E23B64"/>
    <w:rsid w:val="00E23CC1"/>
    <w:rsid w:val="00E23DB8"/>
    <w:rsid w:val="00E23F38"/>
    <w:rsid w:val="00E2403F"/>
    <w:rsid w:val="00E2412E"/>
    <w:rsid w:val="00E2433B"/>
    <w:rsid w:val="00E243C5"/>
    <w:rsid w:val="00E2446C"/>
    <w:rsid w:val="00E247C0"/>
    <w:rsid w:val="00E24819"/>
    <w:rsid w:val="00E24933"/>
    <w:rsid w:val="00E24A0E"/>
    <w:rsid w:val="00E24AA0"/>
    <w:rsid w:val="00E24ACA"/>
    <w:rsid w:val="00E24CC9"/>
    <w:rsid w:val="00E24EFB"/>
    <w:rsid w:val="00E25120"/>
    <w:rsid w:val="00E252BF"/>
    <w:rsid w:val="00E253C6"/>
    <w:rsid w:val="00E255CF"/>
    <w:rsid w:val="00E25632"/>
    <w:rsid w:val="00E256A1"/>
    <w:rsid w:val="00E2594B"/>
    <w:rsid w:val="00E25ECD"/>
    <w:rsid w:val="00E261DB"/>
    <w:rsid w:val="00E26283"/>
    <w:rsid w:val="00E26286"/>
    <w:rsid w:val="00E262DE"/>
    <w:rsid w:val="00E26560"/>
    <w:rsid w:val="00E26592"/>
    <w:rsid w:val="00E26912"/>
    <w:rsid w:val="00E26D0C"/>
    <w:rsid w:val="00E26DDE"/>
    <w:rsid w:val="00E27042"/>
    <w:rsid w:val="00E2706A"/>
    <w:rsid w:val="00E27132"/>
    <w:rsid w:val="00E27426"/>
    <w:rsid w:val="00E27570"/>
    <w:rsid w:val="00E2771B"/>
    <w:rsid w:val="00E2782F"/>
    <w:rsid w:val="00E27A1A"/>
    <w:rsid w:val="00E27AC5"/>
    <w:rsid w:val="00E27B72"/>
    <w:rsid w:val="00E27E1B"/>
    <w:rsid w:val="00E30164"/>
    <w:rsid w:val="00E30426"/>
    <w:rsid w:val="00E3056E"/>
    <w:rsid w:val="00E306A7"/>
    <w:rsid w:val="00E3098A"/>
    <w:rsid w:val="00E309CE"/>
    <w:rsid w:val="00E30B88"/>
    <w:rsid w:val="00E30D9C"/>
    <w:rsid w:val="00E30E4B"/>
    <w:rsid w:val="00E30E4F"/>
    <w:rsid w:val="00E30EFD"/>
    <w:rsid w:val="00E30F02"/>
    <w:rsid w:val="00E31099"/>
    <w:rsid w:val="00E31193"/>
    <w:rsid w:val="00E31351"/>
    <w:rsid w:val="00E31373"/>
    <w:rsid w:val="00E315ED"/>
    <w:rsid w:val="00E3166E"/>
    <w:rsid w:val="00E3174E"/>
    <w:rsid w:val="00E31A1D"/>
    <w:rsid w:val="00E31A5E"/>
    <w:rsid w:val="00E31B13"/>
    <w:rsid w:val="00E31B42"/>
    <w:rsid w:val="00E31B69"/>
    <w:rsid w:val="00E31E3F"/>
    <w:rsid w:val="00E321B8"/>
    <w:rsid w:val="00E321D7"/>
    <w:rsid w:val="00E32524"/>
    <w:rsid w:val="00E326DC"/>
    <w:rsid w:val="00E326FC"/>
    <w:rsid w:val="00E327B4"/>
    <w:rsid w:val="00E32B03"/>
    <w:rsid w:val="00E32E5B"/>
    <w:rsid w:val="00E32EF0"/>
    <w:rsid w:val="00E32F2D"/>
    <w:rsid w:val="00E33132"/>
    <w:rsid w:val="00E33136"/>
    <w:rsid w:val="00E33202"/>
    <w:rsid w:val="00E33472"/>
    <w:rsid w:val="00E3349C"/>
    <w:rsid w:val="00E33645"/>
    <w:rsid w:val="00E33684"/>
    <w:rsid w:val="00E339E1"/>
    <w:rsid w:val="00E33B8B"/>
    <w:rsid w:val="00E33C27"/>
    <w:rsid w:val="00E33C5D"/>
    <w:rsid w:val="00E33F0C"/>
    <w:rsid w:val="00E33F92"/>
    <w:rsid w:val="00E3416D"/>
    <w:rsid w:val="00E34526"/>
    <w:rsid w:val="00E346DC"/>
    <w:rsid w:val="00E34C2A"/>
    <w:rsid w:val="00E34C87"/>
    <w:rsid w:val="00E34E0D"/>
    <w:rsid w:val="00E35740"/>
    <w:rsid w:val="00E357A7"/>
    <w:rsid w:val="00E35806"/>
    <w:rsid w:val="00E35891"/>
    <w:rsid w:val="00E359AD"/>
    <w:rsid w:val="00E359B4"/>
    <w:rsid w:val="00E35B23"/>
    <w:rsid w:val="00E35BC2"/>
    <w:rsid w:val="00E35F15"/>
    <w:rsid w:val="00E36013"/>
    <w:rsid w:val="00E36048"/>
    <w:rsid w:val="00E362A6"/>
    <w:rsid w:val="00E36473"/>
    <w:rsid w:val="00E36781"/>
    <w:rsid w:val="00E3693F"/>
    <w:rsid w:val="00E36B0B"/>
    <w:rsid w:val="00E36B12"/>
    <w:rsid w:val="00E36C1C"/>
    <w:rsid w:val="00E36C23"/>
    <w:rsid w:val="00E36C89"/>
    <w:rsid w:val="00E36D4B"/>
    <w:rsid w:val="00E36DA1"/>
    <w:rsid w:val="00E373B2"/>
    <w:rsid w:val="00E37533"/>
    <w:rsid w:val="00E37689"/>
    <w:rsid w:val="00E3768E"/>
    <w:rsid w:val="00E37835"/>
    <w:rsid w:val="00E37A5E"/>
    <w:rsid w:val="00E37B4F"/>
    <w:rsid w:val="00E37B73"/>
    <w:rsid w:val="00E37CEB"/>
    <w:rsid w:val="00E37D37"/>
    <w:rsid w:val="00E37F6A"/>
    <w:rsid w:val="00E37FF0"/>
    <w:rsid w:val="00E40035"/>
    <w:rsid w:val="00E4007E"/>
    <w:rsid w:val="00E4044F"/>
    <w:rsid w:val="00E405F1"/>
    <w:rsid w:val="00E40932"/>
    <w:rsid w:val="00E40939"/>
    <w:rsid w:val="00E4161A"/>
    <w:rsid w:val="00E41C65"/>
    <w:rsid w:val="00E41C7D"/>
    <w:rsid w:val="00E41E70"/>
    <w:rsid w:val="00E41EB4"/>
    <w:rsid w:val="00E4201C"/>
    <w:rsid w:val="00E4223E"/>
    <w:rsid w:val="00E422C3"/>
    <w:rsid w:val="00E4230C"/>
    <w:rsid w:val="00E4231E"/>
    <w:rsid w:val="00E42333"/>
    <w:rsid w:val="00E42378"/>
    <w:rsid w:val="00E425C1"/>
    <w:rsid w:val="00E426E4"/>
    <w:rsid w:val="00E42730"/>
    <w:rsid w:val="00E42783"/>
    <w:rsid w:val="00E427DE"/>
    <w:rsid w:val="00E42A14"/>
    <w:rsid w:val="00E42ABA"/>
    <w:rsid w:val="00E42B7A"/>
    <w:rsid w:val="00E42FAB"/>
    <w:rsid w:val="00E42FC3"/>
    <w:rsid w:val="00E4317F"/>
    <w:rsid w:val="00E4338F"/>
    <w:rsid w:val="00E4385B"/>
    <w:rsid w:val="00E4387F"/>
    <w:rsid w:val="00E439B0"/>
    <w:rsid w:val="00E43B00"/>
    <w:rsid w:val="00E43C78"/>
    <w:rsid w:val="00E43C79"/>
    <w:rsid w:val="00E43F7D"/>
    <w:rsid w:val="00E44331"/>
    <w:rsid w:val="00E4456F"/>
    <w:rsid w:val="00E447F4"/>
    <w:rsid w:val="00E4484F"/>
    <w:rsid w:val="00E44A26"/>
    <w:rsid w:val="00E44AB1"/>
    <w:rsid w:val="00E44B67"/>
    <w:rsid w:val="00E44C45"/>
    <w:rsid w:val="00E44E4B"/>
    <w:rsid w:val="00E44F97"/>
    <w:rsid w:val="00E450C3"/>
    <w:rsid w:val="00E4530D"/>
    <w:rsid w:val="00E45741"/>
    <w:rsid w:val="00E45CC2"/>
    <w:rsid w:val="00E45E47"/>
    <w:rsid w:val="00E46006"/>
    <w:rsid w:val="00E46019"/>
    <w:rsid w:val="00E462BC"/>
    <w:rsid w:val="00E464DC"/>
    <w:rsid w:val="00E46589"/>
    <w:rsid w:val="00E46637"/>
    <w:rsid w:val="00E4674F"/>
    <w:rsid w:val="00E46908"/>
    <w:rsid w:val="00E46994"/>
    <w:rsid w:val="00E46AF4"/>
    <w:rsid w:val="00E46C6C"/>
    <w:rsid w:val="00E46E3D"/>
    <w:rsid w:val="00E46E65"/>
    <w:rsid w:val="00E46F29"/>
    <w:rsid w:val="00E4701D"/>
    <w:rsid w:val="00E47217"/>
    <w:rsid w:val="00E4725A"/>
    <w:rsid w:val="00E474C3"/>
    <w:rsid w:val="00E476DF"/>
    <w:rsid w:val="00E47777"/>
    <w:rsid w:val="00E47780"/>
    <w:rsid w:val="00E47A92"/>
    <w:rsid w:val="00E47FDF"/>
    <w:rsid w:val="00E5010F"/>
    <w:rsid w:val="00E502A9"/>
    <w:rsid w:val="00E5037F"/>
    <w:rsid w:val="00E50611"/>
    <w:rsid w:val="00E5065F"/>
    <w:rsid w:val="00E5069B"/>
    <w:rsid w:val="00E509D4"/>
    <w:rsid w:val="00E50A65"/>
    <w:rsid w:val="00E50D90"/>
    <w:rsid w:val="00E50FBE"/>
    <w:rsid w:val="00E51110"/>
    <w:rsid w:val="00E51112"/>
    <w:rsid w:val="00E5135A"/>
    <w:rsid w:val="00E5140F"/>
    <w:rsid w:val="00E51709"/>
    <w:rsid w:val="00E51867"/>
    <w:rsid w:val="00E51951"/>
    <w:rsid w:val="00E51974"/>
    <w:rsid w:val="00E519A6"/>
    <w:rsid w:val="00E51B0A"/>
    <w:rsid w:val="00E51F92"/>
    <w:rsid w:val="00E520AA"/>
    <w:rsid w:val="00E52104"/>
    <w:rsid w:val="00E52286"/>
    <w:rsid w:val="00E52362"/>
    <w:rsid w:val="00E52575"/>
    <w:rsid w:val="00E5259E"/>
    <w:rsid w:val="00E52664"/>
    <w:rsid w:val="00E527F4"/>
    <w:rsid w:val="00E52A02"/>
    <w:rsid w:val="00E52B20"/>
    <w:rsid w:val="00E52E98"/>
    <w:rsid w:val="00E533C8"/>
    <w:rsid w:val="00E534CE"/>
    <w:rsid w:val="00E53598"/>
    <w:rsid w:val="00E536CD"/>
    <w:rsid w:val="00E53745"/>
    <w:rsid w:val="00E53958"/>
    <w:rsid w:val="00E53CAC"/>
    <w:rsid w:val="00E5413A"/>
    <w:rsid w:val="00E54164"/>
    <w:rsid w:val="00E5418C"/>
    <w:rsid w:val="00E542C4"/>
    <w:rsid w:val="00E54574"/>
    <w:rsid w:val="00E5465C"/>
    <w:rsid w:val="00E54B52"/>
    <w:rsid w:val="00E54B5B"/>
    <w:rsid w:val="00E54D23"/>
    <w:rsid w:val="00E54DE0"/>
    <w:rsid w:val="00E54DE8"/>
    <w:rsid w:val="00E54DF2"/>
    <w:rsid w:val="00E54E66"/>
    <w:rsid w:val="00E54EDE"/>
    <w:rsid w:val="00E54F38"/>
    <w:rsid w:val="00E552AB"/>
    <w:rsid w:val="00E5562D"/>
    <w:rsid w:val="00E55632"/>
    <w:rsid w:val="00E5576A"/>
    <w:rsid w:val="00E55878"/>
    <w:rsid w:val="00E558BA"/>
    <w:rsid w:val="00E55915"/>
    <w:rsid w:val="00E55A88"/>
    <w:rsid w:val="00E55AA6"/>
    <w:rsid w:val="00E55D2B"/>
    <w:rsid w:val="00E55D2D"/>
    <w:rsid w:val="00E55D6C"/>
    <w:rsid w:val="00E55E41"/>
    <w:rsid w:val="00E55EAC"/>
    <w:rsid w:val="00E55ECC"/>
    <w:rsid w:val="00E56186"/>
    <w:rsid w:val="00E5618D"/>
    <w:rsid w:val="00E562D0"/>
    <w:rsid w:val="00E56440"/>
    <w:rsid w:val="00E567AF"/>
    <w:rsid w:val="00E56871"/>
    <w:rsid w:val="00E56912"/>
    <w:rsid w:val="00E56C19"/>
    <w:rsid w:val="00E56D8D"/>
    <w:rsid w:val="00E56FCC"/>
    <w:rsid w:val="00E57174"/>
    <w:rsid w:val="00E571BE"/>
    <w:rsid w:val="00E57269"/>
    <w:rsid w:val="00E57468"/>
    <w:rsid w:val="00E5750B"/>
    <w:rsid w:val="00E57769"/>
    <w:rsid w:val="00E577FF"/>
    <w:rsid w:val="00E57A7B"/>
    <w:rsid w:val="00E57BD9"/>
    <w:rsid w:val="00E57BED"/>
    <w:rsid w:val="00E57CEA"/>
    <w:rsid w:val="00E57E0A"/>
    <w:rsid w:val="00E6033A"/>
    <w:rsid w:val="00E6046F"/>
    <w:rsid w:val="00E60814"/>
    <w:rsid w:val="00E60A2E"/>
    <w:rsid w:val="00E60DCC"/>
    <w:rsid w:val="00E60F83"/>
    <w:rsid w:val="00E61062"/>
    <w:rsid w:val="00E61110"/>
    <w:rsid w:val="00E61156"/>
    <w:rsid w:val="00E6140C"/>
    <w:rsid w:val="00E616C9"/>
    <w:rsid w:val="00E6184E"/>
    <w:rsid w:val="00E618C4"/>
    <w:rsid w:val="00E61928"/>
    <w:rsid w:val="00E61BD9"/>
    <w:rsid w:val="00E61E97"/>
    <w:rsid w:val="00E61EA0"/>
    <w:rsid w:val="00E623D9"/>
    <w:rsid w:val="00E62464"/>
    <w:rsid w:val="00E6257B"/>
    <w:rsid w:val="00E628B0"/>
    <w:rsid w:val="00E628BF"/>
    <w:rsid w:val="00E62AA8"/>
    <w:rsid w:val="00E62B99"/>
    <w:rsid w:val="00E62C9A"/>
    <w:rsid w:val="00E62D84"/>
    <w:rsid w:val="00E63008"/>
    <w:rsid w:val="00E63140"/>
    <w:rsid w:val="00E6321C"/>
    <w:rsid w:val="00E633A6"/>
    <w:rsid w:val="00E63495"/>
    <w:rsid w:val="00E636B2"/>
    <w:rsid w:val="00E63A6B"/>
    <w:rsid w:val="00E63D05"/>
    <w:rsid w:val="00E63D2B"/>
    <w:rsid w:val="00E64012"/>
    <w:rsid w:val="00E6423E"/>
    <w:rsid w:val="00E64379"/>
    <w:rsid w:val="00E64909"/>
    <w:rsid w:val="00E6492D"/>
    <w:rsid w:val="00E64958"/>
    <w:rsid w:val="00E649EA"/>
    <w:rsid w:val="00E64BC2"/>
    <w:rsid w:val="00E64C4F"/>
    <w:rsid w:val="00E64FFC"/>
    <w:rsid w:val="00E6503E"/>
    <w:rsid w:val="00E651AF"/>
    <w:rsid w:val="00E65327"/>
    <w:rsid w:val="00E654E9"/>
    <w:rsid w:val="00E6557A"/>
    <w:rsid w:val="00E6585A"/>
    <w:rsid w:val="00E65889"/>
    <w:rsid w:val="00E658A4"/>
    <w:rsid w:val="00E659DA"/>
    <w:rsid w:val="00E65D18"/>
    <w:rsid w:val="00E65D94"/>
    <w:rsid w:val="00E65ECD"/>
    <w:rsid w:val="00E65F50"/>
    <w:rsid w:val="00E66375"/>
    <w:rsid w:val="00E664D9"/>
    <w:rsid w:val="00E6657D"/>
    <w:rsid w:val="00E66794"/>
    <w:rsid w:val="00E667D0"/>
    <w:rsid w:val="00E66857"/>
    <w:rsid w:val="00E66870"/>
    <w:rsid w:val="00E66A4E"/>
    <w:rsid w:val="00E66C1D"/>
    <w:rsid w:val="00E66CA2"/>
    <w:rsid w:val="00E66D1F"/>
    <w:rsid w:val="00E66ECF"/>
    <w:rsid w:val="00E670FF"/>
    <w:rsid w:val="00E67176"/>
    <w:rsid w:val="00E67255"/>
    <w:rsid w:val="00E673F6"/>
    <w:rsid w:val="00E67753"/>
    <w:rsid w:val="00E679F5"/>
    <w:rsid w:val="00E67AA8"/>
    <w:rsid w:val="00E67ADD"/>
    <w:rsid w:val="00E67C3C"/>
    <w:rsid w:val="00E67D3A"/>
    <w:rsid w:val="00E67EAE"/>
    <w:rsid w:val="00E7025A"/>
    <w:rsid w:val="00E70288"/>
    <w:rsid w:val="00E7042F"/>
    <w:rsid w:val="00E70459"/>
    <w:rsid w:val="00E705A5"/>
    <w:rsid w:val="00E70786"/>
    <w:rsid w:val="00E709E2"/>
    <w:rsid w:val="00E70A0A"/>
    <w:rsid w:val="00E70A58"/>
    <w:rsid w:val="00E70B26"/>
    <w:rsid w:val="00E70DE2"/>
    <w:rsid w:val="00E70ECF"/>
    <w:rsid w:val="00E70FFC"/>
    <w:rsid w:val="00E71039"/>
    <w:rsid w:val="00E71263"/>
    <w:rsid w:val="00E71628"/>
    <w:rsid w:val="00E7162A"/>
    <w:rsid w:val="00E71849"/>
    <w:rsid w:val="00E7187D"/>
    <w:rsid w:val="00E718C5"/>
    <w:rsid w:val="00E718ED"/>
    <w:rsid w:val="00E71A3D"/>
    <w:rsid w:val="00E71ACB"/>
    <w:rsid w:val="00E71DC2"/>
    <w:rsid w:val="00E71F02"/>
    <w:rsid w:val="00E71F20"/>
    <w:rsid w:val="00E7201C"/>
    <w:rsid w:val="00E7207D"/>
    <w:rsid w:val="00E7222D"/>
    <w:rsid w:val="00E72751"/>
    <w:rsid w:val="00E7279F"/>
    <w:rsid w:val="00E72C63"/>
    <w:rsid w:val="00E72CAA"/>
    <w:rsid w:val="00E733FA"/>
    <w:rsid w:val="00E73572"/>
    <w:rsid w:val="00E73798"/>
    <w:rsid w:val="00E737BC"/>
    <w:rsid w:val="00E739A9"/>
    <w:rsid w:val="00E73B04"/>
    <w:rsid w:val="00E73B07"/>
    <w:rsid w:val="00E73BEE"/>
    <w:rsid w:val="00E73D19"/>
    <w:rsid w:val="00E73E68"/>
    <w:rsid w:val="00E74041"/>
    <w:rsid w:val="00E7414B"/>
    <w:rsid w:val="00E741CA"/>
    <w:rsid w:val="00E74349"/>
    <w:rsid w:val="00E74AC1"/>
    <w:rsid w:val="00E74CA7"/>
    <w:rsid w:val="00E74CE0"/>
    <w:rsid w:val="00E74EF3"/>
    <w:rsid w:val="00E75416"/>
    <w:rsid w:val="00E75499"/>
    <w:rsid w:val="00E75698"/>
    <w:rsid w:val="00E75718"/>
    <w:rsid w:val="00E758EE"/>
    <w:rsid w:val="00E75A24"/>
    <w:rsid w:val="00E75AC7"/>
    <w:rsid w:val="00E75B86"/>
    <w:rsid w:val="00E75D0C"/>
    <w:rsid w:val="00E75D30"/>
    <w:rsid w:val="00E75FE7"/>
    <w:rsid w:val="00E7606B"/>
    <w:rsid w:val="00E76278"/>
    <w:rsid w:val="00E763FE"/>
    <w:rsid w:val="00E7651B"/>
    <w:rsid w:val="00E76558"/>
    <w:rsid w:val="00E7657E"/>
    <w:rsid w:val="00E765E3"/>
    <w:rsid w:val="00E768F2"/>
    <w:rsid w:val="00E76C43"/>
    <w:rsid w:val="00E76D1C"/>
    <w:rsid w:val="00E76E0A"/>
    <w:rsid w:val="00E77084"/>
    <w:rsid w:val="00E77445"/>
    <w:rsid w:val="00E77BC6"/>
    <w:rsid w:val="00E77C7A"/>
    <w:rsid w:val="00E77FE9"/>
    <w:rsid w:val="00E800A0"/>
    <w:rsid w:val="00E802D5"/>
    <w:rsid w:val="00E80329"/>
    <w:rsid w:val="00E8045D"/>
    <w:rsid w:val="00E80603"/>
    <w:rsid w:val="00E806A6"/>
    <w:rsid w:val="00E80802"/>
    <w:rsid w:val="00E8085E"/>
    <w:rsid w:val="00E80B83"/>
    <w:rsid w:val="00E80D85"/>
    <w:rsid w:val="00E810EA"/>
    <w:rsid w:val="00E81199"/>
    <w:rsid w:val="00E81306"/>
    <w:rsid w:val="00E8137C"/>
    <w:rsid w:val="00E818EA"/>
    <w:rsid w:val="00E81B9E"/>
    <w:rsid w:val="00E81CB3"/>
    <w:rsid w:val="00E81D2B"/>
    <w:rsid w:val="00E81E0D"/>
    <w:rsid w:val="00E81E19"/>
    <w:rsid w:val="00E81ECE"/>
    <w:rsid w:val="00E81F22"/>
    <w:rsid w:val="00E82053"/>
    <w:rsid w:val="00E820A1"/>
    <w:rsid w:val="00E823EB"/>
    <w:rsid w:val="00E8256F"/>
    <w:rsid w:val="00E8285B"/>
    <w:rsid w:val="00E82BFE"/>
    <w:rsid w:val="00E833C4"/>
    <w:rsid w:val="00E83444"/>
    <w:rsid w:val="00E8361F"/>
    <w:rsid w:val="00E8384F"/>
    <w:rsid w:val="00E8386C"/>
    <w:rsid w:val="00E83ADA"/>
    <w:rsid w:val="00E83B83"/>
    <w:rsid w:val="00E83C4D"/>
    <w:rsid w:val="00E83CBB"/>
    <w:rsid w:val="00E83D42"/>
    <w:rsid w:val="00E83DF5"/>
    <w:rsid w:val="00E83F09"/>
    <w:rsid w:val="00E83F10"/>
    <w:rsid w:val="00E84054"/>
    <w:rsid w:val="00E84358"/>
    <w:rsid w:val="00E84396"/>
    <w:rsid w:val="00E8446A"/>
    <w:rsid w:val="00E8446B"/>
    <w:rsid w:val="00E84489"/>
    <w:rsid w:val="00E844C4"/>
    <w:rsid w:val="00E8452C"/>
    <w:rsid w:val="00E84573"/>
    <w:rsid w:val="00E84611"/>
    <w:rsid w:val="00E8498D"/>
    <w:rsid w:val="00E84C7D"/>
    <w:rsid w:val="00E84C7E"/>
    <w:rsid w:val="00E84E3C"/>
    <w:rsid w:val="00E84E5D"/>
    <w:rsid w:val="00E84F22"/>
    <w:rsid w:val="00E85043"/>
    <w:rsid w:val="00E85084"/>
    <w:rsid w:val="00E850C3"/>
    <w:rsid w:val="00E851A7"/>
    <w:rsid w:val="00E851EE"/>
    <w:rsid w:val="00E8543E"/>
    <w:rsid w:val="00E855F2"/>
    <w:rsid w:val="00E8567F"/>
    <w:rsid w:val="00E8583F"/>
    <w:rsid w:val="00E85A75"/>
    <w:rsid w:val="00E85DD9"/>
    <w:rsid w:val="00E85F81"/>
    <w:rsid w:val="00E85FC7"/>
    <w:rsid w:val="00E86065"/>
    <w:rsid w:val="00E8607B"/>
    <w:rsid w:val="00E8608A"/>
    <w:rsid w:val="00E86241"/>
    <w:rsid w:val="00E86264"/>
    <w:rsid w:val="00E86325"/>
    <w:rsid w:val="00E86617"/>
    <w:rsid w:val="00E86745"/>
    <w:rsid w:val="00E868B5"/>
    <w:rsid w:val="00E86A5B"/>
    <w:rsid w:val="00E86AD5"/>
    <w:rsid w:val="00E86F1D"/>
    <w:rsid w:val="00E87051"/>
    <w:rsid w:val="00E87099"/>
    <w:rsid w:val="00E87477"/>
    <w:rsid w:val="00E8751A"/>
    <w:rsid w:val="00E875C0"/>
    <w:rsid w:val="00E87610"/>
    <w:rsid w:val="00E878D7"/>
    <w:rsid w:val="00E87919"/>
    <w:rsid w:val="00E87B7C"/>
    <w:rsid w:val="00E87DA0"/>
    <w:rsid w:val="00E900A0"/>
    <w:rsid w:val="00E902B4"/>
    <w:rsid w:val="00E90339"/>
    <w:rsid w:val="00E904F7"/>
    <w:rsid w:val="00E9069C"/>
    <w:rsid w:val="00E908C5"/>
    <w:rsid w:val="00E90932"/>
    <w:rsid w:val="00E9096E"/>
    <w:rsid w:val="00E90B51"/>
    <w:rsid w:val="00E90C95"/>
    <w:rsid w:val="00E90D89"/>
    <w:rsid w:val="00E90E7A"/>
    <w:rsid w:val="00E91162"/>
    <w:rsid w:val="00E913C7"/>
    <w:rsid w:val="00E91445"/>
    <w:rsid w:val="00E9154E"/>
    <w:rsid w:val="00E9192D"/>
    <w:rsid w:val="00E91977"/>
    <w:rsid w:val="00E919C3"/>
    <w:rsid w:val="00E91BCA"/>
    <w:rsid w:val="00E91BDA"/>
    <w:rsid w:val="00E920C8"/>
    <w:rsid w:val="00E9218D"/>
    <w:rsid w:val="00E92350"/>
    <w:rsid w:val="00E924E2"/>
    <w:rsid w:val="00E927FB"/>
    <w:rsid w:val="00E92864"/>
    <w:rsid w:val="00E928B3"/>
    <w:rsid w:val="00E92AD7"/>
    <w:rsid w:val="00E92F0D"/>
    <w:rsid w:val="00E92F8A"/>
    <w:rsid w:val="00E93053"/>
    <w:rsid w:val="00E931E4"/>
    <w:rsid w:val="00E93202"/>
    <w:rsid w:val="00E932F5"/>
    <w:rsid w:val="00E932FE"/>
    <w:rsid w:val="00E93521"/>
    <w:rsid w:val="00E9370B"/>
    <w:rsid w:val="00E9371F"/>
    <w:rsid w:val="00E93721"/>
    <w:rsid w:val="00E93790"/>
    <w:rsid w:val="00E937A6"/>
    <w:rsid w:val="00E9393E"/>
    <w:rsid w:val="00E94265"/>
    <w:rsid w:val="00E94609"/>
    <w:rsid w:val="00E946FF"/>
    <w:rsid w:val="00E94A84"/>
    <w:rsid w:val="00E94B59"/>
    <w:rsid w:val="00E94C47"/>
    <w:rsid w:val="00E94D2F"/>
    <w:rsid w:val="00E94EF6"/>
    <w:rsid w:val="00E9502D"/>
    <w:rsid w:val="00E9512E"/>
    <w:rsid w:val="00E95154"/>
    <w:rsid w:val="00E9517C"/>
    <w:rsid w:val="00E955AF"/>
    <w:rsid w:val="00E960C8"/>
    <w:rsid w:val="00E96185"/>
    <w:rsid w:val="00E9618D"/>
    <w:rsid w:val="00E9621E"/>
    <w:rsid w:val="00E96458"/>
    <w:rsid w:val="00E96679"/>
    <w:rsid w:val="00E9674E"/>
    <w:rsid w:val="00E96825"/>
    <w:rsid w:val="00E96ECA"/>
    <w:rsid w:val="00E96F45"/>
    <w:rsid w:val="00E96F5C"/>
    <w:rsid w:val="00E97233"/>
    <w:rsid w:val="00E977FE"/>
    <w:rsid w:val="00E97804"/>
    <w:rsid w:val="00E978A3"/>
    <w:rsid w:val="00E979CE"/>
    <w:rsid w:val="00E97A9D"/>
    <w:rsid w:val="00E97CCA"/>
    <w:rsid w:val="00EA0128"/>
    <w:rsid w:val="00EA0144"/>
    <w:rsid w:val="00EA03F3"/>
    <w:rsid w:val="00EA0563"/>
    <w:rsid w:val="00EA05DC"/>
    <w:rsid w:val="00EA06E3"/>
    <w:rsid w:val="00EA0822"/>
    <w:rsid w:val="00EA0839"/>
    <w:rsid w:val="00EA08A2"/>
    <w:rsid w:val="00EA0C71"/>
    <w:rsid w:val="00EA0E4C"/>
    <w:rsid w:val="00EA10EC"/>
    <w:rsid w:val="00EA1333"/>
    <w:rsid w:val="00EA13DA"/>
    <w:rsid w:val="00EA1556"/>
    <w:rsid w:val="00EA1644"/>
    <w:rsid w:val="00EA1695"/>
    <w:rsid w:val="00EA19C2"/>
    <w:rsid w:val="00EA19D4"/>
    <w:rsid w:val="00EA1A8E"/>
    <w:rsid w:val="00EA1ABB"/>
    <w:rsid w:val="00EA1D3E"/>
    <w:rsid w:val="00EA1E1B"/>
    <w:rsid w:val="00EA1E93"/>
    <w:rsid w:val="00EA20C5"/>
    <w:rsid w:val="00EA20CA"/>
    <w:rsid w:val="00EA21CD"/>
    <w:rsid w:val="00EA21F8"/>
    <w:rsid w:val="00EA23BA"/>
    <w:rsid w:val="00EA2400"/>
    <w:rsid w:val="00EA25E8"/>
    <w:rsid w:val="00EA298D"/>
    <w:rsid w:val="00EA2A14"/>
    <w:rsid w:val="00EA2AC4"/>
    <w:rsid w:val="00EA2AEB"/>
    <w:rsid w:val="00EA2C0E"/>
    <w:rsid w:val="00EA2C2A"/>
    <w:rsid w:val="00EA2DD4"/>
    <w:rsid w:val="00EA2DDD"/>
    <w:rsid w:val="00EA2EB1"/>
    <w:rsid w:val="00EA3077"/>
    <w:rsid w:val="00EA30C9"/>
    <w:rsid w:val="00EA3441"/>
    <w:rsid w:val="00EA35E3"/>
    <w:rsid w:val="00EA3721"/>
    <w:rsid w:val="00EA39A5"/>
    <w:rsid w:val="00EA3A9C"/>
    <w:rsid w:val="00EA3B43"/>
    <w:rsid w:val="00EA3C6F"/>
    <w:rsid w:val="00EA3E88"/>
    <w:rsid w:val="00EA3F32"/>
    <w:rsid w:val="00EA4046"/>
    <w:rsid w:val="00EA4204"/>
    <w:rsid w:val="00EA429E"/>
    <w:rsid w:val="00EA4565"/>
    <w:rsid w:val="00EA4832"/>
    <w:rsid w:val="00EA48D2"/>
    <w:rsid w:val="00EA48FB"/>
    <w:rsid w:val="00EA49E5"/>
    <w:rsid w:val="00EA4A87"/>
    <w:rsid w:val="00EA4B0B"/>
    <w:rsid w:val="00EA4B3C"/>
    <w:rsid w:val="00EA4BAA"/>
    <w:rsid w:val="00EA5007"/>
    <w:rsid w:val="00EA518C"/>
    <w:rsid w:val="00EA51B4"/>
    <w:rsid w:val="00EA51BF"/>
    <w:rsid w:val="00EA570D"/>
    <w:rsid w:val="00EA58D9"/>
    <w:rsid w:val="00EA5AE8"/>
    <w:rsid w:val="00EA5B24"/>
    <w:rsid w:val="00EA63A3"/>
    <w:rsid w:val="00EA64C6"/>
    <w:rsid w:val="00EA662C"/>
    <w:rsid w:val="00EA66E6"/>
    <w:rsid w:val="00EA6755"/>
    <w:rsid w:val="00EA6B19"/>
    <w:rsid w:val="00EA6CC7"/>
    <w:rsid w:val="00EA6EB9"/>
    <w:rsid w:val="00EA6FF7"/>
    <w:rsid w:val="00EA722D"/>
    <w:rsid w:val="00EA731C"/>
    <w:rsid w:val="00EA75D5"/>
    <w:rsid w:val="00EA77C3"/>
    <w:rsid w:val="00EA7837"/>
    <w:rsid w:val="00EA7A99"/>
    <w:rsid w:val="00EA7B00"/>
    <w:rsid w:val="00EA7EF8"/>
    <w:rsid w:val="00EB006A"/>
    <w:rsid w:val="00EB013D"/>
    <w:rsid w:val="00EB0196"/>
    <w:rsid w:val="00EB01BB"/>
    <w:rsid w:val="00EB0481"/>
    <w:rsid w:val="00EB067F"/>
    <w:rsid w:val="00EB06BC"/>
    <w:rsid w:val="00EB08F1"/>
    <w:rsid w:val="00EB08FC"/>
    <w:rsid w:val="00EB0BB1"/>
    <w:rsid w:val="00EB0D41"/>
    <w:rsid w:val="00EB0E9C"/>
    <w:rsid w:val="00EB1329"/>
    <w:rsid w:val="00EB1581"/>
    <w:rsid w:val="00EB1A91"/>
    <w:rsid w:val="00EB1B88"/>
    <w:rsid w:val="00EB1CE6"/>
    <w:rsid w:val="00EB1E11"/>
    <w:rsid w:val="00EB1E3A"/>
    <w:rsid w:val="00EB1FB5"/>
    <w:rsid w:val="00EB1FBC"/>
    <w:rsid w:val="00EB217C"/>
    <w:rsid w:val="00EB2344"/>
    <w:rsid w:val="00EB2373"/>
    <w:rsid w:val="00EB251A"/>
    <w:rsid w:val="00EB25C0"/>
    <w:rsid w:val="00EB26A8"/>
    <w:rsid w:val="00EB2B07"/>
    <w:rsid w:val="00EB2C02"/>
    <w:rsid w:val="00EB2CF9"/>
    <w:rsid w:val="00EB2E48"/>
    <w:rsid w:val="00EB2E9A"/>
    <w:rsid w:val="00EB2F10"/>
    <w:rsid w:val="00EB30A6"/>
    <w:rsid w:val="00EB32D4"/>
    <w:rsid w:val="00EB3368"/>
    <w:rsid w:val="00EB351E"/>
    <w:rsid w:val="00EB358C"/>
    <w:rsid w:val="00EB37A7"/>
    <w:rsid w:val="00EB3888"/>
    <w:rsid w:val="00EB3889"/>
    <w:rsid w:val="00EB3ACB"/>
    <w:rsid w:val="00EB3AF2"/>
    <w:rsid w:val="00EB3B4E"/>
    <w:rsid w:val="00EB3B72"/>
    <w:rsid w:val="00EB3DEE"/>
    <w:rsid w:val="00EB3E19"/>
    <w:rsid w:val="00EB3F40"/>
    <w:rsid w:val="00EB4068"/>
    <w:rsid w:val="00EB418C"/>
    <w:rsid w:val="00EB4641"/>
    <w:rsid w:val="00EB48F8"/>
    <w:rsid w:val="00EB49CF"/>
    <w:rsid w:val="00EB4A27"/>
    <w:rsid w:val="00EB4B4F"/>
    <w:rsid w:val="00EB4BC1"/>
    <w:rsid w:val="00EB4BE6"/>
    <w:rsid w:val="00EB4C92"/>
    <w:rsid w:val="00EB4CFA"/>
    <w:rsid w:val="00EB4FC0"/>
    <w:rsid w:val="00EB51E7"/>
    <w:rsid w:val="00EB523B"/>
    <w:rsid w:val="00EB52A7"/>
    <w:rsid w:val="00EB5460"/>
    <w:rsid w:val="00EB5472"/>
    <w:rsid w:val="00EB559F"/>
    <w:rsid w:val="00EB5782"/>
    <w:rsid w:val="00EB5B5B"/>
    <w:rsid w:val="00EB5E05"/>
    <w:rsid w:val="00EB6135"/>
    <w:rsid w:val="00EB644E"/>
    <w:rsid w:val="00EB6893"/>
    <w:rsid w:val="00EB6A54"/>
    <w:rsid w:val="00EB6AB2"/>
    <w:rsid w:val="00EB6CCC"/>
    <w:rsid w:val="00EB6F45"/>
    <w:rsid w:val="00EB70A1"/>
    <w:rsid w:val="00EB71DD"/>
    <w:rsid w:val="00EB7257"/>
    <w:rsid w:val="00EB729B"/>
    <w:rsid w:val="00EB7403"/>
    <w:rsid w:val="00EB7450"/>
    <w:rsid w:val="00EB74F2"/>
    <w:rsid w:val="00EB778D"/>
    <w:rsid w:val="00EB7B76"/>
    <w:rsid w:val="00EB7B84"/>
    <w:rsid w:val="00EB7BA7"/>
    <w:rsid w:val="00EB7F14"/>
    <w:rsid w:val="00EC00B7"/>
    <w:rsid w:val="00EC00CB"/>
    <w:rsid w:val="00EC0141"/>
    <w:rsid w:val="00EC02D7"/>
    <w:rsid w:val="00EC03E7"/>
    <w:rsid w:val="00EC06E1"/>
    <w:rsid w:val="00EC0794"/>
    <w:rsid w:val="00EC0885"/>
    <w:rsid w:val="00EC09A6"/>
    <w:rsid w:val="00EC0A44"/>
    <w:rsid w:val="00EC0C0B"/>
    <w:rsid w:val="00EC0DA2"/>
    <w:rsid w:val="00EC0E65"/>
    <w:rsid w:val="00EC114D"/>
    <w:rsid w:val="00EC1288"/>
    <w:rsid w:val="00EC16B6"/>
    <w:rsid w:val="00EC1819"/>
    <w:rsid w:val="00EC181F"/>
    <w:rsid w:val="00EC196B"/>
    <w:rsid w:val="00EC1CAB"/>
    <w:rsid w:val="00EC1D55"/>
    <w:rsid w:val="00EC20FE"/>
    <w:rsid w:val="00EC244C"/>
    <w:rsid w:val="00EC2721"/>
    <w:rsid w:val="00EC2B19"/>
    <w:rsid w:val="00EC2BD4"/>
    <w:rsid w:val="00EC2D12"/>
    <w:rsid w:val="00EC2EDE"/>
    <w:rsid w:val="00EC2FAC"/>
    <w:rsid w:val="00EC2FAF"/>
    <w:rsid w:val="00EC320C"/>
    <w:rsid w:val="00EC3221"/>
    <w:rsid w:val="00EC322D"/>
    <w:rsid w:val="00EC3297"/>
    <w:rsid w:val="00EC3601"/>
    <w:rsid w:val="00EC3618"/>
    <w:rsid w:val="00EC392B"/>
    <w:rsid w:val="00EC3D1C"/>
    <w:rsid w:val="00EC3DE2"/>
    <w:rsid w:val="00EC3E97"/>
    <w:rsid w:val="00EC4025"/>
    <w:rsid w:val="00EC4047"/>
    <w:rsid w:val="00EC4052"/>
    <w:rsid w:val="00EC41B4"/>
    <w:rsid w:val="00EC41B7"/>
    <w:rsid w:val="00EC41D1"/>
    <w:rsid w:val="00EC42BC"/>
    <w:rsid w:val="00EC445D"/>
    <w:rsid w:val="00EC46B0"/>
    <w:rsid w:val="00EC494E"/>
    <w:rsid w:val="00EC4A5B"/>
    <w:rsid w:val="00EC4AE9"/>
    <w:rsid w:val="00EC4C07"/>
    <w:rsid w:val="00EC4FE6"/>
    <w:rsid w:val="00EC5424"/>
    <w:rsid w:val="00EC5437"/>
    <w:rsid w:val="00EC5535"/>
    <w:rsid w:val="00EC56AA"/>
    <w:rsid w:val="00EC5716"/>
    <w:rsid w:val="00EC57BA"/>
    <w:rsid w:val="00EC57DB"/>
    <w:rsid w:val="00EC58A9"/>
    <w:rsid w:val="00EC590D"/>
    <w:rsid w:val="00EC5993"/>
    <w:rsid w:val="00EC5B1D"/>
    <w:rsid w:val="00EC5C2E"/>
    <w:rsid w:val="00EC5C39"/>
    <w:rsid w:val="00EC5D4E"/>
    <w:rsid w:val="00EC5ECD"/>
    <w:rsid w:val="00EC5FA7"/>
    <w:rsid w:val="00EC5FDE"/>
    <w:rsid w:val="00EC6003"/>
    <w:rsid w:val="00EC6091"/>
    <w:rsid w:val="00EC63FE"/>
    <w:rsid w:val="00EC6503"/>
    <w:rsid w:val="00EC664C"/>
    <w:rsid w:val="00EC6708"/>
    <w:rsid w:val="00EC6821"/>
    <w:rsid w:val="00EC6925"/>
    <w:rsid w:val="00EC6A3C"/>
    <w:rsid w:val="00EC6B78"/>
    <w:rsid w:val="00EC6BF2"/>
    <w:rsid w:val="00EC6C6F"/>
    <w:rsid w:val="00EC6DEF"/>
    <w:rsid w:val="00EC6DF9"/>
    <w:rsid w:val="00EC7090"/>
    <w:rsid w:val="00EC71BF"/>
    <w:rsid w:val="00EC7516"/>
    <w:rsid w:val="00EC7525"/>
    <w:rsid w:val="00EC756B"/>
    <w:rsid w:val="00EC77A1"/>
    <w:rsid w:val="00EC77BC"/>
    <w:rsid w:val="00EC781C"/>
    <w:rsid w:val="00EC7843"/>
    <w:rsid w:val="00EC78F7"/>
    <w:rsid w:val="00EC7A5A"/>
    <w:rsid w:val="00EC7AE2"/>
    <w:rsid w:val="00EC7B14"/>
    <w:rsid w:val="00EC7D1B"/>
    <w:rsid w:val="00EC7D2F"/>
    <w:rsid w:val="00EC7E43"/>
    <w:rsid w:val="00EC7EE6"/>
    <w:rsid w:val="00EC7F13"/>
    <w:rsid w:val="00ED0149"/>
    <w:rsid w:val="00ED077E"/>
    <w:rsid w:val="00ED07F4"/>
    <w:rsid w:val="00ED08B4"/>
    <w:rsid w:val="00ED0A75"/>
    <w:rsid w:val="00ED0C09"/>
    <w:rsid w:val="00ED0D76"/>
    <w:rsid w:val="00ED0EA1"/>
    <w:rsid w:val="00ED10F6"/>
    <w:rsid w:val="00ED161B"/>
    <w:rsid w:val="00ED1735"/>
    <w:rsid w:val="00ED176E"/>
    <w:rsid w:val="00ED1778"/>
    <w:rsid w:val="00ED17BE"/>
    <w:rsid w:val="00ED1910"/>
    <w:rsid w:val="00ED1BA0"/>
    <w:rsid w:val="00ED1C57"/>
    <w:rsid w:val="00ED1D43"/>
    <w:rsid w:val="00ED210E"/>
    <w:rsid w:val="00ED21AE"/>
    <w:rsid w:val="00ED24E6"/>
    <w:rsid w:val="00ED2681"/>
    <w:rsid w:val="00ED28AB"/>
    <w:rsid w:val="00ED28D3"/>
    <w:rsid w:val="00ED2AF4"/>
    <w:rsid w:val="00ED2E5E"/>
    <w:rsid w:val="00ED2F5A"/>
    <w:rsid w:val="00ED2F8A"/>
    <w:rsid w:val="00ED3034"/>
    <w:rsid w:val="00ED306F"/>
    <w:rsid w:val="00ED3143"/>
    <w:rsid w:val="00ED3409"/>
    <w:rsid w:val="00ED3430"/>
    <w:rsid w:val="00ED343C"/>
    <w:rsid w:val="00ED3589"/>
    <w:rsid w:val="00ED35C0"/>
    <w:rsid w:val="00ED3625"/>
    <w:rsid w:val="00ED3649"/>
    <w:rsid w:val="00ED3B8E"/>
    <w:rsid w:val="00ED3CD3"/>
    <w:rsid w:val="00ED405C"/>
    <w:rsid w:val="00ED4407"/>
    <w:rsid w:val="00ED44B2"/>
    <w:rsid w:val="00ED4517"/>
    <w:rsid w:val="00ED4566"/>
    <w:rsid w:val="00ED45D7"/>
    <w:rsid w:val="00ED49C2"/>
    <w:rsid w:val="00ED4B66"/>
    <w:rsid w:val="00ED4E8A"/>
    <w:rsid w:val="00ED509D"/>
    <w:rsid w:val="00ED51D7"/>
    <w:rsid w:val="00ED52F9"/>
    <w:rsid w:val="00ED5374"/>
    <w:rsid w:val="00ED539D"/>
    <w:rsid w:val="00ED54AB"/>
    <w:rsid w:val="00ED556A"/>
    <w:rsid w:val="00ED5A20"/>
    <w:rsid w:val="00ED5BD4"/>
    <w:rsid w:val="00ED5D0B"/>
    <w:rsid w:val="00ED5D2D"/>
    <w:rsid w:val="00ED5E91"/>
    <w:rsid w:val="00ED5FE2"/>
    <w:rsid w:val="00ED6235"/>
    <w:rsid w:val="00ED6368"/>
    <w:rsid w:val="00ED64CA"/>
    <w:rsid w:val="00ED653A"/>
    <w:rsid w:val="00ED6686"/>
    <w:rsid w:val="00ED681E"/>
    <w:rsid w:val="00ED692F"/>
    <w:rsid w:val="00ED6A2D"/>
    <w:rsid w:val="00ED6A54"/>
    <w:rsid w:val="00ED6ABF"/>
    <w:rsid w:val="00ED6BF6"/>
    <w:rsid w:val="00ED6BF7"/>
    <w:rsid w:val="00ED6CB0"/>
    <w:rsid w:val="00ED6E9E"/>
    <w:rsid w:val="00ED6F34"/>
    <w:rsid w:val="00ED70B0"/>
    <w:rsid w:val="00ED7114"/>
    <w:rsid w:val="00ED7345"/>
    <w:rsid w:val="00ED73DD"/>
    <w:rsid w:val="00ED762E"/>
    <w:rsid w:val="00ED79C9"/>
    <w:rsid w:val="00ED79D6"/>
    <w:rsid w:val="00ED7A41"/>
    <w:rsid w:val="00ED7B67"/>
    <w:rsid w:val="00ED7CF5"/>
    <w:rsid w:val="00ED7E6F"/>
    <w:rsid w:val="00ED7FA3"/>
    <w:rsid w:val="00EE010E"/>
    <w:rsid w:val="00EE0145"/>
    <w:rsid w:val="00EE0362"/>
    <w:rsid w:val="00EE0363"/>
    <w:rsid w:val="00EE0534"/>
    <w:rsid w:val="00EE05DE"/>
    <w:rsid w:val="00EE0AF6"/>
    <w:rsid w:val="00EE0DA3"/>
    <w:rsid w:val="00EE1038"/>
    <w:rsid w:val="00EE11D2"/>
    <w:rsid w:val="00EE1521"/>
    <w:rsid w:val="00EE1542"/>
    <w:rsid w:val="00EE159E"/>
    <w:rsid w:val="00EE17D4"/>
    <w:rsid w:val="00EE1BED"/>
    <w:rsid w:val="00EE1BEF"/>
    <w:rsid w:val="00EE1DAD"/>
    <w:rsid w:val="00EE1DB8"/>
    <w:rsid w:val="00EE1DC3"/>
    <w:rsid w:val="00EE1E86"/>
    <w:rsid w:val="00EE20E2"/>
    <w:rsid w:val="00EE2285"/>
    <w:rsid w:val="00EE2336"/>
    <w:rsid w:val="00EE24F1"/>
    <w:rsid w:val="00EE25C1"/>
    <w:rsid w:val="00EE2734"/>
    <w:rsid w:val="00EE289F"/>
    <w:rsid w:val="00EE2918"/>
    <w:rsid w:val="00EE2FD8"/>
    <w:rsid w:val="00EE30E1"/>
    <w:rsid w:val="00EE3148"/>
    <w:rsid w:val="00EE31F3"/>
    <w:rsid w:val="00EE331E"/>
    <w:rsid w:val="00EE3371"/>
    <w:rsid w:val="00EE3854"/>
    <w:rsid w:val="00EE399A"/>
    <w:rsid w:val="00EE3B53"/>
    <w:rsid w:val="00EE3C94"/>
    <w:rsid w:val="00EE3EA7"/>
    <w:rsid w:val="00EE3ECA"/>
    <w:rsid w:val="00EE41C0"/>
    <w:rsid w:val="00EE4492"/>
    <w:rsid w:val="00EE4502"/>
    <w:rsid w:val="00EE473F"/>
    <w:rsid w:val="00EE481A"/>
    <w:rsid w:val="00EE4DCB"/>
    <w:rsid w:val="00EE4EE0"/>
    <w:rsid w:val="00EE5030"/>
    <w:rsid w:val="00EE513D"/>
    <w:rsid w:val="00EE52B1"/>
    <w:rsid w:val="00EE54C3"/>
    <w:rsid w:val="00EE5613"/>
    <w:rsid w:val="00EE5BFE"/>
    <w:rsid w:val="00EE5CD6"/>
    <w:rsid w:val="00EE5DC6"/>
    <w:rsid w:val="00EE5F1F"/>
    <w:rsid w:val="00EE5FE6"/>
    <w:rsid w:val="00EE6102"/>
    <w:rsid w:val="00EE615E"/>
    <w:rsid w:val="00EE6217"/>
    <w:rsid w:val="00EE6272"/>
    <w:rsid w:val="00EE6527"/>
    <w:rsid w:val="00EE65CF"/>
    <w:rsid w:val="00EE67F0"/>
    <w:rsid w:val="00EE681D"/>
    <w:rsid w:val="00EE6869"/>
    <w:rsid w:val="00EE6B38"/>
    <w:rsid w:val="00EE6B5E"/>
    <w:rsid w:val="00EE6E68"/>
    <w:rsid w:val="00EE6EC8"/>
    <w:rsid w:val="00EE6FEA"/>
    <w:rsid w:val="00EE7179"/>
    <w:rsid w:val="00EE7321"/>
    <w:rsid w:val="00EE74C1"/>
    <w:rsid w:val="00EE7536"/>
    <w:rsid w:val="00EE7744"/>
    <w:rsid w:val="00EE7782"/>
    <w:rsid w:val="00EE79A0"/>
    <w:rsid w:val="00EE7AD2"/>
    <w:rsid w:val="00EF01EB"/>
    <w:rsid w:val="00EF01FD"/>
    <w:rsid w:val="00EF0227"/>
    <w:rsid w:val="00EF03A0"/>
    <w:rsid w:val="00EF04C7"/>
    <w:rsid w:val="00EF0627"/>
    <w:rsid w:val="00EF0B6D"/>
    <w:rsid w:val="00EF0E79"/>
    <w:rsid w:val="00EF0F58"/>
    <w:rsid w:val="00EF106B"/>
    <w:rsid w:val="00EF1283"/>
    <w:rsid w:val="00EF12C7"/>
    <w:rsid w:val="00EF14F0"/>
    <w:rsid w:val="00EF16E8"/>
    <w:rsid w:val="00EF1ABD"/>
    <w:rsid w:val="00EF1B08"/>
    <w:rsid w:val="00EF1B1D"/>
    <w:rsid w:val="00EF1E5B"/>
    <w:rsid w:val="00EF1EE9"/>
    <w:rsid w:val="00EF1FFB"/>
    <w:rsid w:val="00EF2255"/>
    <w:rsid w:val="00EF23C9"/>
    <w:rsid w:val="00EF2883"/>
    <w:rsid w:val="00EF2D6C"/>
    <w:rsid w:val="00EF318E"/>
    <w:rsid w:val="00EF346D"/>
    <w:rsid w:val="00EF35C4"/>
    <w:rsid w:val="00EF3628"/>
    <w:rsid w:val="00EF3BC7"/>
    <w:rsid w:val="00EF4025"/>
    <w:rsid w:val="00EF403A"/>
    <w:rsid w:val="00EF4231"/>
    <w:rsid w:val="00EF448E"/>
    <w:rsid w:val="00EF466D"/>
    <w:rsid w:val="00EF46C3"/>
    <w:rsid w:val="00EF4737"/>
    <w:rsid w:val="00EF493B"/>
    <w:rsid w:val="00EF4A30"/>
    <w:rsid w:val="00EF4CD6"/>
    <w:rsid w:val="00EF4E18"/>
    <w:rsid w:val="00EF50D3"/>
    <w:rsid w:val="00EF565D"/>
    <w:rsid w:val="00EF5820"/>
    <w:rsid w:val="00EF5850"/>
    <w:rsid w:val="00EF5A1B"/>
    <w:rsid w:val="00EF5C85"/>
    <w:rsid w:val="00EF5F99"/>
    <w:rsid w:val="00EF64AF"/>
    <w:rsid w:val="00EF671B"/>
    <w:rsid w:val="00EF6A3B"/>
    <w:rsid w:val="00EF6A9B"/>
    <w:rsid w:val="00EF6E01"/>
    <w:rsid w:val="00EF6F9D"/>
    <w:rsid w:val="00EF72E6"/>
    <w:rsid w:val="00EF72F2"/>
    <w:rsid w:val="00EF7350"/>
    <w:rsid w:val="00EF75DF"/>
    <w:rsid w:val="00EF7643"/>
    <w:rsid w:val="00EF7853"/>
    <w:rsid w:val="00EF7CD9"/>
    <w:rsid w:val="00EF7CF0"/>
    <w:rsid w:val="00EF7D5E"/>
    <w:rsid w:val="00EF7E9B"/>
    <w:rsid w:val="00F00019"/>
    <w:rsid w:val="00F001DD"/>
    <w:rsid w:val="00F003A9"/>
    <w:rsid w:val="00F00423"/>
    <w:rsid w:val="00F00CEB"/>
    <w:rsid w:val="00F00D2C"/>
    <w:rsid w:val="00F00DC2"/>
    <w:rsid w:val="00F00FAE"/>
    <w:rsid w:val="00F0139C"/>
    <w:rsid w:val="00F01896"/>
    <w:rsid w:val="00F01AFA"/>
    <w:rsid w:val="00F01C6D"/>
    <w:rsid w:val="00F01E58"/>
    <w:rsid w:val="00F01ED3"/>
    <w:rsid w:val="00F023C8"/>
    <w:rsid w:val="00F025F3"/>
    <w:rsid w:val="00F0276C"/>
    <w:rsid w:val="00F02A4D"/>
    <w:rsid w:val="00F02B28"/>
    <w:rsid w:val="00F02E29"/>
    <w:rsid w:val="00F0315B"/>
    <w:rsid w:val="00F031EC"/>
    <w:rsid w:val="00F03417"/>
    <w:rsid w:val="00F0352B"/>
    <w:rsid w:val="00F039C3"/>
    <w:rsid w:val="00F03B78"/>
    <w:rsid w:val="00F03BF2"/>
    <w:rsid w:val="00F04016"/>
    <w:rsid w:val="00F04297"/>
    <w:rsid w:val="00F0439C"/>
    <w:rsid w:val="00F045DF"/>
    <w:rsid w:val="00F04697"/>
    <w:rsid w:val="00F0474E"/>
    <w:rsid w:val="00F048B8"/>
    <w:rsid w:val="00F04BA8"/>
    <w:rsid w:val="00F04C4B"/>
    <w:rsid w:val="00F04C5F"/>
    <w:rsid w:val="00F04D8E"/>
    <w:rsid w:val="00F05448"/>
    <w:rsid w:val="00F05511"/>
    <w:rsid w:val="00F05909"/>
    <w:rsid w:val="00F05AB9"/>
    <w:rsid w:val="00F05BED"/>
    <w:rsid w:val="00F05EE5"/>
    <w:rsid w:val="00F060B8"/>
    <w:rsid w:val="00F0621A"/>
    <w:rsid w:val="00F06268"/>
    <w:rsid w:val="00F06455"/>
    <w:rsid w:val="00F06596"/>
    <w:rsid w:val="00F066B3"/>
    <w:rsid w:val="00F06849"/>
    <w:rsid w:val="00F06D6B"/>
    <w:rsid w:val="00F06EB3"/>
    <w:rsid w:val="00F06EEE"/>
    <w:rsid w:val="00F071CC"/>
    <w:rsid w:val="00F07397"/>
    <w:rsid w:val="00F07436"/>
    <w:rsid w:val="00F07455"/>
    <w:rsid w:val="00F07602"/>
    <w:rsid w:val="00F076F4"/>
    <w:rsid w:val="00F078D6"/>
    <w:rsid w:val="00F07917"/>
    <w:rsid w:val="00F07A8E"/>
    <w:rsid w:val="00F07C26"/>
    <w:rsid w:val="00F07C85"/>
    <w:rsid w:val="00F07CA2"/>
    <w:rsid w:val="00F10003"/>
    <w:rsid w:val="00F1016F"/>
    <w:rsid w:val="00F10334"/>
    <w:rsid w:val="00F10767"/>
    <w:rsid w:val="00F1087E"/>
    <w:rsid w:val="00F10B7D"/>
    <w:rsid w:val="00F10C99"/>
    <w:rsid w:val="00F10C9B"/>
    <w:rsid w:val="00F10CB7"/>
    <w:rsid w:val="00F10EF5"/>
    <w:rsid w:val="00F10FE8"/>
    <w:rsid w:val="00F114AE"/>
    <w:rsid w:val="00F11696"/>
    <w:rsid w:val="00F118C7"/>
    <w:rsid w:val="00F118F3"/>
    <w:rsid w:val="00F1199E"/>
    <w:rsid w:val="00F11C6E"/>
    <w:rsid w:val="00F11CF4"/>
    <w:rsid w:val="00F1211D"/>
    <w:rsid w:val="00F1227F"/>
    <w:rsid w:val="00F1239F"/>
    <w:rsid w:val="00F12446"/>
    <w:rsid w:val="00F12520"/>
    <w:rsid w:val="00F12552"/>
    <w:rsid w:val="00F1257F"/>
    <w:rsid w:val="00F125BA"/>
    <w:rsid w:val="00F12823"/>
    <w:rsid w:val="00F12866"/>
    <w:rsid w:val="00F12913"/>
    <w:rsid w:val="00F12D0E"/>
    <w:rsid w:val="00F12DA1"/>
    <w:rsid w:val="00F12F4C"/>
    <w:rsid w:val="00F1303D"/>
    <w:rsid w:val="00F130E4"/>
    <w:rsid w:val="00F13138"/>
    <w:rsid w:val="00F13191"/>
    <w:rsid w:val="00F131A6"/>
    <w:rsid w:val="00F13254"/>
    <w:rsid w:val="00F1334E"/>
    <w:rsid w:val="00F1361F"/>
    <w:rsid w:val="00F13846"/>
    <w:rsid w:val="00F139D7"/>
    <w:rsid w:val="00F13A71"/>
    <w:rsid w:val="00F13C2C"/>
    <w:rsid w:val="00F13EA2"/>
    <w:rsid w:val="00F13EAD"/>
    <w:rsid w:val="00F13FBA"/>
    <w:rsid w:val="00F142C9"/>
    <w:rsid w:val="00F1447E"/>
    <w:rsid w:val="00F146C5"/>
    <w:rsid w:val="00F14CF8"/>
    <w:rsid w:val="00F14D7D"/>
    <w:rsid w:val="00F15386"/>
    <w:rsid w:val="00F1545D"/>
    <w:rsid w:val="00F156FF"/>
    <w:rsid w:val="00F15916"/>
    <w:rsid w:val="00F15995"/>
    <w:rsid w:val="00F15999"/>
    <w:rsid w:val="00F15ABF"/>
    <w:rsid w:val="00F15BBC"/>
    <w:rsid w:val="00F15C20"/>
    <w:rsid w:val="00F15F6E"/>
    <w:rsid w:val="00F160BB"/>
    <w:rsid w:val="00F1617C"/>
    <w:rsid w:val="00F1645A"/>
    <w:rsid w:val="00F165BA"/>
    <w:rsid w:val="00F166DB"/>
    <w:rsid w:val="00F166FB"/>
    <w:rsid w:val="00F16712"/>
    <w:rsid w:val="00F1672B"/>
    <w:rsid w:val="00F16A63"/>
    <w:rsid w:val="00F16BB6"/>
    <w:rsid w:val="00F16C84"/>
    <w:rsid w:val="00F16D54"/>
    <w:rsid w:val="00F16DB5"/>
    <w:rsid w:val="00F16DB6"/>
    <w:rsid w:val="00F16DF6"/>
    <w:rsid w:val="00F1717C"/>
    <w:rsid w:val="00F1774A"/>
    <w:rsid w:val="00F1786C"/>
    <w:rsid w:val="00F17A05"/>
    <w:rsid w:val="00F17BED"/>
    <w:rsid w:val="00F17C02"/>
    <w:rsid w:val="00F17C41"/>
    <w:rsid w:val="00F17EF3"/>
    <w:rsid w:val="00F17F8C"/>
    <w:rsid w:val="00F203F9"/>
    <w:rsid w:val="00F2049A"/>
    <w:rsid w:val="00F20513"/>
    <w:rsid w:val="00F205D1"/>
    <w:rsid w:val="00F20706"/>
    <w:rsid w:val="00F208B7"/>
    <w:rsid w:val="00F209AC"/>
    <w:rsid w:val="00F20AB8"/>
    <w:rsid w:val="00F20B19"/>
    <w:rsid w:val="00F20D13"/>
    <w:rsid w:val="00F20E42"/>
    <w:rsid w:val="00F2110B"/>
    <w:rsid w:val="00F211B7"/>
    <w:rsid w:val="00F217A8"/>
    <w:rsid w:val="00F21ACC"/>
    <w:rsid w:val="00F21B18"/>
    <w:rsid w:val="00F21B6E"/>
    <w:rsid w:val="00F21C6B"/>
    <w:rsid w:val="00F21CA5"/>
    <w:rsid w:val="00F21D0E"/>
    <w:rsid w:val="00F21D50"/>
    <w:rsid w:val="00F22154"/>
    <w:rsid w:val="00F22B64"/>
    <w:rsid w:val="00F2303B"/>
    <w:rsid w:val="00F23189"/>
    <w:rsid w:val="00F23389"/>
    <w:rsid w:val="00F233EB"/>
    <w:rsid w:val="00F23761"/>
    <w:rsid w:val="00F238A0"/>
    <w:rsid w:val="00F23A92"/>
    <w:rsid w:val="00F23B44"/>
    <w:rsid w:val="00F23B71"/>
    <w:rsid w:val="00F23D1C"/>
    <w:rsid w:val="00F24009"/>
    <w:rsid w:val="00F241F2"/>
    <w:rsid w:val="00F24207"/>
    <w:rsid w:val="00F2428F"/>
    <w:rsid w:val="00F24589"/>
    <w:rsid w:val="00F24958"/>
    <w:rsid w:val="00F2499B"/>
    <w:rsid w:val="00F24AF2"/>
    <w:rsid w:val="00F24B9D"/>
    <w:rsid w:val="00F24D18"/>
    <w:rsid w:val="00F24F3F"/>
    <w:rsid w:val="00F25111"/>
    <w:rsid w:val="00F251EC"/>
    <w:rsid w:val="00F25308"/>
    <w:rsid w:val="00F2541E"/>
    <w:rsid w:val="00F25464"/>
    <w:rsid w:val="00F255A1"/>
    <w:rsid w:val="00F2567A"/>
    <w:rsid w:val="00F25753"/>
    <w:rsid w:val="00F25A1D"/>
    <w:rsid w:val="00F25A9B"/>
    <w:rsid w:val="00F25D26"/>
    <w:rsid w:val="00F25DE9"/>
    <w:rsid w:val="00F25E7A"/>
    <w:rsid w:val="00F2605E"/>
    <w:rsid w:val="00F26278"/>
    <w:rsid w:val="00F264C7"/>
    <w:rsid w:val="00F26AB9"/>
    <w:rsid w:val="00F26E8B"/>
    <w:rsid w:val="00F26FE6"/>
    <w:rsid w:val="00F27084"/>
    <w:rsid w:val="00F270E4"/>
    <w:rsid w:val="00F27801"/>
    <w:rsid w:val="00F278E7"/>
    <w:rsid w:val="00F279B4"/>
    <w:rsid w:val="00F27A2A"/>
    <w:rsid w:val="00F27D53"/>
    <w:rsid w:val="00F30137"/>
    <w:rsid w:val="00F305B6"/>
    <w:rsid w:val="00F30AF4"/>
    <w:rsid w:val="00F30F2C"/>
    <w:rsid w:val="00F310DB"/>
    <w:rsid w:val="00F311EB"/>
    <w:rsid w:val="00F31684"/>
    <w:rsid w:val="00F3169A"/>
    <w:rsid w:val="00F319D5"/>
    <w:rsid w:val="00F31B96"/>
    <w:rsid w:val="00F31DCC"/>
    <w:rsid w:val="00F31EBE"/>
    <w:rsid w:val="00F31FA3"/>
    <w:rsid w:val="00F324B1"/>
    <w:rsid w:val="00F32562"/>
    <w:rsid w:val="00F326DB"/>
    <w:rsid w:val="00F32752"/>
    <w:rsid w:val="00F32B3B"/>
    <w:rsid w:val="00F32B7D"/>
    <w:rsid w:val="00F32BAB"/>
    <w:rsid w:val="00F32DFF"/>
    <w:rsid w:val="00F32E0A"/>
    <w:rsid w:val="00F32E45"/>
    <w:rsid w:val="00F3361F"/>
    <w:rsid w:val="00F33842"/>
    <w:rsid w:val="00F338E9"/>
    <w:rsid w:val="00F33981"/>
    <w:rsid w:val="00F33B54"/>
    <w:rsid w:val="00F33DA5"/>
    <w:rsid w:val="00F33E0C"/>
    <w:rsid w:val="00F34028"/>
    <w:rsid w:val="00F34074"/>
    <w:rsid w:val="00F34133"/>
    <w:rsid w:val="00F34194"/>
    <w:rsid w:val="00F342A4"/>
    <w:rsid w:val="00F3438D"/>
    <w:rsid w:val="00F3459D"/>
    <w:rsid w:val="00F3461E"/>
    <w:rsid w:val="00F346E2"/>
    <w:rsid w:val="00F347E1"/>
    <w:rsid w:val="00F3480D"/>
    <w:rsid w:val="00F34842"/>
    <w:rsid w:val="00F348B8"/>
    <w:rsid w:val="00F34A19"/>
    <w:rsid w:val="00F34A8C"/>
    <w:rsid w:val="00F34BA2"/>
    <w:rsid w:val="00F34BC7"/>
    <w:rsid w:val="00F34C01"/>
    <w:rsid w:val="00F34EB8"/>
    <w:rsid w:val="00F34F0B"/>
    <w:rsid w:val="00F35103"/>
    <w:rsid w:val="00F3523A"/>
    <w:rsid w:val="00F35379"/>
    <w:rsid w:val="00F35A17"/>
    <w:rsid w:val="00F35B86"/>
    <w:rsid w:val="00F35DBF"/>
    <w:rsid w:val="00F35F53"/>
    <w:rsid w:val="00F36017"/>
    <w:rsid w:val="00F3609B"/>
    <w:rsid w:val="00F3624E"/>
    <w:rsid w:val="00F36520"/>
    <w:rsid w:val="00F3666E"/>
    <w:rsid w:val="00F36802"/>
    <w:rsid w:val="00F36836"/>
    <w:rsid w:val="00F36B36"/>
    <w:rsid w:val="00F36ED5"/>
    <w:rsid w:val="00F36FA8"/>
    <w:rsid w:val="00F3705D"/>
    <w:rsid w:val="00F37370"/>
    <w:rsid w:val="00F3759F"/>
    <w:rsid w:val="00F37690"/>
    <w:rsid w:val="00F3783E"/>
    <w:rsid w:val="00F378DC"/>
    <w:rsid w:val="00F379CC"/>
    <w:rsid w:val="00F37A1A"/>
    <w:rsid w:val="00F37B2B"/>
    <w:rsid w:val="00F37BC0"/>
    <w:rsid w:val="00F37CA5"/>
    <w:rsid w:val="00F37D45"/>
    <w:rsid w:val="00F37FF9"/>
    <w:rsid w:val="00F40257"/>
    <w:rsid w:val="00F40385"/>
    <w:rsid w:val="00F404DF"/>
    <w:rsid w:val="00F40554"/>
    <w:rsid w:val="00F40752"/>
    <w:rsid w:val="00F408FD"/>
    <w:rsid w:val="00F4094F"/>
    <w:rsid w:val="00F40986"/>
    <w:rsid w:val="00F40BB4"/>
    <w:rsid w:val="00F40EC5"/>
    <w:rsid w:val="00F40FA6"/>
    <w:rsid w:val="00F40FCE"/>
    <w:rsid w:val="00F40FD4"/>
    <w:rsid w:val="00F4100C"/>
    <w:rsid w:val="00F4110F"/>
    <w:rsid w:val="00F4116C"/>
    <w:rsid w:val="00F41366"/>
    <w:rsid w:val="00F413CA"/>
    <w:rsid w:val="00F41484"/>
    <w:rsid w:val="00F4157D"/>
    <w:rsid w:val="00F416E1"/>
    <w:rsid w:val="00F41A99"/>
    <w:rsid w:val="00F41C97"/>
    <w:rsid w:val="00F41D75"/>
    <w:rsid w:val="00F41D76"/>
    <w:rsid w:val="00F41E57"/>
    <w:rsid w:val="00F41F05"/>
    <w:rsid w:val="00F41FA3"/>
    <w:rsid w:val="00F42016"/>
    <w:rsid w:val="00F42098"/>
    <w:rsid w:val="00F420E2"/>
    <w:rsid w:val="00F420E6"/>
    <w:rsid w:val="00F42261"/>
    <w:rsid w:val="00F422B8"/>
    <w:rsid w:val="00F4232B"/>
    <w:rsid w:val="00F42409"/>
    <w:rsid w:val="00F42702"/>
    <w:rsid w:val="00F42943"/>
    <w:rsid w:val="00F42995"/>
    <w:rsid w:val="00F42B04"/>
    <w:rsid w:val="00F42C37"/>
    <w:rsid w:val="00F42DE1"/>
    <w:rsid w:val="00F430D7"/>
    <w:rsid w:val="00F431B4"/>
    <w:rsid w:val="00F43277"/>
    <w:rsid w:val="00F433D5"/>
    <w:rsid w:val="00F436A1"/>
    <w:rsid w:val="00F438EB"/>
    <w:rsid w:val="00F43918"/>
    <w:rsid w:val="00F43924"/>
    <w:rsid w:val="00F43B5A"/>
    <w:rsid w:val="00F43ECA"/>
    <w:rsid w:val="00F43F49"/>
    <w:rsid w:val="00F44087"/>
    <w:rsid w:val="00F442B0"/>
    <w:rsid w:val="00F44421"/>
    <w:rsid w:val="00F44517"/>
    <w:rsid w:val="00F445BE"/>
    <w:rsid w:val="00F44999"/>
    <w:rsid w:val="00F44BA3"/>
    <w:rsid w:val="00F44BB3"/>
    <w:rsid w:val="00F44BEE"/>
    <w:rsid w:val="00F44E6A"/>
    <w:rsid w:val="00F44FC1"/>
    <w:rsid w:val="00F45128"/>
    <w:rsid w:val="00F45598"/>
    <w:rsid w:val="00F458D8"/>
    <w:rsid w:val="00F45902"/>
    <w:rsid w:val="00F459D2"/>
    <w:rsid w:val="00F45AC1"/>
    <w:rsid w:val="00F45ACC"/>
    <w:rsid w:val="00F45BC0"/>
    <w:rsid w:val="00F45D4A"/>
    <w:rsid w:val="00F45E81"/>
    <w:rsid w:val="00F45F42"/>
    <w:rsid w:val="00F46020"/>
    <w:rsid w:val="00F46246"/>
    <w:rsid w:val="00F4626F"/>
    <w:rsid w:val="00F462D6"/>
    <w:rsid w:val="00F46840"/>
    <w:rsid w:val="00F46857"/>
    <w:rsid w:val="00F4685F"/>
    <w:rsid w:val="00F46D8B"/>
    <w:rsid w:val="00F471E4"/>
    <w:rsid w:val="00F47424"/>
    <w:rsid w:val="00F477DC"/>
    <w:rsid w:val="00F47880"/>
    <w:rsid w:val="00F47A0D"/>
    <w:rsid w:val="00F47A2B"/>
    <w:rsid w:val="00F47A5E"/>
    <w:rsid w:val="00F47A88"/>
    <w:rsid w:val="00F47CA4"/>
    <w:rsid w:val="00F47F81"/>
    <w:rsid w:val="00F502C1"/>
    <w:rsid w:val="00F50496"/>
    <w:rsid w:val="00F50933"/>
    <w:rsid w:val="00F509FA"/>
    <w:rsid w:val="00F50CBB"/>
    <w:rsid w:val="00F50E3C"/>
    <w:rsid w:val="00F50F06"/>
    <w:rsid w:val="00F50F66"/>
    <w:rsid w:val="00F50FF7"/>
    <w:rsid w:val="00F51105"/>
    <w:rsid w:val="00F5114E"/>
    <w:rsid w:val="00F511EC"/>
    <w:rsid w:val="00F51427"/>
    <w:rsid w:val="00F5152F"/>
    <w:rsid w:val="00F51A4D"/>
    <w:rsid w:val="00F51A83"/>
    <w:rsid w:val="00F51AC5"/>
    <w:rsid w:val="00F51B34"/>
    <w:rsid w:val="00F51CA6"/>
    <w:rsid w:val="00F51CD3"/>
    <w:rsid w:val="00F51FB9"/>
    <w:rsid w:val="00F5223F"/>
    <w:rsid w:val="00F522C4"/>
    <w:rsid w:val="00F522DD"/>
    <w:rsid w:val="00F52435"/>
    <w:rsid w:val="00F526EB"/>
    <w:rsid w:val="00F528B6"/>
    <w:rsid w:val="00F5291E"/>
    <w:rsid w:val="00F529BB"/>
    <w:rsid w:val="00F52A0C"/>
    <w:rsid w:val="00F52B33"/>
    <w:rsid w:val="00F52C1A"/>
    <w:rsid w:val="00F52D12"/>
    <w:rsid w:val="00F5300E"/>
    <w:rsid w:val="00F530D8"/>
    <w:rsid w:val="00F5364D"/>
    <w:rsid w:val="00F5370A"/>
    <w:rsid w:val="00F53746"/>
    <w:rsid w:val="00F537C0"/>
    <w:rsid w:val="00F53985"/>
    <w:rsid w:val="00F53AA0"/>
    <w:rsid w:val="00F53C0F"/>
    <w:rsid w:val="00F53E01"/>
    <w:rsid w:val="00F53FC9"/>
    <w:rsid w:val="00F53FF7"/>
    <w:rsid w:val="00F54762"/>
    <w:rsid w:val="00F547E6"/>
    <w:rsid w:val="00F54A39"/>
    <w:rsid w:val="00F54BFF"/>
    <w:rsid w:val="00F54C1E"/>
    <w:rsid w:val="00F54C56"/>
    <w:rsid w:val="00F54FB1"/>
    <w:rsid w:val="00F54FED"/>
    <w:rsid w:val="00F55433"/>
    <w:rsid w:val="00F5561D"/>
    <w:rsid w:val="00F558EC"/>
    <w:rsid w:val="00F55B77"/>
    <w:rsid w:val="00F55C12"/>
    <w:rsid w:val="00F55EF9"/>
    <w:rsid w:val="00F5613D"/>
    <w:rsid w:val="00F56313"/>
    <w:rsid w:val="00F563CC"/>
    <w:rsid w:val="00F564E8"/>
    <w:rsid w:val="00F5693E"/>
    <w:rsid w:val="00F56A78"/>
    <w:rsid w:val="00F56A87"/>
    <w:rsid w:val="00F56AB2"/>
    <w:rsid w:val="00F56B05"/>
    <w:rsid w:val="00F56BF5"/>
    <w:rsid w:val="00F56FA1"/>
    <w:rsid w:val="00F5737E"/>
    <w:rsid w:val="00F573B8"/>
    <w:rsid w:val="00F573C5"/>
    <w:rsid w:val="00F573E7"/>
    <w:rsid w:val="00F5744F"/>
    <w:rsid w:val="00F57540"/>
    <w:rsid w:val="00F577DB"/>
    <w:rsid w:val="00F577FC"/>
    <w:rsid w:val="00F5780D"/>
    <w:rsid w:val="00F57876"/>
    <w:rsid w:val="00F57BFE"/>
    <w:rsid w:val="00F57CD8"/>
    <w:rsid w:val="00F57D0A"/>
    <w:rsid w:val="00F57D61"/>
    <w:rsid w:val="00F601AA"/>
    <w:rsid w:val="00F60362"/>
    <w:rsid w:val="00F605A3"/>
    <w:rsid w:val="00F606A6"/>
    <w:rsid w:val="00F60776"/>
    <w:rsid w:val="00F607E5"/>
    <w:rsid w:val="00F60DFB"/>
    <w:rsid w:val="00F60E5F"/>
    <w:rsid w:val="00F61090"/>
    <w:rsid w:val="00F61282"/>
    <w:rsid w:val="00F61368"/>
    <w:rsid w:val="00F61413"/>
    <w:rsid w:val="00F6163B"/>
    <w:rsid w:val="00F61668"/>
    <w:rsid w:val="00F616B3"/>
    <w:rsid w:val="00F6192A"/>
    <w:rsid w:val="00F6195F"/>
    <w:rsid w:val="00F61A1D"/>
    <w:rsid w:val="00F61E32"/>
    <w:rsid w:val="00F620C7"/>
    <w:rsid w:val="00F62406"/>
    <w:rsid w:val="00F624C6"/>
    <w:rsid w:val="00F62561"/>
    <w:rsid w:val="00F629CB"/>
    <w:rsid w:val="00F62AA0"/>
    <w:rsid w:val="00F62B09"/>
    <w:rsid w:val="00F62BA1"/>
    <w:rsid w:val="00F62D15"/>
    <w:rsid w:val="00F62E6B"/>
    <w:rsid w:val="00F6303E"/>
    <w:rsid w:val="00F630F5"/>
    <w:rsid w:val="00F631B0"/>
    <w:rsid w:val="00F63479"/>
    <w:rsid w:val="00F634AD"/>
    <w:rsid w:val="00F6351C"/>
    <w:rsid w:val="00F63538"/>
    <w:rsid w:val="00F6363A"/>
    <w:rsid w:val="00F63793"/>
    <w:rsid w:val="00F6394F"/>
    <w:rsid w:val="00F63ACD"/>
    <w:rsid w:val="00F63B62"/>
    <w:rsid w:val="00F63C6B"/>
    <w:rsid w:val="00F640D0"/>
    <w:rsid w:val="00F64189"/>
    <w:rsid w:val="00F643B9"/>
    <w:rsid w:val="00F64632"/>
    <w:rsid w:val="00F64688"/>
    <w:rsid w:val="00F6477C"/>
    <w:rsid w:val="00F64AB4"/>
    <w:rsid w:val="00F64CDF"/>
    <w:rsid w:val="00F64DC2"/>
    <w:rsid w:val="00F64DCD"/>
    <w:rsid w:val="00F64F38"/>
    <w:rsid w:val="00F64F43"/>
    <w:rsid w:val="00F64F4C"/>
    <w:rsid w:val="00F652A7"/>
    <w:rsid w:val="00F659E8"/>
    <w:rsid w:val="00F6600F"/>
    <w:rsid w:val="00F6645E"/>
    <w:rsid w:val="00F66483"/>
    <w:rsid w:val="00F66B37"/>
    <w:rsid w:val="00F66C2B"/>
    <w:rsid w:val="00F66FFE"/>
    <w:rsid w:val="00F67200"/>
    <w:rsid w:val="00F67316"/>
    <w:rsid w:val="00F6766B"/>
    <w:rsid w:val="00F67701"/>
    <w:rsid w:val="00F677AE"/>
    <w:rsid w:val="00F67B5E"/>
    <w:rsid w:val="00F67B61"/>
    <w:rsid w:val="00F67C49"/>
    <w:rsid w:val="00F67D52"/>
    <w:rsid w:val="00F7024F"/>
    <w:rsid w:val="00F705B6"/>
    <w:rsid w:val="00F70786"/>
    <w:rsid w:val="00F70B5B"/>
    <w:rsid w:val="00F70C8A"/>
    <w:rsid w:val="00F70D91"/>
    <w:rsid w:val="00F7106C"/>
    <w:rsid w:val="00F710AD"/>
    <w:rsid w:val="00F710B2"/>
    <w:rsid w:val="00F7110F"/>
    <w:rsid w:val="00F71192"/>
    <w:rsid w:val="00F711F7"/>
    <w:rsid w:val="00F71598"/>
    <w:rsid w:val="00F7177E"/>
    <w:rsid w:val="00F718C8"/>
    <w:rsid w:val="00F7199E"/>
    <w:rsid w:val="00F71B13"/>
    <w:rsid w:val="00F71D1F"/>
    <w:rsid w:val="00F71D5B"/>
    <w:rsid w:val="00F71E2C"/>
    <w:rsid w:val="00F7205B"/>
    <w:rsid w:val="00F72071"/>
    <w:rsid w:val="00F7242E"/>
    <w:rsid w:val="00F72449"/>
    <w:rsid w:val="00F7272F"/>
    <w:rsid w:val="00F727ED"/>
    <w:rsid w:val="00F728C7"/>
    <w:rsid w:val="00F729BB"/>
    <w:rsid w:val="00F72A4A"/>
    <w:rsid w:val="00F72A9A"/>
    <w:rsid w:val="00F72ADD"/>
    <w:rsid w:val="00F72B66"/>
    <w:rsid w:val="00F73224"/>
    <w:rsid w:val="00F732B0"/>
    <w:rsid w:val="00F732D7"/>
    <w:rsid w:val="00F736EA"/>
    <w:rsid w:val="00F73B2E"/>
    <w:rsid w:val="00F73B9F"/>
    <w:rsid w:val="00F73DEF"/>
    <w:rsid w:val="00F73E0A"/>
    <w:rsid w:val="00F73F2C"/>
    <w:rsid w:val="00F740EF"/>
    <w:rsid w:val="00F742CA"/>
    <w:rsid w:val="00F748A3"/>
    <w:rsid w:val="00F74A0B"/>
    <w:rsid w:val="00F74AC0"/>
    <w:rsid w:val="00F74B1B"/>
    <w:rsid w:val="00F74C36"/>
    <w:rsid w:val="00F74C63"/>
    <w:rsid w:val="00F74CE7"/>
    <w:rsid w:val="00F74E63"/>
    <w:rsid w:val="00F74ECE"/>
    <w:rsid w:val="00F74F32"/>
    <w:rsid w:val="00F74F92"/>
    <w:rsid w:val="00F75071"/>
    <w:rsid w:val="00F75249"/>
    <w:rsid w:val="00F75290"/>
    <w:rsid w:val="00F752DB"/>
    <w:rsid w:val="00F757A2"/>
    <w:rsid w:val="00F75B72"/>
    <w:rsid w:val="00F75BEF"/>
    <w:rsid w:val="00F75CE6"/>
    <w:rsid w:val="00F75E61"/>
    <w:rsid w:val="00F75F6D"/>
    <w:rsid w:val="00F761F6"/>
    <w:rsid w:val="00F76387"/>
    <w:rsid w:val="00F7646F"/>
    <w:rsid w:val="00F765A6"/>
    <w:rsid w:val="00F767B7"/>
    <w:rsid w:val="00F767F9"/>
    <w:rsid w:val="00F76809"/>
    <w:rsid w:val="00F769ED"/>
    <w:rsid w:val="00F76C6F"/>
    <w:rsid w:val="00F76D66"/>
    <w:rsid w:val="00F76EAD"/>
    <w:rsid w:val="00F76F9C"/>
    <w:rsid w:val="00F770B5"/>
    <w:rsid w:val="00F7718B"/>
    <w:rsid w:val="00F7728C"/>
    <w:rsid w:val="00F77423"/>
    <w:rsid w:val="00F77910"/>
    <w:rsid w:val="00F77971"/>
    <w:rsid w:val="00F779B0"/>
    <w:rsid w:val="00F77E39"/>
    <w:rsid w:val="00F80094"/>
    <w:rsid w:val="00F80156"/>
    <w:rsid w:val="00F8019B"/>
    <w:rsid w:val="00F801D7"/>
    <w:rsid w:val="00F801E0"/>
    <w:rsid w:val="00F801E4"/>
    <w:rsid w:val="00F80550"/>
    <w:rsid w:val="00F8058B"/>
    <w:rsid w:val="00F806E8"/>
    <w:rsid w:val="00F8081E"/>
    <w:rsid w:val="00F80853"/>
    <w:rsid w:val="00F80B36"/>
    <w:rsid w:val="00F80DDC"/>
    <w:rsid w:val="00F81018"/>
    <w:rsid w:val="00F813D4"/>
    <w:rsid w:val="00F81436"/>
    <w:rsid w:val="00F81643"/>
    <w:rsid w:val="00F81B5E"/>
    <w:rsid w:val="00F820D2"/>
    <w:rsid w:val="00F8212F"/>
    <w:rsid w:val="00F822B9"/>
    <w:rsid w:val="00F8261E"/>
    <w:rsid w:val="00F82785"/>
    <w:rsid w:val="00F82868"/>
    <w:rsid w:val="00F82951"/>
    <w:rsid w:val="00F82985"/>
    <w:rsid w:val="00F82B43"/>
    <w:rsid w:val="00F82B98"/>
    <w:rsid w:val="00F82BE2"/>
    <w:rsid w:val="00F82C65"/>
    <w:rsid w:val="00F82CEB"/>
    <w:rsid w:val="00F82E15"/>
    <w:rsid w:val="00F82F7C"/>
    <w:rsid w:val="00F8309B"/>
    <w:rsid w:val="00F833C9"/>
    <w:rsid w:val="00F834C2"/>
    <w:rsid w:val="00F836DF"/>
    <w:rsid w:val="00F83739"/>
    <w:rsid w:val="00F837E7"/>
    <w:rsid w:val="00F83B75"/>
    <w:rsid w:val="00F83C39"/>
    <w:rsid w:val="00F83C96"/>
    <w:rsid w:val="00F842D1"/>
    <w:rsid w:val="00F84307"/>
    <w:rsid w:val="00F84473"/>
    <w:rsid w:val="00F8453D"/>
    <w:rsid w:val="00F848A0"/>
    <w:rsid w:val="00F848D5"/>
    <w:rsid w:val="00F84A68"/>
    <w:rsid w:val="00F84C38"/>
    <w:rsid w:val="00F84C7C"/>
    <w:rsid w:val="00F84C9C"/>
    <w:rsid w:val="00F84D5B"/>
    <w:rsid w:val="00F84D5F"/>
    <w:rsid w:val="00F84E0C"/>
    <w:rsid w:val="00F84F56"/>
    <w:rsid w:val="00F850CB"/>
    <w:rsid w:val="00F851A0"/>
    <w:rsid w:val="00F85207"/>
    <w:rsid w:val="00F852BA"/>
    <w:rsid w:val="00F853C6"/>
    <w:rsid w:val="00F855D5"/>
    <w:rsid w:val="00F8575F"/>
    <w:rsid w:val="00F85816"/>
    <w:rsid w:val="00F85929"/>
    <w:rsid w:val="00F859F9"/>
    <w:rsid w:val="00F85BB5"/>
    <w:rsid w:val="00F85F1D"/>
    <w:rsid w:val="00F860D5"/>
    <w:rsid w:val="00F861E3"/>
    <w:rsid w:val="00F86303"/>
    <w:rsid w:val="00F8637F"/>
    <w:rsid w:val="00F8638D"/>
    <w:rsid w:val="00F865AF"/>
    <w:rsid w:val="00F8662F"/>
    <w:rsid w:val="00F86684"/>
    <w:rsid w:val="00F869E4"/>
    <w:rsid w:val="00F86A4B"/>
    <w:rsid w:val="00F86B1A"/>
    <w:rsid w:val="00F86C3C"/>
    <w:rsid w:val="00F86E44"/>
    <w:rsid w:val="00F86F0C"/>
    <w:rsid w:val="00F872AF"/>
    <w:rsid w:val="00F8753F"/>
    <w:rsid w:val="00F8778E"/>
    <w:rsid w:val="00F8785E"/>
    <w:rsid w:val="00F87B36"/>
    <w:rsid w:val="00F87E77"/>
    <w:rsid w:val="00F87FEC"/>
    <w:rsid w:val="00F9007E"/>
    <w:rsid w:val="00F902EA"/>
    <w:rsid w:val="00F903FF"/>
    <w:rsid w:val="00F905B9"/>
    <w:rsid w:val="00F906CA"/>
    <w:rsid w:val="00F906DF"/>
    <w:rsid w:val="00F90B6E"/>
    <w:rsid w:val="00F90E9E"/>
    <w:rsid w:val="00F90F3F"/>
    <w:rsid w:val="00F90F82"/>
    <w:rsid w:val="00F90FFE"/>
    <w:rsid w:val="00F91328"/>
    <w:rsid w:val="00F91428"/>
    <w:rsid w:val="00F914A0"/>
    <w:rsid w:val="00F91632"/>
    <w:rsid w:val="00F91703"/>
    <w:rsid w:val="00F918AC"/>
    <w:rsid w:val="00F91910"/>
    <w:rsid w:val="00F91AD6"/>
    <w:rsid w:val="00F91C5A"/>
    <w:rsid w:val="00F91C69"/>
    <w:rsid w:val="00F91ED7"/>
    <w:rsid w:val="00F91F95"/>
    <w:rsid w:val="00F921D4"/>
    <w:rsid w:val="00F92456"/>
    <w:rsid w:val="00F925D7"/>
    <w:rsid w:val="00F92706"/>
    <w:rsid w:val="00F92868"/>
    <w:rsid w:val="00F92891"/>
    <w:rsid w:val="00F9293C"/>
    <w:rsid w:val="00F92B9F"/>
    <w:rsid w:val="00F92C3A"/>
    <w:rsid w:val="00F92DA2"/>
    <w:rsid w:val="00F92F05"/>
    <w:rsid w:val="00F93150"/>
    <w:rsid w:val="00F935AC"/>
    <w:rsid w:val="00F9399A"/>
    <w:rsid w:val="00F939D7"/>
    <w:rsid w:val="00F939F0"/>
    <w:rsid w:val="00F93A89"/>
    <w:rsid w:val="00F93B85"/>
    <w:rsid w:val="00F93BB9"/>
    <w:rsid w:val="00F93D59"/>
    <w:rsid w:val="00F93DF6"/>
    <w:rsid w:val="00F93E27"/>
    <w:rsid w:val="00F9409E"/>
    <w:rsid w:val="00F941DA"/>
    <w:rsid w:val="00F94244"/>
    <w:rsid w:val="00F942BD"/>
    <w:rsid w:val="00F94595"/>
    <w:rsid w:val="00F94768"/>
    <w:rsid w:val="00F947E0"/>
    <w:rsid w:val="00F94986"/>
    <w:rsid w:val="00F94A0E"/>
    <w:rsid w:val="00F94C42"/>
    <w:rsid w:val="00F94F6F"/>
    <w:rsid w:val="00F953BC"/>
    <w:rsid w:val="00F954D1"/>
    <w:rsid w:val="00F95662"/>
    <w:rsid w:val="00F95781"/>
    <w:rsid w:val="00F957F0"/>
    <w:rsid w:val="00F9580B"/>
    <w:rsid w:val="00F95967"/>
    <w:rsid w:val="00F959B7"/>
    <w:rsid w:val="00F95CD9"/>
    <w:rsid w:val="00F95CF9"/>
    <w:rsid w:val="00F95D47"/>
    <w:rsid w:val="00F95EC3"/>
    <w:rsid w:val="00F95F10"/>
    <w:rsid w:val="00F95F4B"/>
    <w:rsid w:val="00F95FD4"/>
    <w:rsid w:val="00F96392"/>
    <w:rsid w:val="00F96428"/>
    <w:rsid w:val="00F9662B"/>
    <w:rsid w:val="00F967BE"/>
    <w:rsid w:val="00F96825"/>
    <w:rsid w:val="00F96875"/>
    <w:rsid w:val="00F96A20"/>
    <w:rsid w:val="00F96CE4"/>
    <w:rsid w:val="00F96D66"/>
    <w:rsid w:val="00F96E11"/>
    <w:rsid w:val="00F97044"/>
    <w:rsid w:val="00F97160"/>
    <w:rsid w:val="00F97467"/>
    <w:rsid w:val="00F97623"/>
    <w:rsid w:val="00F979B6"/>
    <w:rsid w:val="00F979E1"/>
    <w:rsid w:val="00F97A68"/>
    <w:rsid w:val="00F97B84"/>
    <w:rsid w:val="00F97E75"/>
    <w:rsid w:val="00F97EC6"/>
    <w:rsid w:val="00FA004A"/>
    <w:rsid w:val="00FA014F"/>
    <w:rsid w:val="00FA053E"/>
    <w:rsid w:val="00FA06C4"/>
    <w:rsid w:val="00FA08BD"/>
    <w:rsid w:val="00FA0A75"/>
    <w:rsid w:val="00FA0B83"/>
    <w:rsid w:val="00FA0D27"/>
    <w:rsid w:val="00FA0E4F"/>
    <w:rsid w:val="00FA148A"/>
    <w:rsid w:val="00FA1517"/>
    <w:rsid w:val="00FA16E4"/>
    <w:rsid w:val="00FA16FE"/>
    <w:rsid w:val="00FA1ABA"/>
    <w:rsid w:val="00FA1B65"/>
    <w:rsid w:val="00FA1CA3"/>
    <w:rsid w:val="00FA1D70"/>
    <w:rsid w:val="00FA204B"/>
    <w:rsid w:val="00FA231D"/>
    <w:rsid w:val="00FA250F"/>
    <w:rsid w:val="00FA25AF"/>
    <w:rsid w:val="00FA2812"/>
    <w:rsid w:val="00FA2971"/>
    <w:rsid w:val="00FA2BB4"/>
    <w:rsid w:val="00FA2CFA"/>
    <w:rsid w:val="00FA329A"/>
    <w:rsid w:val="00FA32DE"/>
    <w:rsid w:val="00FA32E2"/>
    <w:rsid w:val="00FA34A5"/>
    <w:rsid w:val="00FA350C"/>
    <w:rsid w:val="00FA3539"/>
    <w:rsid w:val="00FA35A6"/>
    <w:rsid w:val="00FA35EC"/>
    <w:rsid w:val="00FA3775"/>
    <w:rsid w:val="00FA39C8"/>
    <w:rsid w:val="00FA3A08"/>
    <w:rsid w:val="00FA3CC5"/>
    <w:rsid w:val="00FA3E2A"/>
    <w:rsid w:val="00FA404F"/>
    <w:rsid w:val="00FA4067"/>
    <w:rsid w:val="00FA422B"/>
    <w:rsid w:val="00FA4267"/>
    <w:rsid w:val="00FA4459"/>
    <w:rsid w:val="00FA44FC"/>
    <w:rsid w:val="00FA44FD"/>
    <w:rsid w:val="00FA451D"/>
    <w:rsid w:val="00FA4650"/>
    <w:rsid w:val="00FA47E5"/>
    <w:rsid w:val="00FA482B"/>
    <w:rsid w:val="00FA4E35"/>
    <w:rsid w:val="00FA4F0C"/>
    <w:rsid w:val="00FA5007"/>
    <w:rsid w:val="00FA531F"/>
    <w:rsid w:val="00FA5481"/>
    <w:rsid w:val="00FA54A5"/>
    <w:rsid w:val="00FA55C4"/>
    <w:rsid w:val="00FA5659"/>
    <w:rsid w:val="00FA5717"/>
    <w:rsid w:val="00FA5756"/>
    <w:rsid w:val="00FA5948"/>
    <w:rsid w:val="00FA5BF0"/>
    <w:rsid w:val="00FA5D33"/>
    <w:rsid w:val="00FA5E61"/>
    <w:rsid w:val="00FA5FB9"/>
    <w:rsid w:val="00FA6336"/>
    <w:rsid w:val="00FA64E7"/>
    <w:rsid w:val="00FA6832"/>
    <w:rsid w:val="00FA693B"/>
    <w:rsid w:val="00FA6ADE"/>
    <w:rsid w:val="00FA6C56"/>
    <w:rsid w:val="00FA6EA8"/>
    <w:rsid w:val="00FA6EAB"/>
    <w:rsid w:val="00FA6EB4"/>
    <w:rsid w:val="00FA6ECE"/>
    <w:rsid w:val="00FA705E"/>
    <w:rsid w:val="00FA71B3"/>
    <w:rsid w:val="00FA722F"/>
    <w:rsid w:val="00FA72CB"/>
    <w:rsid w:val="00FA7385"/>
    <w:rsid w:val="00FA741D"/>
    <w:rsid w:val="00FA7B27"/>
    <w:rsid w:val="00FA7DE3"/>
    <w:rsid w:val="00FA7FD2"/>
    <w:rsid w:val="00FA7FE8"/>
    <w:rsid w:val="00FB0107"/>
    <w:rsid w:val="00FB020D"/>
    <w:rsid w:val="00FB07E4"/>
    <w:rsid w:val="00FB0807"/>
    <w:rsid w:val="00FB098F"/>
    <w:rsid w:val="00FB09B0"/>
    <w:rsid w:val="00FB0C0B"/>
    <w:rsid w:val="00FB0D87"/>
    <w:rsid w:val="00FB0F10"/>
    <w:rsid w:val="00FB0F42"/>
    <w:rsid w:val="00FB10AA"/>
    <w:rsid w:val="00FB11D2"/>
    <w:rsid w:val="00FB134D"/>
    <w:rsid w:val="00FB139E"/>
    <w:rsid w:val="00FB14B2"/>
    <w:rsid w:val="00FB14E9"/>
    <w:rsid w:val="00FB1610"/>
    <w:rsid w:val="00FB17A5"/>
    <w:rsid w:val="00FB17EF"/>
    <w:rsid w:val="00FB1830"/>
    <w:rsid w:val="00FB189D"/>
    <w:rsid w:val="00FB195B"/>
    <w:rsid w:val="00FB1AC1"/>
    <w:rsid w:val="00FB1B64"/>
    <w:rsid w:val="00FB20CD"/>
    <w:rsid w:val="00FB21AB"/>
    <w:rsid w:val="00FB2579"/>
    <w:rsid w:val="00FB272E"/>
    <w:rsid w:val="00FB27A7"/>
    <w:rsid w:val="00FB281F"/>
    <w:rsid w:val="00FB2A3B"/>
    <w:rsid w:val="00FB2A8E"/>
    <w:rsid w:val="00FB2B75"/>
    <w:rsid w:val="00FB2BE6"/>
    <w:rsid w:val="00FB2EAC"/>
    <w:rsid w:val="00FB2FB5"/>
    <w:rsid w:val="00FB2FC0"/>
    <w:rsid w:val="00FB2FF4"/>
    <w:rsid w:val="00FB300C"/>
    <w:rsid w:val="00FB30E6"/>
    <w:rsid w:val="00FB3136"/>
    <w:rsid w:val="00FB31F9"/>
    <w:rsid w:val="00FB32A7"/>
    <w:rsid w:val="00FB32C8"/>
    <w:rsid w:val="00FB361D"/>
    <w:rsid w:val="00FB3865"/>
    <w:rsid w:val="00FB3A08"/>
    <w:rsid w:val="00FB4323"/>
    <w:rsid w:val="00FB43E9"/>
    <w:rsid w:val="00FB458A"/>
    <w:rsid w:val="00FB45AC"/>
    <w:rsid w:val="00FB4749"/>
    <w:rsid w:val="00FB4789"/>
    <w:rsid w:val="00FB4952"/>
    <w:rsid w:val="00FB49D6"/>
    <w:rsid w:val="00FB4A22"/>
    <w:rsid w:val="00FB4CB2"/>
    <w:rsid w:val="00FB4CC4"/>
    <w:rsid w:val="00FB5187"/>
    <w:rsid w:val="00FB5431"/>
    <w:rsid w:val="00FB55C7"/>
    <w:rsid w:val="00FB58F9"/>
    <w:rsid w:val="00FB5A70"/>
    <w:rsid w:val="00FB5B52"/>
    <w:rsid w:val="00FB5BD6"/>
    <w:rsid w:val="00FB5CE4"/>
    <w:rsid w:val="00FB5DA8"/>
    <w:rsid w:val="00FB5E55"/>
    <w:rsid w:val="00FB5F44"/>
    <w:rsid w:val="00FB5F90"/>
    <w:rsid w:val="00FB5FE6"/>
    <w:rsid w:val="00FB622C"/>
    <w:rsid w:val="00FB6530"/>
    <w:rsid w:val="00FB66CA"/>
    <w:rsid w:val="00FB6745"/>
    <w:rsid w:val="00FB678B"/>
    <w:rsid w:val="00FB679F"/>
    <w:rsid w:val="00FB67BA"/>
    <w:rsid w:val="00FB68F5"/>
    <w:rsid w:val="00FB6925"/>
    <w:rsid w:val="00FB6A89"/>
    <w:rsid w:val="00FB6B5B"/>
    <w:rsid w:val="00FB6B6B"/>
    <w:rsid w:val="00FB6B70"/>
    <w:rsid w:val="00FB6DB1"/>
    <w:rsid w:val="00FB6E57"/>
    <w:rsid w:val="00FB6EEE"/>
    <w:rsid w:val="00FB70F9"/>
    <w:rsid w:val="00FB715C"/>
    <w:rsid w:val="00FB780A"/>
    <w:rsid w:val="00FB7862"/>
    <w:rsid w:val="00FB78AD"/>
    <w:rsid w:val="00FB7918"/>
    <w:rsid w:val="00FB7A77"/>
    <w:rsid w:val="00FB7D8C"/>
    <w:rsid w:val="00FB7E40"/>
    <w:rsid w:val="00FC031C"/>
    <w:rsid w:val="00FC03E2"/>
    <w:rsid w:val="00FC04AA"/>
    <w:rsid w:val="00FC0880"/>
    <w:rsid w:val="00FC088F"/>
    <w:rsid w:val="00FC08D5"/>
    <w:rsid w:val="00FC0ADE"/>
    <w:rsid w:val="00FC0CD2"/>
    <w:rsid w:val="00FC0D16"/>
    <w:rsid w:val="00FC0FB9"/>
    <w:rsid w:val="00FC0FBA"/>
    <w:rsid w:val="00FC0FE2"/>
    <w:rsid w:val="00FC14FF"/>
    <w:rsid w:val="00FC1637"/>
    <w:rsid w:val="00FC170E"/>
    <w:rsid w:val="00FC1762"/>
    <w:rsid w:val="00FC177F"/>
    <w:rsid w:val="00FC1A8B"/>
    <w:rsid w:val="00FC1BFA"/>
    <w:rsid w:val="00FC1C10"/>
    <w:rsid w:val="00FC1CCF"/>
    <w:rsid w:val="00FC1FCD"/>
    <w:rsid w:val="00FC21FB"/>
    <w:rsid w:val="00FC23B5"/>
    <w:rsid w:val="00FC25E7"/>
    <w:rsid w:val="00FC2746"/>
    <w:rsid w:val="00FC274E"/>
    <w:rsid w:val="00FC292D"/>
    <w:rsid w:val="00FC2CE3"/>
    <w:rsid w:val="00FC3404"/>
    <w:rsid w:val="00FC3689"/>
    <w:rsid w:val="00FC37A5"/>
    <w:rsid w:val="00FC3845"/>
    <w:rsid w:val="00FC3876"/>
    <w:rsid w:val="00FC3BB8"/>
    <w:rsid w:val="00FC3BE9"/>
    <w:rsid w:val="00FC3CEE"/>
    <w:rsid w:val="00FC3E10"/>
    <w:rsid w:val="00FC429D"/>
    <w:rsid w:val="00FC43B0"/>
    <w:rsid w:val="00FC44A0"/>
    <w:rsid w:val="00FC46A5"/>
    <w:rsid w:val="00FC4729"/>
    <w:rsid w:val="00FC47D3"/>
    <w:rsid w:val="00FC4915"/>
    <w:rsid w:val="00FC4A6E"/>
    <w:rsid w:val="00FC4B76"/>
    <w:rsid w:val="00FC4D11"/>
    <w:rsid w:val="00FC4D7A"/>
    <w:rsid w:val="00FC4DA6"/>
    <w:rsid w:val="00FC538B"/>
    <w:rsid w:val="00FC546B"/>
    <w:rsid w:val="00FC54E5"/>
    <w:rsid w:val="00FC55E9"/>
    <w:rsid w:val="00FC55FC"/>
    <w:rsid w:val="00FC57D6"/>
    <w:rsid w:val="00FC5992"/>
    <w:rsid w:val="00FC5A4D"/>
    <w:rsid w:val="00FC5AA9"/>
    <w:rsid w:val="00FC5CC4"/>
    <w:rsid w:val="00FC5F4A"/>
    <w:rsid w:val="00FC6047"/>
    <w:rsid w:val="00FC6159"/>
    <w:rsid w:val="00FC61FB"/>
    <w:rsid w:val="00FC6333"/>
    <w:rsid w:val="00FC6457"/>
    <w:rsid w:val="00FC6731"/>
    <w:rsid w:val="00FC68B7"/>
    <w:rsid w:val="00FC699F"/>
    <w:rsid w:val="00FC69E3"/>
    <w:rsid w:val="00FC6A3E"/>
    <w:rsid w:val="00FC6D98"/>
    <w:rsid w:val="00FC6DA0"/>
    <w:rsid w:val="00FC6E76"/>
    <w:rsid w:val="00FC6EA8"/>
    <w:rsid w:val="00FC7027"/>
    <w:rsid w:val="00FC704B"/>
    <w:rsid w:val="00FC7067"/>
    <w:rsid w:val="00FC7503"/>
    <w:rsid w:val="00FC7695"/>
    <w:rsid w:val="00FC7924"/>
    <w:rsid w:val="00FC7BFD"/>
    <w:rsid w:val="00FC7D58"/>
    <w:rsid w:val="00FC7F87"/>
    <w:rsid w:val="00FD00A3"/>
    <w:rsid w:val="00FD06A5"/>
    <w:rsid w:val="00FD0A44"/>
    <w:rsid w:val="00FD0A9F"/>
    <w:rsid w:val="00FD0B70"/>
    <w:rsid w:val="00FD0C1C"/>
    <w:rsid w:val="00FD0CC4"/>
    <w:rsid w:val="00FD0F86"/>
    <w:rsid w:val="00FD0F96"/>
    <w:rsid w:val="00FD123B"/>
    <w:rsid w:val="00FD12D7"/>
    <w:rsid w:val="00FD1389"/>
    <w:rsid w:val="00FD14DE"/>
    <w:rsid w:val="00FD152B"/>
    <w:rsid w:val="00FD15F7"/>
    <w:rsid w:val="00FD162D"/>
    <w:rsid w:val="00FD16C7"/>
    <w:rsid w:val="00FD173F"/>
    <w:rsid w:val="00FD181E"/>
    <w:rsid w:val="00FD1831"/>
    <w:rsid w:val="00FD1C74"/>
    <w:rsid w:val="00FD1E3B"/>
    <w:rsid w:val="00FD209E"/>
    <w:rsid w:val="00FD24D8"/>
    <w:rsid w:val="00FD267D"/>
    <w:rsid w:val="00FD26F7"/>
    <w:rsid w:val="00FD28B5"/>
    <w:rsid w:val="00FD299C"/>
    <w:rsid w:val="00FD2B78"/>
    <w:rsid w:val="00FD2D5C"/>
    <w:rsid w:val="00FD2DE7"/>
    <w:rsid w:val="00FD2E36"/>
    <w:rsid w:val="00FD2EAE"/>
    <w:rsid w:val="00FD2F30"/>
    <w:rsid w:val="00FD3107"/>
    <w:rsid w:val="00FD3386"/>
    <w:rsid w:val="00FD382C"/>
    <w:rsid w:val="00FD3902"/>
    <w:rsid w:val="00FD39F8"/>
    <w:rsid w:val="00FD427D"/>
    <w:rsid w:val="00FD4359"/>
    <w:rsid w:val="00FD44FD"/>
    <w:rsid w:val="00FD4BE6"/>
    <w:rsid w:val="00FD4C68"/>
    <w:rsid w:val="00FD4D59"/>
    <w:rsid w:val="00FD4DB5"/>
    <w:rsid w:val="00FD50EA"/>
    <w:rsid w:val="00FD550B"/>
    <w:rsid w:val="00FD5580"/>
    <w:rsid w:val="00FD5592"/>
    <w:rsid w:val="00FD564D"/>
    <w:rsid w:val="00FD57CC"/>
    <w:rsid w:val="00FD5887"/>
    <w:rsid w:val="00FD5919"/>
    <w:rsid w:val="00FD5992"/>
    <w:rsid w:val="00FD5B89"/>
    <w:rsid w:val="00FD5C53"/>
    <w:rsid w:val="00FD5D17"/>
    <w:rsid w:val="00FD5D9A"/>
    <w:rsid w:val="00FD5E02"/>
    <w:rsid w:val="00FD615B"/>
    <w:rsid w:val="00FD615F"/>
    <w:rsid w:val="00FD6297"/>
    <w:rsid w:val="00FD6385"/>
    <w:rsid w:val="00FD6460"/>
    <w:rsid w:val="00FD6560"/>
    <w:rsid w:val="00FD67CA"/>
    <w:rsid w:val="00FD690E"/>
    <w:rsid w:val="00FD695C"/>
    <w:rsid w:val="00FD69E9"/>
    <w:rsid w:val="00FD6A0A"/>
    <w:rsid w:val="00FD6A6A"/>
    <w:rsid w:val="00FD6D2E"/>
    <w:rsid w:val="00FD6F41"/>
    <w:rsid w:val="00FD7032"/>
    <w:rsid w:val="00FD711D"/>
    <w:rsid w:val="00FD71D7"/>
    <w:rsid w:val="00FD7293"/>
    <w:rsid w:val="00FD72C8"/>
    <w:rsid w:val="00FD7455"/>
    <w:rsid w:val="00FD74BC"/>
    <w:rsid w:val="00FD756B"/>
    <w:rsid w:val="00FD7668"/>
    <w:rsid w:val="00FD77F8"/>
    <w:rsid w:val="00FD79A6"/>
    <w:rsid w:val="00FD7F34"/>
    <w:rsid w:val="00FE0015"/>
    <w:rsid w:val="00FE0053"/>
    <w:rsid w:val="00FE0170"/>
    <w:rsid w:val="00FE01B3"/>
    <w:rsid w:val="00FE0233"/>
    <w:rsid w:val="00FE0260"/>
    <w:rsid w:val="00FE0444"/>
    <w:rsid w:val="00FE06E7"/>
    <w:rsid w:val="00FE070F"/>
    <w:rsid w:val="00FE0728"/>
    <w:rsid w:val="00FE0B20"/>
    <w:rsid w:val="00FE0D29"/>
    <w:rsid w:val="00FE0D45"/>
    <w:rsid w:val="00FE0D89"/>
    <w:rsid w:val="00FE0E8F"/>
    <w:rsid w:val="00FE0FEE"/>
    <w:rsid w:val="00FE1058"/>
    <w:rsid w:val="00FE116E"/>
    <w:rsid w:val="00FE1619"/>
    <w:rsid w:val="00FE1704"/>
    <w:rsid w:val="00FE191C"/>
    <w:rsid w:val="00FE19BE"/>
    <w:rsid w:val="00FE1C18"/>
    <w:rsid w:val="00FE1C59"/>
    <w:rsid w:val="00FE1DD6"/>
    <w:rsid w:val="00FE1E2A"/>
    <w:rsid w:val="00FE21A7"/>
    <w:rsid w:val="00FE22A7"/>
    <w:rsid w:val="00FE234D"/>
    <w:rsid w:val="00FE2363"/>
    <w:rsid w:val="00FE25F1"/>
    <w:rsid w:val="00FE2676"/>
    <w:rsid w:val="00FE26FE"/>
    <w:rsid w:val="00FE28A3"/>
    <w:rsid w:val="00FE28B2"/>
    <w:rsid w:val="00FE2C46"/>
    <w:rsid w:val="00FE2F21"/>
    <w:rsid w:val="00FE304D"/>
    <w:rsid w:val="00FE3205"/>
    <w:rsid w:val="00FE3270"/>
    <w:rsid w:val="00FE33B9"/>
    <w:rsid w:val="00FE33CF"/>
    <w:rsid w:val="00FE3663"/>
    <w:rsid w:val="00FE3679"/>
    <w:rsid w:val="00FE378F"/>
    <w:rsid w:val="00FE37F8"/>
    <w:rsid w:val="00FE391F"/>
    <w:rsid w:val="00FE399E"/>
    <w:rsid w:val="00FE39A6"/>
    <w:rsid w:val="00FE3B28"/>
    <w:rsid w:val="00FE4117"/>
    <w:rsid w:val="00FE4246"/>
    <w:rsid w:val="00FE4439"/>
    <w:rsid w:val="00FE4647"/>
    <w:rsid w:val="00FE48E1"/>
    <w:rsid w:val="00FE494C"/>
    <w:rsid w:val="00FE4B02"/>
    <w:rsid w:val="00FE4BED"/>
    <w:rsid w:val="00FE4CDC"/>
    <w:rsid w:val="00FE4EAB"/>
    <w:rsid w:val="00FE51B5"/>
    <w:rsid w:val="00FE5410"/>
    <w:rsid w:val="00FE55DE"/>
    <w:rsid w:val="00FE564C"/>
    <w:rsid w:val="00FE584C"/>
    <w:rsid w:val="00FE58C9"/>
    <w:rsid w:val="00FE58DE"/>
    <w:rsid w:val="00FE595E"/>
    <w:rsid w:val="00FE59B0"/>
    <w:rsid w:val="00FE5CE1"/>
    <w:rsid w:val="00FE6156"/>
    <w:rsid w:val="00FE6227"/>
    <w:rsid w:val="00FE64AB"/>
    <w:rsid w:val="00FE6602"/>
    <w:rsid w:val="00FE6666"/>
    <w:rsid w:val="00FE6793"/>
    <w:rsid w:val="00FE6884"/>
    <w:rsid w:val="00FE68A1"/>
    <w:rsid w:val="00FE69CD"/>
    <w:rsid w:val="00FE6A73"/>
    <w:rsid w:val="00FE6BB2"/>
    <w:rsid w:val="00FE6DF1"/>
    <w:rsid w:val="00FE73CB"/>
    <w:rsid w:val="00FE7422"/>
    <w:rsid w:val="00FE743A"/>
    <w:rsid w:val="00FE74DA"/>
    <w:rsid w:val="00FE783F"/>
    <w:rsid w:val="00FE78D3"/>
    <w:rsid w:val="00FE7952"/>
    <w:rsid w:val="00FE7A4A"/>
    <w:rsid w:val="00FE7C26"/>
    <w:rsid w:val="00FE7CCD"/>
    <w:rsid w:val="00FF05B0"/>
    <w:rsid w:val="00FF0631"/>
    <w:rsid w:val="00FF073F"/>
    <w:rsid w:val="00FF074F"/>
    <w:rsid w:val="00FF0788"/>
    <w:rsid w:val="00FF083D"/>
    <w:rsid w:val="00FF08AA"/>
    <w:rsid w:val="00FF09AB"/>
    <w:rsid w:val="00FF09EF"/>
    <w:rsid w:val="00FF0ACB"/>
    <w:rsid w:val="00FF0BA2"/>
    <w:rsid w:val="00FF0DA0"/>
    <w:rsid w:val="00FF0F91"/>
    <w:rsid w:val="00FF1064"/>
    <w:rsid w:val="00FF1080"/>
    <w:rsid w:val="00FF12F0"/>
    <w:rsid w:val="00FF133F"/>
    <w:rsid w:val="00FF13D5"/>
    <w:rsid w:val="00FF13E8"/>
    <w:rsid w:val="00FF14C7"/>
    <w:rsid w:val="00FF150D"/>
    <w:rsid w:val="00FF1700"/>
    <w:rsid w:val="00FF18A1"/>
    <w:rsid w:val="00FF19D5"/>
    <w:rsid w:val="00FF19F9"/>
    <w:rsid w:val="00FF1A15"/>
    <w:rsid w:val="00FF1AE4"/>
    <w:rsid w:val="00FF1B93"/>
    <w:rsid w:val="00FF1CAE"/>
    <w:rsid w:val="00FF1ED0"/>
    <w:rsid w:val="00FF233A"/>
    <w:rsid w:val="00FF23C9"/>
    <w:rsid w:val="00FF2416"/>
    <w:rsid w:val="00FF24D0"/>
    <w:rsid w:val="00FF252E"/>
    <w:rsid w:val="00FF2699"/>
    <w:rsid w:val="00FF2941"/>
    <w:rsid w:val="00FF2BE1"/>
    <w:rsid w:val="00FF2DD2"/>
    <w:rsid w:val="00FF30CF"/>
    <w:rsid w:val="00FF30DE"/>
    <w:rsid w:val="00FF316E"/>
    <w:rsid w:val="00FF318D"/>
    <w:rsid w:val="00FF350F"/>
    <w:rsid w:val="00FF36FB"/>
    <w:rsid w:val="00FF382B"/>
    <w:rsid w:val="00FF3B03"/>
    <w:rsid w:val="00FF3B81"/>
    <w:rsid w:val="00FF3CC9"/>
    <w:rsid w:val="00FF4188"/>
    <w:rsid w:val="00FF42DB"/>
    <w:rsid w:val="00FF435D"/>
    <w:rsid w:val="00FF43DE"/>
    <w:rsid w:val="00FF46CA"/>
    <w:rsid w:val="00FF478B"/>
    <w:rsid w:val="00FF4AEE"/>
    <w:rsid w:val="00FF4B11"/>
    <w:rsid w:val="00FF4C80"/>
    <w:rsid w:val="00FF4E74"/>
    <w:rsid w:val="00FF50F4"/>
    <w:rsid w:val="00FF51C9"/>
    <w:rsid w:val="00FF520F"/>
    <w:rsid w:val="00FF54C5"/>
    <w:rsid w:val="00FF55BE"/>
    <w:rsid w:val="00FF5A43"/>
    <w:rsid w:val="00FF5B0E"/>
    <w:rsid w:val="00FF5E01"/>
    <w:rsid w:val="00FF5FFF"/>
    <w:rsid w:val="00FF620A"/>
    <w:rsid w:val="00FF696E"/>
    <w:rsid w:val="00FF696F"/>
    <w:rsid w:val="00FF6B75"/>
    <w:rsid w:val="00FF6B76"/>
    <w:rsid w:val="00FF7112"/>
    <w:rsid w:val="00FF7362"/>
    <w:rsid w:val="00FF74AA"/>
    <w:rsid w:val="00FF7546"/>
    <w:rsid w:val="00FF789C"/>
    <w:rsid w:val="00FF7B51"/>
    <w:rsid w:val="00FF7B78"/>
    <w:rsid w:val="00FF7DD3"/>
    <w:rsid w:val="00FF7EED"/>
    <w:rsid w:val="00FF7EF7"/>
    <w:rsid w:val="0113ADF5"/>
    <w:rsid w:val="01191D35"/>
    <w:rsid w:val="011A1C7A"/>
    <w:rsid w:val="0124A2F2"/>
    <w:rsid w:val="0125340D"/>
    <w:rsid w:val="01270346"/>
    <w:rsid w:val="0127CEFE"/>
    <w:rsid w:val="012D23F9"/>
    <w:rsid w:val="013D170C"/>
    <w:rsid w:val="015416F0"/>
    <w:rsid w:val="015F4E45"/>
    <w:rsid w:val="01661C2D"/>
    <w:rsid w:val="01664F62"/>
    <w:rsid w:val="0169EF16"/>
    <w:rsid w:val="017FB710"/>
    <w:rsid w:val="019CA930"/>
    <w:rsid w:val="019CC9D5"/>
    <w:rsid w:val="01F58542"/>
    <w:rsid w:val="0221E378"/>
    <w:rsid w:val="022CD9B1"/>
    <w:rsid w:val="0248A1C4"/>
    <w:rsid w:val="024E8C8F"/>
    <w:rsid w:val="02532A09"/>
    <w:rsid w:val="025726B1"/>
    <w:rsid w:val="025D6CA0"/>
    <w:rsid w:val="02716BE5"/>
    <w:rsid w:val="0271E2C3"/>
    <w:rsid w:val="027664B8"/>
    <w:rsid w:val="02951020"/>
    <w:rsid w:val="02A62E60"/>
    <w:rsid w:val="02AB930A"/>
    <w:rsid w:val="02AC8288"/>
    <w:rsid w:val="02BA355B"/>
    <w:rsid w:val="02BF0494"/>
    <w:rsid w:val="02CA83A5"/>
    <w:rsid w:val="02CFB61B"/>
    <w:rsid w:val="030B06EC"/>
    <w:rsid w:val="0315DF42"/>
    <w:rsid w:val="033946B8"/>
    <w:rsid w:val="034D0C66"/>
    <w:rsid w:val="034E4C3A"/>
    <w:rsid w:val="0358A829"/>
    <w:rsid w:val="036D53FB"/>
    <w:rsid w:val="03A17DFF"/>
    <w:rsid w:val="03B6F33B"/>
    <w:rsid w:val="03CBAB51"/>
    <w:rsid w:val="03CF3416"/>
    <w:rsid w:val="03D479A9"/>
    <w:rsid w:val="03DE4771"/>
    <w:rsid w:val="03E0B7E1"/>
    <w:rsid w:val="03EC75CD"/>
    <w:rsid w:val="04117A0A"/>
    <w:rsid w:val="04245126"/>
    <w:rsid w:val="044AD111"/>
    <w:rsid w:val="044FF266"/>
    <w:rsid w:val="0452125E"/>
    <w:rsid w:val="046E9758"/>
    <w:rsid w:val="04731016"/>
    <w:rsid w:val="04A2F206"/>
    <w:rsid w:val="04C772C1"/>
    <w:rsid w:val="04D3965E"/>
    <w:rsid w:val="04DDD5BF"/>
    <w:rsid w:val="04E6373F"/>
    <w:rsid w:val="04F204F1"/>
    <w:rsid w:val="04FAF0F6"/>
    <w:rsid w:val="050B68A0"/>
    <w:rsid w:val="0512DA2D"/>
    <w:rsid w:val="052F389D"/>
    <w:rsid w:val="0537D5C7"/>
    <w:rsid w:val="053D3B64"/>
    <w:rsid w:val="054612D9"/>
    <w:rsid w:val="0547016D"/>
    <w:rsid w:val="055B1E46"/>
    <w:rsid w:val="0565359D"/>
    <w:rsid w:val="05683DF5"/>
    <w:rsid w:val="057700D7"/>
    <w:rsid w:val="059702F3"/>
    <w:rsid w:val="05A47F76"/>
    <w:rsid w:val="05CC88A5"/>
    <w:rsid w:val="05E154DD"/>
    <w:rsid w:val="05E77542"/>
    <w:rsid w:val="05EE902B"/>
    <w:rsid w:val="0609D2A9"/>
    <w:rsid w:val="06108F26"/>
    <w:rsid w:val="0624B748"/>
    <w:rsid w:val="0629F243"/>
    <w:rsid w:val="062FC1B6"/>
    <w:rsid w:val="063EC267"/>
    <w:rsid w:val="06509FB4"/>
    <w:rsid w:val="06550BAD"/>
    <w:rsid w:val="0666548C"/>
    <w:rsid w:val="0666F1C3"/>
    <w:rsid w:val="066F7EB3"/>
    <w:rsid w:val="0676009F"/>
    <w:rsid w:val="0698FEB8"/>
    <w:rsid w:val="069DF984"/>
    <w:rsid w:val="06A1E10C"/>
    <w:rsid w:val="06BE0133"/>
    <w:rsid w:val="06CB84FF"/>
    <w:rsid w:val="06CD7E0F"/>
    <w:rsid w:val="06CF784F"/>
    <w:rsid w:val="06DA9C42"/>
    <w:rsid w:val="06E61E06"/>
    <w:rsid w:val="06E80F95"/>
    <w:rsid w:val="06EFB433"/>
    <w:rsid w:val="070F63C8"/>
    <w:rsid w:val="07476E0F"/>
    <w:rsid w:val="076020BF"/>
    <w:rsid w:val="076D8D2C"/>
    <w:rsid w:val="07759CDD"/>
    <w:rsid w:val="07867566"/>
    <w:rsid w:val="079489DD"/>
    <w:rsid w:val="07996374"/>
    <w:rsid w:val="07A994AF"/>
    <w:rsid w:val="07C32EE7"/>
    <w:rsid w:val="07D98144"/>
    <w:rsid w:val="07E7A1A8"/>
    <w:rsid w:val="07EEAAC7"/>
    <w:rsid w:val="081C668B"/>
    <w:rsid w:val="083851ED"/>
    <w:rsid w:val="084407D7"/>
    <w:rsid w:val="08605E51"/>
    <w:rsid w:val="08683907"/>
    <w:rsid w:val="086B07AD"/>
    <w:rsid w:val="08806874"/>
    <w:rsid w:val="0882BBE1"/>
    <w:rsid w:val="08C92FFF"/>
    <w:rsid w:val="09133240"/>
    <w:rsid w:val="092075EA"/>
    <w:rsid w:val="092182A2"/>
    <w:rsid w:val="0923F649"/>
    <w:rsid w:val="092C0F04"/>
    <w:rsid w:val="09339A9D"/>
    <w:rsid w:val="09778FB1"/>
    <w:rsid w:val="0980823D"/>
    <w:rsid w:val="09981A97"/>
    <w:rsid w:val="09B5F410"/>
    <w:rsid w:val="09B6B03F"/>
    <w:rsid w:val="09EB3847"/>
    <w:rsid w:val="0A030C43"/>
    <w:rsid w:val="0A2513AB"/>
    <w:rsid w:val="0A40CA06"/>
    <w:rsid w:val="0A43830E"/>
    <w:rsid w:val="0A610DAE"/>
    <w:rsid w:val="0A700973"/>
    <w:rsid w:val="0A726BA3"/>
    <w:rsid w:val="0A7A2F5B"/>
    <w:rsid w:val="0A84B84B"/>
    <w:rsid w:val="0AAE9FED"/>
    <w:rsid w:val="0AF29571"/>
    <w:rsid w:val="0AFCDC91"/>
    <w:rsid w:val="0B033816"/>
    <w:rsid w:val="0B17B0E3"/>
    <w:rsid w:val="0B85E765"/>
    <w:rsid w:val="0B86CB6B"/>
    <w:rsid w:val="0B90C5F2"/>
    <w:rsid w:val="0BAD207F"/>
    <w:rsid w:val="0BAF378C"/>
    <w:rsid w:val="0BC6410C"/>
    <w:rsid w:val="0BD4528C"/>
    <w:rsid w:val="0BDF0DB5"/>
    <w:rsid w:val="0BE3A023"/>
    <w:rsid w:val="0BEE5802"/>
    <w:rsid w:val="0C18FB96"/>
    <w:rsid w:val="0C348531"/>
    <w:rsid w:val="0C47398F"/>
    <w:rsid w:val="0C6C1E55"/>
    <w:rsid w:val="0C7E20F8"/>
    <w:rsid w:val="0CA92697"/>
    <w:rsid w:val="0CAB0436"/>
    <w:rsid w:val="0CC42CC5"/>
    <w:rsid w:val="0CD66948"/>
    <w:rsid w:val="0CE515DD"/>
    <w:rsid w:val="0CF5CBF7"/>
    <w:rsid w:val="0D26B09D"/>
    <w:rsid w:val="0D2E5C53"/>
    <w:rsid w:val="0D525BCA"/>
    <w:rsid w:val="0D7054CD"/>
    <w:rsid w:val="0D79AF78"/>
    <w:rsid w:val="0D9DAC39"/>
    <w:rsid w:val="0D9E7275"/>
    <w:rsid w:val="0DA4DA62"/>
    <w:rsid w:val="0DAA8640"/>
    <w:rsid w:val="0DC1793D"/>
    <w:rsid w:val="0DD66804"/>
    <w:rsid w:val="0DF6EED8"/>
    <w:rsid w:val="0DFB8CF1"/>
    <w:rsid w:val="0E1DFCE9"/>
    <w:rsid w:val="0E2882B7"/>
    <w:rsid w:val="0E2BB10C"/>
    <w:rsid w:val="0E2EEA6F"/>
    <w:rsid w:val="0E45665D"/>
    <w:rsid w:val="0E4DF435"/>
    <w:rsid w:val="0E5EF03B"/>
    <w:rsid w:val="0E659037"/>
    <w:rsid w:val="0E7EBEB4"/>
    <w:rsid w:val="0E7F1311"/>
    <w:rsid w:val="0E7FFC8C"/>
    <w:rsid w:val="0E9EAD38"/>
    <w:rsid w:val="0EA93245"/>
    <w:rsid w:val="0EAC1873"/>
    <w:rsid w:val="0EACA1DB"/>
    <w:rsid w:val="0EB1834A"/>
    <w:rsid w:val="0ED131AE"/>
    <w:rsid w:val="0EDAEB15"/>
    <w:rsid w:val="0EE38514"/>
    <w:rsid w:val="0EE58AD5"/>
    <w:rsid w:val="0EF2AC41"/>
    <w:rsid w:val="0EF3A09F"/>
    <w:rsid w:val="0EF71286"/>
    <w:rsid w:val="0EF9F03C"/>
    <w:rsid w:val="0F03DF1B"/>
    <w:rsid w:val="0F3AD3C1"/>
    <w:rsid w:val="0F692317"/>
    <w:rsid w:val="0F6A0A75"/>
    <w:rsid w:val="0F6D03CE"/>
    <w:rsid w:val="0F70DC66"/>
    <w:rsid w:val="0F78FAC7"/>
    <w:rsid w:val="0F79E8AB"/>
    <w:rsid w:val="0F95A7D3"/>
    <w:rsid w:val="0F9B744A"/>
    <w:rsid w:val="0FA703E0"/>
    <w:rsid w:val="0FE5460E"/>
    <w:rsid w:val="0FE58150"/>
    <w:rsid w:val="0FF068C8"/>
    <w:rsid w:val="0FF80D8B"/>
    <w:rsid w:val="100E3C2B"/>
    <w:rsid w:val="10281D3F"/>
    <w:rsid w:val="10655935"/>
    <w:rsid w:val="1067759C"/>
    <w:rsid w:val="10690B63"/>
    <w:rsid w:val="106D8A2A"/>
    <w:rsid w:val="1093DC5B"/>
    <w:rsid w:val="10B622E5"/>
    <w:rsid w:val="10B736F7"/>
    <w:rsid w:val="10B9EBC0"/>
    <w:rsid w:val="10C81912"/>
    <w:rsid w:val="10DE86BE"/>
    <w:rsid w:val="10EDA4CF"/>
    <w:rsid w:val="10F5FE9F"/>
    <w:rsid w:val="10F74061"/>
    <w:rsid w:val="10F91E61"/>
    <w:rsid w:val="11010C25"/>
    <w:rsid w:val="112621D3"/>
    <w:rsid w:val="114A0A9A"/>
    <w:rsid w:val="11626479"/>
    <w:rsid w:val="117AC3C5"/>
    <w:rsid w:val="11808443"/>
    <w:rsid w:val="11815AEE"/>
    <w:rsid w:val="11A7828C"/>
    <w:rsid w:val="11B429B8"/>
    <w:rsid w:val="11B96148"/>
    <w:rsid w:val="11BB87FE"/>
    <w:rsid w:val="11FFA7EB"/>
    <w:rsid w:val="12183694"/>
    <w:rsid w:val="121BADFD"/>
    <w:rsid w:val="12429A73"/>
    <w:rsid w:val="12475522"/>
    <w:rsid w:val="125C8BD0"/>
    <w:rsid w:val="12602409"/>
    <w:rsid w:val="12976AAE"/>
    <w:rsid w:val="12AB38CF"/>
    <w:rsid w:val="12C22C8A"/>
    <w:rsid w:val="12C9E9EE"/>
    <w:rsid w:val="12D9E969"/>
    <w:rsid w:val="12E5C893"/>
    <w:rsid w:val="12FA2891"/>
    <w:rsid w:val="130AC7F9"/>
    <w:rsid w:val="132045E7"/>
    <w:rsid w:val="1324BE0A"/>
    <w:rsid w:val="1332E7B1"/>
    <w:rsid w:val="135C5145"/>
    <w:rsid w:val="136AD756"/>
    <w:rsid w:val="1371CB2A"/>
    <w:rsid w:val="13A48A10"/>
    <w:rsid w:val="13A762EF"/>
    <w:rsid w:val="13BB94EB"/>
    <w:rsid w:val="13C6A731"/>
    <w:rsid w:val="13C769E4"/>
    <w:rsid w:val="13D6C092"/>
    <w:rsid w:val="13E9FD70"/>
    <w:rsid w:val="13EA5892"/>
    <w:rsid w:val="13FA32C2"/>
    <w:rsid w:val="14213133"/>
    <w:rsid w:val="1425C1B6"/>
    <w:rsid w:val="1427ED71"/>
    <w:rsid w:val="1439C4E0"/>
    <w:rsid w:val="143A512A"/>
    <w:rsid w:val="143BE385"/>
    <w:rsid w:val="144362B9"/>
    <w:rsid w:val="144D6AF2"/>
    <w:rsid w:val="1469EF43"/>
    <w:rsid w:val="147E1304"/>
    <w:rsid w:val="14854A0C"/>
    <w:rsid w:val="14A00713"/>
    <w:rsid w:val="14BBDB85"/>
    <w:rsid w:val="14CF6EAB"/>
    <w:rsid w:val="14D64C8F"/>
    <w:rsid w:val="14E49DA4"/>
    <w:rsid w:val="14E5A354"/>
    <w:rsid w:val="14F6B5DB"/>
    <w:rsid w:val="150E2BEB"/>
    <w:rsid w:val="15156A8A"/>
    <w:rsid w:val="1531B3B6"/>
    <w:rsid w:val="1537FC06"/>
    <w:rsid w:val="153DD751"/>
    <w:rsid w:val="15464498"/>
    <w:rsid w:val="1553E522"/>
    <w:rsid w:val="15866DC2"/>
    <w:rsid w:val="1592D4F8"/>
    <w:rsid w:val="15A09026"/>
    <w:rsid w:val="15B3FA0B"/>
    <w:rsid w:val="15C18B71"/>
    <w:rsid w:val="15EEA0D3"/>
    <w:rsid w:val="160EA409"/>
    <w:rsid w:val="1617873B"/>
    <w:rsid w:val="165AEB71"/>
    <w:rsid w:val="166625D7"/>
    <w:rsid w:val="166D2E13"/>
    <w:rsid w:val="167B8A08"/>
    <w:rsid w:val="168495A3"/>
    <w:rsid w:val="16B735FF"/>
    <w:rsid w:val="16CB0F6A"/>
    <w:rsid w:val="16CCDFA6"/>
    <w:rsid w:val="16D7708D"/>
    <w:rsid w:val="16DB63F8"/>
    <w:rsid w:val="16E4ABE9"/>
    <w:rsid w:val="16E84241"/>
    <w:rsid w:val="1702F8ED"/>
    <w:rsid w:val="172715AC"/>
    <w:rsid w:val="1743AF78"/>
    <w:rsid w:val="175B848C"/>
    <w:rsid w:val="1776D5EE"/>
    <w:rsid w:val="178C8F50"/>
    <w:rsid w:val="17B45110"/>
    <w:rsid w:val="17B7DAD1"/>
    <w:rsid w:val="17BFAF54"/>
    <w:rsid w:val="17C67825"/>
    <w:rsid w:val="17D74453"/>
    <w:rsid w:val="17DF3918"/>
    <w:rsid w:val="17EEE20B"/>
    <w:rsid w:val="17FE7ED9"/>
    <w:rsid w:val="1835B813"/>
    <w:rsid w:val="1836157C"/>
    <w:rsid w:val="184ACFC3"/>
    <w:rsid w:val="1867B164"/>
    <w:rsid w:val="1868AF14"/>
    <w:rsid w:val="18771393"/>
    <w:rsid w:val="187D792A"/>
    <w:rsid w:val="187DA56C"/>
    <w:rsid w:val="18A303A4"/>
    <w:rsid w:val="18B19BF9"/>
    <w:rsid w:val="18B3C238"/>
    <w:rsid w:val="18CB7234"/>
    <w:rsid w:val="18F0798E"/>
    <w:rsid w:val="18F175EC"/>
    <w:rsid w:val="18F884DC"/>
    <w:rsid w:val="190C5A93"/>
    <w:rsid w:val="19208869"/>
    <w:rsid w:val="192280ED"/>
    <w:rsid w:val="1927663A"/>
    <w:rsid w:val="1935DD85"/>
    <w:rsid w:val="194F8D03"/>
    <w:rsid w:val="1980D126"/>
    <w:rsid w:val="1981098A"/>
    <w:rsid w:val="199701CB"/>
    <w:rsid w:val="19CBC32C"/>
    <w:rsid w:val="19CED2F0"/>
    <w:rsid w:val="19D70706"/>
    <w:rsid w:val="19DB428A"/>
    <w:rsid w:val="19E775D1"/>
    <w:rsid w:val="19F0CB96"/>
    <w:rsid w:val="19F7DC06"/>
    <w:rsid w:val="1A00EED7"/>
    <w:rsid w:val="1A091664"/>
    <w:rsid w:val="1A1A397C"/>
    <w:rsid w:val="1A334A18"/>
    <w:rsid w:val="1A500C93"/>
    <w:rsid w:val="1A59BAF5"/>
    <w:rsid w:val="1A5F486A"/>
    <w:rsid w:val="1A6FA157"/>
    <w:rsid w:val="1A78A75F"/>
    <w:rsid w:val="1ABA872F"/>
    <w:rsid w:val="1ABBA32D"/>
    <w:rsid w:val="1ABDFED6"/>
    <w:rsid w:val="1AE06959"/>
    <w:rsid w:val="1AF50D00"/>
    <w:rsid w:val="1AF74FD7"/>
    <w:rsid w:val="1B01C962"/>
    <w:rsid w:val="1B1D2E6D"/>
    <w:rsid w:val="1B47131E"/>
    <w:rsid w:val="1B594A07"/>
    <w:rsid w:val="1B5C18DD"/>
    <w:rsid w:val="1B622734"/>
    <w:rsid w:val="1B719073"/>
    <w:rsid w:val="1B843583"/>
    <w:rsid w:val="1B8A9139"/>
    <w:rsid w:val="1B90B55B"/>
    <w:rsid w:val="1BA78B2D"/>
    <w:rsid w:val="1BADAAD7"/>
    <w:rsid w:val="1BC8A338"/>
    <w:rsid w:val="1BCC073B"/>
    <w:rsid w:val="1BD902DC"/>
    <w:rsid w:val="1BD9DD12"/>
    <w:rsid w:val="1BFC10C4"/>
    <w:rsid w:val="1BFF88D6"/>
    <w:rsid w:val="1C0066C1"/>
    <w:rsid w:val="1C02F1EA"/>
    <w:rsid w:val="1C0906DF"/>
    <w:rsid w:val="1C29DBEF"/>
    <w:rsid w:val="1C6D2773"/>
    <w:rsid w:val="1C6D68E4"/>
    <w:rsid w:val="1C7C6EA3"/>
    <w:rsid w:val="1C97A149"/>
    <w:rsid w:val="1C9C582C"/>
    <w:rsid w:val="1CB10C1F"/>
    <w:rsid w:val="1CBCFF44"/>
    <w:rsid w:val="1CD0DD4F"/>
    <w:rsid w:val="1CDE1BF5"/>
    <w:rsid w:val="1D3B47C2"/>
    <w:rsid w:val="1D417DE0"/>
    <w:rsid w:val="1D474458"/>
    <w:rsid w:val="1D4B8D47"/>
    <w:rsid w:val="1D4FA551"/>
    <w:rsid w:val="1D664043"/>
    <w:rsid w:val="1D689090"/>
    <w:rsid w:val="1D741AF6"/>
    <w:rsid w:val="1D8651ED"/>
    <w:rsid w:val="1DBE7BDE"/>
    <w:rsid w:val="1DC503BE"/>
    <w:rsid w:val="1DEF6518"/>
    <w:rsid w:val="1DEFDFC2"/>
    <w:rsid w:val="1DF26CEC"/>
    <w:rsid w:val="1DFE8B9F"/>
    <w:rsid w:val="1E19E754"/>
    <w:rsid w:val="1E1D7DAF"/>
    <w:rsid w:val="1E322CD3"/>
    <w:rsid w:val="1E376EA7"/>
    <w:rsid w:val="1E4ECC12"/>
    <w:rsid w:val="1E57A514"/>
    <w:rsid w:val="1E8C3EBA"/>
    <w:rsid w:val="1ECFBFB0"/>
    <w:rsid w:val="1EE775F5"/>
    <w:rsid w:val="1F0AD60B"/>
    <w:rsid w:val="1F14428E"/>
    <w:rsid w:val="1F149086"/>
    <w:rsid w:val="1F1897F3"/>
    <w:rsid w:val="1F27B790"/>
    <w:rsid w:val="1F36E5D9"/>
    <w:rsid w:val="1F375127"/>
    <w:rsid w:val="1F7A0E04"/>
    <w:rsid w:val="1F829929"/>
    <w:rsid w:val="1F904D0A"/>
    <w:rsid w:val="1FA61845"/>
    <w:rsid w:val="1FC1A9BD"/>
    <w:rsid w:val="1FCDE08A"/>
    <w:rsid w:val="1FCE7661"/>
    <w:rsid w:val="1FD858B4"/>
    <w:rsid w:val="1FF87F73"/>
    <w:rsid w:val="1FFE211F"/>
    <w:rsid w:val="201DD536"/>
    <w:rsid w:val="202142FC"/>
    <w:rsid w:val="202947B3"/>
    <w:rsid w:val="2065B40B"/>
    <w:rsid w:val="207D33AE"/>
    <w:rsid w:val="208332C3"/>
    <w:rsid w:val="2095FA61"/>
    <w:rsid w:val="209A005E"/>
    <w:rsid w:val="20B6AF41"/>
    <w:rsid w:val="20CFFCAE"/>
    <w:rsid w:val="20F09D29"/>
    <w:rsid w:val="20F7EC2B"/>
    <w:rsid w:val="210338EC"/>
    <w:rsid w:val="21033D5C"/>
    <w:rsid w:val="211EFB50"/>
    <w:rsid w:val="213524EA"/>
    <w:rsid w:val="21542D6A"/>
    <w:rsid w:val="2162A5E2"/>
    <w:rsid w:val="217EC542"/>
    <w:rsid w:val="218683C6"/>
    <w:rsid w:val="2186D0BB"/>
    <w:rsid w:val="218A9A78"/>
    <w:rsid w:val="21930D26"/>
    <w:rsid w:val="219AA905"/>
    <w:rsid w:val="21C5FE0D"/>
    <w:rsid w:val="21DB2C0D"/>
    <w:rsid w:val="21DCEE7C"/>
    <w:rsid w:val="21F5F900"/>
    <w:rsid w:val="21FFA91F"/>
    <w:rsid w:val="22074B65"/>
    <w:rsid w:val="2218C221"/>
    <w:rsid w:val="221A001B"/>
    <w:rsid w:val="2220D388"/>
    <w:rsid w:val="2225B51C"/>
    <w:rsid w:val="2237FF82"/>
    <w:rsid w:val="223EBB05"/>
    <w:rsid w:val="2242AC52"/>
    <w:rsid w:val="224C94EA"/>
    <w:rsid w:val="2255A866"/>
    <w:rsid w:val="2263DEB5"/>
    <w:rsid w:val="226F59DF"/>
    <w:rsid w:val="2278F152"/>
    <w:rsid w:val="227D2AE1"/>
    <w:rsid w:val="227ED886"/>
    <w:rsid w:val="228D00FE"/>
    <w:rsid w:val="229F8691"/>
    <w:rsid w:val="22A0EA4F"/>
    <w:rsid w:val="22B370B6"/>
    <w:rsid w:val="22C2D56D"/>
    <w:rsid w:val="22E05F37"/>
    <w:rsid w:val="22E20178"/>
    <w:rsid w:val="22E9D413"/>
    <w:rsid w:val="22EB9D48"/>
    <w:rsid w:val="230B446A"/>
    <w:rsid w:val="23105D8D"/>
    <w:rsid w:val="2319CC9D"/>
    <w:rsid w:val="234AE929"/>
    <w:rsid w:val="234CE9C9"/>
    <w:rsid w:val="23519DF0"/>
    <w:rsid w:val="2376039E"/>
    <w:rsid w:val="2380C0E8"/>
    <w:rsid w:val="238733DF"/>
    <w:rsid w:val="239689D3"/>
    <w:rsid w:val="23B7F6E8"/>
    <w:rsid w:val="23B8E6C5"/>
    <w:rsid w:val="23B8E7B7"/>
    <w:rsid w:val="23D5A941"/>
    <w:rsid w:val="23F57431"/>
    <w:rsid w:val="240329BF"/>
    <w:rsid w:val="243132E5"/>
    <w:rsid w:val="2438E598"/>
    <w:rsid w:val="244157C5"/>
    <w:rsid w:val="2451BC8E"/>
    <w:rsid w:val="24581170"/>
    <w:rsid w:val="2458FBE9"/>
    <w:rsid w:val="2463A7AD"/>
    <w:rsid w:val="246F8B80"/>
    <w:rsid w:val="2473AA22"/>
    <w:rsid w:val="248DF1A6"/>
    <w:rsid w:val="248EC566"/>
    <w:rsid w:val="249C19D4"/>
    <w:rsid w:val="24A4AA25"/>
    <w:rsid w:val="24A7D848"/>
    <w:rsid w:val="24C5417E"/>
    <w:rsid w:val="24C991D9"/>
    <w:rsid w:val="24D387D6"/>
    <w:rsid w:val="24FEEBF4"/>
    <w:rsid w:val="25084368"/>
    <w:rsid w:val="2508BD36"/>
    <w:rsid w:val="254B315C"/>
    <w:rsid w:val="254D1237"/>
    <w:rsid w:val="25565B9D"/>
    <w:rsid w:val="2571C7CE"/>
    <w:rsid w:val="25854A6A"/>
    <w:rsid w:val="258E7F92"/>
    <w:rsid w:val="2593B81B"/>
    <w:rsid w:val="259AB7A6"/>
    <w:rsid w:val="25B1C6ED"/>
    <w:rsid w:val="25EA8309"/>
    <w:rsid w:val="26007B47"/>
    <w:rsid w:val="262435A3"/>
    <w:rsid w:val="262778D3"/>
    <w:rsid w:val="263F09A0"/>
    <w:rsid w:val="264A8C8B"/>
    <w:rsid w:val="264FA697"/>
    <w:rsid w:val="265833AF"/>
    <w:rsid w:val="266D07C9"/>
    <w:rsid w:val="267F7462"/>
    <w:rsid w:val="269F7A5F"/>
    <w:rsid w:val="26B66889"/>
    <w:rsid w:val="26BAC967"/>
    <w:rsid w:val="26BE8CD9"/>
    <w:rsid w:val="26C34FF1"/>
    <w:rsid w:val="26CBEDB7"/>
    <w:rsid w:val="26D2775B"/>
    <w:rsid w:val="26D7DAEC"/>
    <w:rsid w:val="26E9E3D4"/>
    <w:rsid w:val="2701FF5A"/>
    <w:rsid w:val="270C4D3F"/>
    <w:rsid w:val="27122E4D"/>
    <w:rsid w:val="27176AE6"/>
    <w:rsid w:val="271CD35D"/>
    <w:rsid w:val="271E2860"/>
    <w:rsid w:val="272745EE"/>
    <w:rsid w:val="272D9E54"/>
    <w:rsid w:val="275E41DE"/>
    <w:rsid w:val="27671E43"/>
    <w:rsid w:val="2769D675"/>
    <w:rsid w:val="277F789E"/>
    <w:rsid w:val="278AF95D"/>
    <w:rsid w:val="27996C48"/>
    <w:rsid w:val="27A28DEB"/>
    <w:rsid w:val="27A91057"/>
    <w:rsid w:val="27B63ACA"/>
    <w:rsid w:val="27C12A97"/>
    <w:rsid w:val="27DB307E"/>
    <w:rsid w:val="2803D344"/>
    <w:rsid w:val="282D69C9"/>
    <w:rsid w:val="28468530"/>
    <w:rsid w:val="28482D6B"/>
    <w:rsid w:val="285B5D5A"/>
    <w:rsid w:val="286F6309"/>
    <w:rsid w:val="28A09117"/>
    <w:rsid w:val="28A7155D"/>
    <w:rsid w:val="28B262CF"/>
    <w:rsid w:val="28C4539B"/>
    <w:rsid w:val="2916129B"/>
    <w:rsid w:val="2917DFFA"/>
    <w:rsid w:val="292EA598"/>
    <w:rsid w:val="2939E8AE"/>
    <w:rsid w:val="293A3E28"/>
    <w:rsid w:val="293B9A20"/>
    <w:rsid w:val="294C1D4C"/>
    <w:rsid w:val="29521B80"/>
    <w:rsid w:val="295DA1E6"/>
    <w:rsid w:val="296DA900"/>
    <w:rsid w:val="296F314F"/>
    <w:rsid w:val="29775CA8"/>
    <w:rsid w:val="297AAF8C"/>
    <w:rsid w:val="2982A95C"/>
    <w:rsid w:val="29A5F2B2"/>
    <w:rsid w:val="29C08961"/>
    <w:rsid w:val="29D14B1A"/>
    <w:rsid w:val="29E514AF"/>
    <w:rsid w:val="29F2FE0C"/>
    <w:rsid w:val="29FE97C4"/>
    <w:rsid w:val="2A12F930"/>
    <w:rsid w:val="2A2CB9E2"/>
    <w:rsid w:val="2A2DD6D4"/>
    <w:rsid w:val="2A2DDB1E"/>
    <w:rsid w:val="2A470AEA"/>
    <w:rsid w:val="2A4A4973"/>
    <w:rsid w:val="2A670CA7"/>
    <w:rsid w:val="2A6F9DF9"/>
    <w:rsid w:val="2A75416C"/>
    <w:rsid w:val="2A77A897"/>
    <w:rsid w:val="2A8054F5"/>
    <w:rsid w:val="2A9AF24F"/>
    <w:rsid w:val="2A9BC691"/>
    <w:rsid w:val="2AA12E40"/>
    <w:rsid w:val="2AAE9648"/>
    <w:rsid w:val="2AB4E71F"/>
    <w:rsid w:val="2AC00DE5"/>
    <w:rsid w:val="2B285107"/>
    <w:rsid w:val="2B3CA859"/>
    <w:rsid w:val="2B3D8171"/>
    <w:rsid w:val="2B47601C"/>
    <w:rsid w:val="2B51358D"/>
    <w:rsid w:val="2B5C70E3"/>
    <w:rsid w:val="2B6165FC"/>
    <w:rsid w:val="2B632E42"/>
    <w:rsid w:val="2B66D63F"/>
    <w:rsid w:val="2B89C838"/>
    <w:rsid w:val="2B8A2422"/>
    <w:rsid w:val="2B8AE3E3"/>
    <w:rsid w:val="2B95441B"/>
    <w:rsid w:val="2B958051"/>
    <w:rsid w:val="2B9B6BC2"/>
    <w:rsid w:val="2BA483DA"/>
    <w:rsid w:val="2BAB714A"/>
    <w:rsid w:val="2BC323D8"/>
    <w:rsid w:val="2BCB0E89"/>
    <w:rsid w:val="2BF05597"/>
    <w:rsid w:val="2C02F977"/>
    <w:rsid w:val="2C231A86"/>
    <w:rsid w:val="2C362372"/>
    <w:rsid w:val="2C4FA93B"/>
    <w:rsid w:val="2C58BEC7"/>
    <w:rsid w:val="2C685724"/>
    <w:rsid w:val="2C6E38F0"/>
    <w:rsid w:val="2C85171C"/>
    <w:rsid w:val="2C8589CB"/>
    <w:rsid w:val="2C8FD5E8"/>
    <w:rsid w:val="2CA1AC23"/>
    <w:rsid w:val="2CA2576C"/>
    <w:rsid w:val="2CABDB80"/>
    <w:rsid w:val="2CB4E0C0"/>
    <w:rsid w:val="2CD5B75E"/>
    <w:rsid w:val="2CDF1F00"/>
    <w:rsid w:val="2D083632"/>
    <w:rsid w:val="2D18999E"/>
    <w:rsid w:val="2D346471"/>
    <w:rsid w:val="2D4F377A"/>
    <w:rsid w:val="2D5C2390"/>
    <w:rsid w:val="2D651FE9"/>
    <w:rsid w:val="2D674077"/>
    <w:rsid w:val="2D6FC44D"/>
    <w:rsid w:val="2D7882D9"/>
    <w:rsid w:val="2DBB55EC"/>
    <w:rsid w:val="2DDC4609"/>
    <w:rsid w:val="2DF06140"/>
    <w:rsid w:val="2E174ADA"/>
    <w:rsid w:val="2E300B01"/>
    <w:rsid w:val="2E3F4C34"/>
    <w:rsid w:val="2E5F7701"/>
    <w:rsid w:val="2E6C9675"/>
    <w:rsid w:val="2E76B916"/>
    <w:rsid w:val="2E7F5223"/>
    <w:rsid w:val="2E86DEE1"/>
    <w:rsid w:val="2E91A46D"/>
    <w:rsid w:val="2E93F49C"/>
    <w:rsid w:val="2E94EA88"/>
    <w:rsid w:val="2EA70795"/>
    <w:rsid w:val="2EB8910C"/>
    <w:rsid w:val="2EC29CD5"/>
    <w:rsid w:val="2ECACD63"/>
    <w:rsid w:val="2ED34E1B"/>
    <w:rsid w:val="2EDD272D"/>
    <w:rsid w:val="2EDEEE1C"/>
    <w:rsid w:val="2EF6D873"/>
    <w:rsid w:val="2EFB956B"/>
    <w:rsid w:val="2F0CA32B"/>
    <w:rsid w:val="2F0F246D"/>
    <w:rsid w:val="2F1055DC"/>
    <w:rsid w:val="2F4B83A8"/>
    <w:rsid w:val="2F55001F"/>
    <w:rsid w:val="2F58A3FC"/>
    <w:rsid w:val="2F60299E"/>
    <w:rsid w:val="2F7B59AF"/>
    <w:rsid w:val="2F81CCB8"/>
    <w:rsid w:val="2F89DE46"/>
    <w:rsid w:val="2FF380CB"/>
    <w:rsid w:val="30090F2B"/>
    <w:rsid w:val="300FF5A8"/>
    <w:rsid w:val="301782A9"/>
    <w:rsid w:val="30207754"/>
    <w:rsid w:val="3031DC9C"/>
    <w:rsid w:val="304044FF"/>
    <w:rsid w:val="30517C99"/>
    <w:rsid w:val="30753D18"/>
    <w:rsid w:val="309075E9"/>
    <w:rsid w:val="3097D0A4"/>
    <w:rsid w:val="30A20466"/>
    <w:rsid w:val="30B76066"/>
    <w:rsid w:val="30BF36CA"/>
    <w:rsid w:val="30EFB998"/>
    <w:rsid w:val="30FC8E25"/>
    <w:rsid w:val="31119FCF"/>
    <w:rsid w:val="3130AD6E"/>
    <w:rsid w:val="31494905"/>
    <w:rsid w:val="314A1826"/>
    <w:rsid w:val="316AC493"/>
    <w:rsid w:val="31706488"/>
    <w:rsid w:val="3189BCE9"/>
    <w:rsid w:val="318ECEA4"/>
    <w:rsid w:val="31A1A898"/>
    <w:rsid w:val="31A1C4EC"/>
    <w:rsid w:val="31F77D6C"/>
    <w:rsid w:val="320C5DF9"/>
    <w:rsid w:val="321EAFA9"/>
    <w:rsid w:val="32267A41"/>
    <w:rsid w:val="3239E0C3"/>
    <w:rsid w:val="323FD7DE"/>
    <w:rsid w:val="326588A0"/>
    <w:rsid w:val="327B952D"/>
    <w:rsid w:val="33011331"/>
    <w:rsid w:val="331374BD"/>
    <w:rsid w:val="3317E234"/>
    <w:rsid w:val="33269E82"/>
    <w:rsid w:val="333573C1"/>
    <w:rsid w:val="3337DEDE"/>
    <w:rsid w:val="33382ACF"/>
    <w:rsid w:val="335DF105"/>
    <w:rsid w:val="336EB512"/>
    <w:rsid w:val="33BB7992"/>
    <w:rsid w:val="33C49B1D"/>
    <w:rsid w:val="3424773E"/>
    <w:rsid w:val="3431D099"/>
    <w:rsid w:val="34388BEE"/>
    <w:rsid w:val="343DD806"/>
    <w:rsid w:val="345401AB"/>
    <w:rsid w:val="34626027"/>
    <w:rsid w:val="347BF981"/>
    <w:rsid w:val="348620F3"/>
    <w:rsid w:val="3487F16C"/>
    <w:rsid w:val="349F8055"/>
    <w:rsid w:val="34BE504D"/>
    <w:rsid w:val="34C84037"/>
    <w:rsid w:val="34CDF631"/>
    <w:rsid w:val="34DABDF3"/>
    <w:rsid w:val="34E399C2"/>
    <w:rsid w:val="34EE8579"/>
    <w:rsid w:val="3515F232"/>
    <w:rsid w:val="35228F42"/>
    <w:rsid w:val="352D360A"/>
    <w:rsid w:val="353CC0FD"/>
    <w:rsid w:val="35417E7B"/>
    <w:rsid w:val="3546AB17"/>
    <w:rsid w:val="3549C190"/>
    <w:rsid w:val="354AE4F2"/>
    <w:rsid w:val="354C3531"/>
    <w:rsid w:val="357DB43B"/>
    <w:rsid w:val="359DC66D"/>
    <w:rsid w:val="35A2718C"/>
    <w:rsid w:val="35ADC4A0"/>
    <w:rsid w:val="35CF6692"/>
    <w:rsid w:val="35CFBBD5"/>
    <w:rsid w:val="35D043B6"/>
    <w:rsid w:val="35EC7CD1"/>
    <w:rsid w:val="35F77D50"/>
    <w:rsid w:val="35F9A547"/>
    <w:rsid w:val="360350A9"/>
    <w:rsid w:val="361D9885"/>
    <w:rsid w:val="361E5DCE"/>
    <w:rsid w:val="361F58C4"/>
    <w:rsid w:val="3645379A"/>
    <w:rsid w:val="365B91DC"/>
    <w:rsid w:val="3660FEDD"/>
    <w:rsid w:val="366892B5"/>
    <w:rsid w:val="3669138A"/>
    <w:rsid w:val="367EEDB3"/>
    <w:rsid w:val="36907C98"/>
    <w:rsid w:val="36A8ED81"/>
    <w:rsid w:val="36AB6E62"/>
    <w:rsid w:val="36C3E3AE"/>
    <w:rsid w:val="36DF400E"/>
    <w:rsid w:val="36E6F81B"/>
    <w:rsid w:val="36FE8E21"/>
    <w:rsid w:val="36FEE078"/>
    <w:rsid w:val="371907D4"/>
    <w:rsid w:val="3735166E"/>
    <w:rsid w:val="37465D1A"/>
    <w:rsid w:val="37637B9B"/>
    <w:rsid w:val="376A1F13"/>
    <w:rsid w:val="37775BE1"/>
    <w:rsid w:val="377B4112"/>
    <w:rsid w:val="37861221"/>
    <w:rsid w:val="378E915A"/>
    <w:rsid w:val="3797EA8B"/>
    <w:rsid w:val="379E218E"/>
    <w:rsid w:val="37A513B8"/>
    <w:rsid w:val="37AB748E"/>
    <w:rsid w:val="37BDF954"/>
    <w:rsid w:val="37C6DED7"/>
    <w:rsid w:val="37CC6637"/>
    <w:rsid w:val="37D47A84"/>
    <w:rsid w:val="37ECC209"/>
    <w:rsid w:val="37F744A2"/>
    <w:rsid w:val="37F77F10"/>
    <w:rsid w:val="38006EE0"/>
    <w:rsid w:val="38149A1D"/>
    <w:rsid w:val="38263E7D"/>
    <w:rsid w:val="38451C0F"/>
    <w:rsid w:val="384F315E"/>
    <w:rsid w:val="3855BBC6"/>
    <w:rsid w:val="38929E35"/>
    <w:rsid w:val="38A3F955"/>
    <w:rsid w:val="38A95189"/>
    <w:rsid w:val="38DA0F87"/>
    <w:rsid w:val="38E3BBCD"/>
    <w:rsid w:val="38E44F86"/>
    <w:rsid w:val="38E87931"/>
    <w:rsid w:val="38EDB0B3"/>
    <w:rsid w:val="39196416"/>
    <w:rsid w:val="3929C352"/>
    <w:rsid w:val="393ACF51"/>
    <w:rsid w:val="3964FC19"/>
    <w:rsid w:val="39677C1C"/>
    <w:rsid w:val="39AC2BC1"/>
    <w:rsid w:val="39AE1B67"/>
    <w:rsid w:val="39B40339"/>
    <w:rsid w:val="39BEAC20"/>
    <w:rsid w:val="39D7F26A"/>
    <w:rsid w:val="39F5A39F"/>
    <w:rsid w:val="3A09D7ED"/>
    <w:rsid w:val="3A1440C5"/>
    <w:rsid w:val="3A1516FE"/>
    <w:rsid w:val="3A1CD58A"/>
    <w:rsid w:val="3A3B717E"/>
    <w:rsid w:val="3A3C2CE9"/>
    <w:rsid w:val="3A6BCD04"/>
    <w:rsid w:val="3A6E4D05"/>
    <w:rsid w:val="3A757960"/>
    <w:rsid w:val="3A7884C1"/>
    <w:rsid w:val="3A832E4B"/>
    <w:rsid w:val="3A8C0BEB"/>
    <w:rsid w:val="3A8EEEB9"/>
    <w:rsid w:val="3ACC315D"/>
    <w:rsid w:val="3AD8A298"/>
    <w:rsid w:val="3ADBB0FF"/>
    <w:rsid w:val="3ADD1405"/>
    <w:rsid w:val="3AF20C33"/>
    <w:rsid w:val="3B22B114"/>
    <w:rsid w:val="3B2B5DA4"/>
    <w:rsid w:val="3B48AAF1"/>
    <w:rsid w:val="3B4991FD"/>
    <w:rsid w:val="3B566F9C"/>
    <w:rsid w:val="3B6E487B"/>
    <w:rsid w:val="3B6EA752"/>
    <w:rsid w:val="3B751685"/>
    <w:rsid w:val="3B756BB7"/>
    <w:rsid w:val="3B7A829A"/>
    <w:rsid w:val="3BA348AE"/>
    <w:rsid w:val="3BA4F5D1"/>
    <w:rsid w:val="3BC51E79"/>
    <w:rsid w:val="3BE6A58C"/>
    <w:rsid w:val="3C01A170"/>
    <w:rsid w:val="3C0C4B34"/>
    <w:rsid w:val="3C163794"/>
    <w:rsid w:val="3C1CB6ED"/>
    <w:rsid w:val="3C27168F"/>
    <w:rsid w:val="3C309BD6"/>
    <w:rsid w:val="3C336AB5"/>
    <w:rsid w:val="3C39665D"/>
    <w:rsid w:val="3C3CC65F"/>
    <w:rsid w:val="3C47FFEB"/>
    <w:rsid w:val="3C4BA3E4"/>
    <w:rsid w:val="3C55F4E7"/>
    <w:rsid w:val="3C6D2315"/>
    <w:rsid w:val="3C7FCB5E"/>
    <w:rsid w:val="3C898FF1"/>
    <w:rsid w:val="3C905227"/>
    <w:rsid w:val="3CA20B64"/>
    <w:rsid w:val="3CABD23F"/>
    <w:rsid w:val="3CE2C67C"/>
    <w:rsid w:val="3CEC9301"/>
    <w:rsid w:val="3CED5C9D"/>
    <w:rsid w:val="3CF7DAA4"/>
    <w:rsid w:val="3D0CC933"/>
    <w:rsid w:val="3D1619E8"/>
    <w:rsid w:val="3D1FB59F"/>
    <w:rsid w:val="3D657F39"/>
    <w:rsid w:val="3D8D169B"/>
    <w:rsid w:val="3D990A25"/>
    <w:rsid w:val="3DB1802A"/>
    <w:rsid w:val="3DB8512C"/>
    <w:rsid w:val="3DEB6F31"/>
    <w:rsid w:val="3DF061E0"/>
    <w:rsid w:val="3E015ADF"/>
    <w:rsid w:val="3E1B68BE"/>
    <w:rsid w:val="3E340466"/>
    <w:rsid w:val="3E415436"/>
    <w:rsid w:val="3E4E825E"/>
    <w:rsid w:val="3E531D61"/>
    <w:rsid w:val="3E5BFE43"/>
    <w:rsid w:val="3E67D147"/>
    <w:rsid w:val="3EA7D432"/>
    <w:rsid w:val="3EC960EC"/>
    <w:rsid w:val="3EC98F43"/>
    <w:rsid w:val="3EF84771"/>
    <w:rsid w:val="3EFB3753"/>
    <w:rsid w:val="3F1BF534"/>
    <w:rsid w:val="3F450E02"/>
    <w:rsid w:val="3F46F592"/>
    <w:rsid w:val="3F5EB10D"/>
    <w:rsid w:val="3F66C4F2"/>
    <w:rsid w:val="3F6CD190"/>
    <w:rsid w:val="3F782A01"/>
    <w:rsid w:val="3F7CDD80"/>
    <w:rsid w:val="3F81804E"/>
    <w:rsid w:val="3F9051C4"/>
    <w:rsid w:val="3F92DFF3"/>
    <w:rsid w:val="3F9656F7"/>
    <w:rsid w:val="3FA6BA58"/>
    <w:rsid w:val="3FB43557"/>
    <w:rsid w:val="3FCC6BEF"/>
    <w:rsid w:val="3FE34D4F"/>
    <w:rsid w:val="40222F2B"/>
    <w:rsid w:val="4023F953"/>
    <w:rsid w:val="40329CED"/>
    <w:rsid w:val="40623AB4"/>
    <w:rsid w:val="4085BF7F"/>
    <w:rsid w:val="4098610E"/>
    <w:rsid w:val="40A2D5CE"/>
    <w:rsid w:val="40A971DF"/>
    <w:rsid w:val="40CCE2A7"/>
    <w:rsid w:val="40E20DD7"/>
    <w:rsid w:val="40FACA16"/>
    <w:rsid w:val="41049D86"/>
    <w:rsid w:val="4111A17F"/>
    <w:rsid w:val="4129BE8B"/>
    <w:rsid w:val="414C1362"/>
    <w:rsid w:val="4174C22B"/>
    <w:rsid w:val="417C8BAF"/>
    <w:rsid w:val="417EF511"/>
    <w:rsid w:val="418D3ED7"/>
    <w:rsid w:val="418E0D51"/>
    <w:rsid w:val="41BAD424"/>
    <w:rsid w:val="41D2481D"/>
    <w:rsid w:val="41E703BD"/>
    <w:rsid w:val="41FB011B"/>
    <w:rsid w:val="4208C5E2"/>
    <w:rsid w:val="42384625"/>
    <w:rsid w:val="423B6495"/>
    <w:rsid w:val="42500074"/>
    <w:rsid w:val="42838A76"/>
    <w:rsid w:val="429EB8F8"/>
    <w:rsid w:val="42A97F08"/>
    <w:rsid w:val="42BAA205"/>
    <w:rsid w:val="42DAF489"/>
    <w:rsid w:val="42DC77A1"/>
    <w:rsid w:val="42EC13DC"/>
    <w:rsid w:val="43028EDC"/>
    <w:rsid w:val="43043F56"/>
    <w:rsid w:val="430EA834"/>
    <w:rsid w:val="431DCD55"/>
    <w:rsid w:val="43200359"/>
    <w:rsid w:val="432DF886"/>
    <w:rsid w:val="433A3341"/>
    <w:rsid w:val="436754CF"/>
    <w:rsid w:val="43A5CA31"/>
    <w:rsid w:val="43E0985A"/>
    <w:rsid w:val="43EDF1CB"/>
    <w:rsid w:val="43F851EC"/>
    <w:rsid w:val="440801AC"/>
    <w:rsid w:val="440E9E0B"/>
    <w:rsid w:val="4422D0F8"/>
    <w:rsid w:val="443EB0F9"/>
    <w:rsid w:val="443EFECE"/>
    <w:rsid w:val="4446E014"/>
    <w:rsid w:val="44615FB2"/>
    <w:rsid w:val="4472614F"/>
    <w:rsid w:val="44965FE3"/>
    <w:rsid w:val="44A354A0"/>
    <w:rsid w:val="44B40928"/>
    <w:rsid w:val="44B52BCB"/>
    <w:rsid w:val="44E71425"/>
    <w:rsid w:val="44E95163"/>
    <w:rsid w:val="44EE7956"/>
    <w:rsid w:val="450244E3"/>
    <w:rsid w:val="45101A78"/>
    <w:rsid w:val="451594D6"/>
    <w:rsid w:val="45251965"/>
    <w:rsid w:val="453D3337"/>
    <w:rsid w:val="454479A9"/>
    <w:rsid w:val="4552D3EB"/>
    <w:rsid w:val="456A0C13"/>
    <w:rsid w:val="45921935"/>
    <w:rsid w:val="45B77048"/>
    <w:rsid w:val="45C9FD6C"/>
    <w:rsid w:val="45D0D3F0"/>
    <w:rsid w:val="45D8A13D"/>
    <w:rsid w:val="45E70F86"/>
    <w:rsid w:val="45F0A319"/>
    <w:rsid w:val="4614E8ED"/>
    <w:rsid w:val="462D183E"/>
    <w:rsid w:val="46322431"/>
    <w:rsid w:val="46407504"/>
    <w:rsid w:val="46581669"/>
    <w:rsid w:val="465C86D6"/>
    <w:rsid w:val="4660FA59"/>
    <w:rsid w:val="46924468"/>
    <w:rsid w:val="4697615A"/>
    <w:rsid w:val="46BAB78A"/>
    <w:rsid w:val="46BC21B8"/>
    <w:rsid w:val="46D33591"/>
    <w:rsid w:val="46EAF550"/>
    <w:rsid w:val="47044B7F"/>
    <w:rsid w:val="471EB414"/>
    <w:rsid w:val="473ABB8B"/>
    <w:rsid w:val="4750953E"/>
    <w:rsid w:val="477F5965"/>
    <w:rsid w:val="4781104A"/>
    <w:rsid w:val="478245C1"/>
    <w:rsid w:val="47A483E1"/>
    <w:rsid w:val="47B9BC47"/>
    <w:rsid w:val="47E128DF"/>
    <w:rsid w:val="47E331AE"/>
    <w:rsid w:val="47E702FD"/>
    <w:rsid w:val="47ECD885"/>
    <w:rsid w:val="47FBD19A"/>
    <w:rsid w:val="4809E572"/>
    <w:rsid w:val="4823FA7B"/>
    <w:rsid w:val="4825F9BA"/>
    <w:rsid w:val="48369B38"/>
    <w:rsid w:val="48490C20"/>
    <w:rsid w:val="484FFAEA"/>
    <w:rsid w:val="485BEB9F"/>
    <w:rsid w:val="489482F2"/>
    <w:rsid w:val="48BD92BE"/>
    <w:rsid w:val="48C5B051"/>
    <w:rsid w:val="48C7360E"/>
    <w:rsid w:val="48D7C117"/>
    <w:rsid w:val="48DEE4C4"/>
    <w:rsid w:val="48E555DB"/>
    <w:rsid w:val="48E6B90C"/>
    <w:rsid w:val="48EF077F"/>
    <w:rsid w:val="48EF9893"/>
    <w:rsid w:val="48F76D67"/>
    <w:rsid w:val="48F8A177"/>
    <w:rsid w:val="4905812D"/>
    <w:rsid w:val="49093834"/>
    <w:rsid w:val="492FCD88"/>
    <w:rsid w:val="49396DEB"/>
    <w:rsid w:val="493C0159"/>
    <w:rsid w:val="49457512"/>
    <w:rsid w:val="4958A84F"/>
    <w:rsid w:val="496E4852"/>
    <w:rsid w:val="496E88D8"/>
    <w:rsid w:val="4979024A"/>
    <w:rsid w:val="499080D4"/>
    <w:rsid w:val="4992F4AA"/>
    <w:rsid w:val="499F019C"/>
    <w:rsid w:val="49C5B4B1"/>
    <w:rsid w:val="49C6B042"/>
    <w:rsid w:val="49CE3604"/>
    <w:rsid w:val="49FF1AF1"/>
    <w:rsid w:val="4A02C3F3"/>
    <w:rsid w:val="4A173023"/>
    <w:rsid w:val="4A24570E"/>
    <w:rsid w:val="4A58008F"/>
    <w:rsid w:val="4A5FDD4D"/>
    <w:rsid w:val="4A80C6AD"/>
    <w:rsid w:val="4A8E09F8"/>
    <w:rsid w:val="4AA09B0B"/>
    <w:rsid w:val="4AAFCC13"/>
    <w:rsid w:val="4AB4A1D0"/>
    <w:rsid w:val="4ACCDCDF"/>
    <w:rsid w:val="4AE40744"/>
    <w:rsid w:val="4AF7DF71"/>
    <w:rsid w:val="4AFFF193"/>
    <w:rsid w:val="4B11A4DB"/>
    <w:rsid w:val="4B33D357"/>
    <w:rsid w:val="4B45599D"/>
    <w:rsid w:val="4B5AF9DD"/>
    <w:rsid w:val="4B70292C"/>
    <w:rsid w:val="4B9C0FAA"/>
    <w:rsid w:val="4BC9E453"/>
    <w:rsid w:val="4BD04B43"/>
    <w:rsid w:val="4BDE0D6D"/>
    <w:rsid w:val="4BE8FBD5"/>
    <w:rsid w:val="4BF0DD19"/>
    <w:rsid w:val="4BFDE497"/>
    <w:rsid w:val="4BFFE636"/>
    <w:rsid w:val="4C042421"/>
    <w:rsid w:val="4C1C82F9"/>
    <w:rsid w:val="4C2FB46B"/>
    <w:rsid w:val="4C3F61E7"/>
    <w:rsid w:val="4C4C56CA"/>
    <w:rsid w:val="4C5B3AC2"/>
    <w:rsid w:val="4C5B7491"/>
    <w:rsid w:val="4C6EB7B7"/>
    <w:rsid w:val="4C8CE7D9"/>
    <w:rsid w:val="4CBB5339"/>
    <w:rsid w:val="4CE3363C"/>
    <w:rsid w:val="4CE4A9CD"/>
    <w:rsid w:val="4CF9DD2A"/>
    <w:rsid w:val="4D053F83"/>
    <w:rsid w:val="4D0CB786"/>
    <w:rsid w:val="4D143E69"/>
    <w:rsid w:val="4D291A28"/>
    <w:rsid w:val="4D334C5F"/>
    <w:rsid w:val="4D36BC0B"/>
    <w:rsid w:val="4D3CCC83"/>
    <w:rsid w:val="4D441635"/>
    <w:rsid w:val="4D45A2BC"/>
    <w:rsid w:val="4D4A86FE"/>
    <w:rsid w:val="4D68ADF3"/>
    <w:rsid w:val="4D69FE46"/>
    <w:rsid w:val="4D888A4F"/>
    <w:rsid w:val="4D88988A"/>
    <w:rsid w:val="4D971938"/>
    <w:rsid w:val="4D9EAB71"/>
    <w:rsid w:val="4DABC660"/>
    <w:rsid w:val="4DC5F29B"/>
    <w:rsid w:val="4DCB860C"/>
    <w:rsid w:val="4DE369B1"/>
    <w:rsid w:val="4DEF39B3"/>
    <w:rsid w:val="4DF30D43"/>
    <w:rsid w:val="4DF53322"/>
    <w:rsid w:val="4E140294"/>
    <w:rsid w:val="4E1DC1D7"/>
    <w:rsid w:val="4E262816"/>
    <w:rsid w:val="4E4D3121"/>
    <w:rsid w:val="4E675947"/>
    <w:rsid w:val="4E75473E"/>
    <w:rsid w:val="4E793B17"/>
    <w:rsid w:val="4E7B4E29"/>
    <w:rsid w:val="4EC0D2B7"/>
    <w:rsid w:val="4ECBBABF"/>
    <w:rsid w:val="4ED7ABD4"/>
    <w:rsid w:val="4EF7D6CF"/>
    <w:rsid w:val="4F04D5ED"/>
    <w:rsid w:val="4F0579E7"/>
    <w:rsid w:val="4F0935A1"/>
    <w:rsid w:val="4F2FA5D4"/>
    <w:rsid w:val="4F49E458"/>
    <w:rsid w:val="4F5F3AF5"/>
    <w:rsid w:val="4F6EF5F4"/>
    <w:rsid w:val="4F8AC96C"/>
    <w:rsid w:val="4F8E3987"/>
    <w:rsid w:val="4F91E5E1"/>
    <w:rsid w:val="4FAE0055"/>
    <w:rsid w:val="4FCFC328"/>
    <w:rsid w:val="4FD5C450"/>
    <w:rsid w:val="4FEC439D"/>
    <w:rsid w:val="4FF97805"/>
    <w:rsid w:val="4FFDF6A4"/>
    <w:rsid w:val="500B052A"/>
    <w:rsid w:val="5013233B"/>
    <w:rsid w:val="5023202D"/>
    <w:rsid w:val="50603C0F"/>
    <w:rsid w:val="50690376"/>
    <w:rsid w:val="50D262B8"/>
    <w:rsid w:val="50EE967D"/>
    <w:rsid w:val="50F161EE"/>
    <w:rsid w:val="510FDF15"/>
    <w:rsid w:val="515C051C"/>
    <w:rsid w:val="51673D96"/>
    <w:rsid w:val="518DD606"/>
    <w:rsid w:val="5190BAE0"/>
    <w:rsid w:val="51BA5B31"/>
    <w:rsid w:val="51BC46A5"/>
    <w:rsid w:val="51C13CA1"/>
    <w:rsid w:val="51C7755D"/>
    <w:rsid w:val="51DA96ED"/>
    <w:rsid w:val="51E22E2A"/>
    <w:rsid w:val="51EE8EBD"/>
    <w:rsid w:val="5240BD99"/>
    <w:rsid w:val="52533B21"/>
    <w:rsid w:val="52577E1B"/>
    <w:rsid w:val="52613DFF"/>
    <w:rsid w:val="526747F3"/>
    <w:rsid w:val="527ABD98"/>
    <w:rsid w:val="528C57D9"/>
    <w:rsid w:val="52A3BE1B"/>
    <w:rsid w:val="52A4AF1D"/>
    <w:rsid w:val="52A754EC"/>
    <w:rsid w:val="52DB2EB4"/>
    <w:rsid w:val="52DDC1BF"/>
    <w:rsid w:val="52FB08A6"/>
    <w:rsid w:val="530676A3"/>
    <w:rsid w:val="5310A368"/>
    <w:rsid w:val="531CC5E1"/>
    <w:rsid w:val="5324B71F"/>
    <w:rsid w:val="5324B87F"/>
    <w:rsid w:val="53278DAB"/>
    <w:rsid w:val="533284D2"/>
    <w:rsid w:val="5349302C"/>
    <w:rsid w:val="537E8DC9"/>
    <w:rsid w:val="537F9717"/>
    <w:rsid w:val="5399266A"/>
    <w:rsid w:val="53EEA7FC"/>
    <w:rsid w:val="5400CAB7"/>
    <w:rsid w:val="542206DD"/>
    <w:rsid w:val="5428667C"/>
    <w:rsid w:val="54364108"/>
    <w:rsid w:val="54467C87"/>
    <w:rsid w:val="544C304B"/>
    <w:rsid w:val="54569C1B"/>
    <w:rsid w:val="5477632E"/>
    <w:rsid w:val="547B71FC"/>
    <w:rsid w:val="54C84458"/>
    <w:rsid w:val="54DE4563"/>
    <w:rsid w:val="54E2BFDB"/>
    <w:rsid w:val="54FF5ABD"/>
    <w:rsid w:val="550DE58F"/>
    <w:rsid w:val="550EDC97"/>
    <w:rsid w:val="5514D17C"/>
    <w:rsid w:val="551E66C2"/>
    <w:rsid w:val="5550639D"/>
    <w:rsid w:val="555C12F3"/>
    <w:rsid w:val="55696AA3"/>
    <w:rsid w:val="556C2598"/>
    <w:rsid w:val="556E0830"/>
    <w:rsid w:val="55946275"/>
    <w:rsid w:val="55C8C329"/>
    <w:rsid w:val="55EBDFF3"/>
    <w:rsid w:val="55F60BA6"/>
    <w:rsid w:val="566CD3E7"/>
    <w:rsid w:val="5678FE7D"/>
    <w:rsid w:val="568B1944"/>
    <w:rsid w:val="56D78CF5"/>
    <w:rsid w:val="56F39647"/>
    <w:rsid w:val="571DF2E0"/>
    <w:rsid w:val="571FE95E"/>
    <w:rsid w:val="57266A3F"/>
    <w:rsid w:val="572A7CF6"/>
    <w:rsid w:val="5730B634"/>
    <w:rsid w:val="5733FDE4"/>
    <w:rsid w:val="573F2A54"/>
    <w:rsid w:val="574A61FE"/>
    <w:rsid w:val="574E9E91"/>
    <w:rsid w:val="5757DF63"/>
    <w:rsid w:val="575F70C2"/>
    <w:rsid w:val="57718DB1"/>
    <w:rsid w:val="5778D3C2"/>
    <w:rsid w:val="577CE4F3"/>
    <w:rsid w:val="57942057"/>
    <w:rsid w:val="57A10695"/>
    <w:rsid w:val="57CDD844"/>
    <w:rsid w:val="57D8F946"/>
    <w:rsid w:val="57DF9B8B"/>
    <w:rsid w:val="58050994"/>
    <w:rsid w:val="583337D8"/>
    <w:rsid w:val="5867DB6F"/>
    <w:rsid w:val="58881BBC"/>
    <w:rsid w:val="588D3C47"/>
    <w:rsid w:val="58930631"/>
    <w:rsid w:val="589E61F5"/>
    <w:rsid w:val="58B3F847"/>
    <w:rsid w:val="58BA3499"/>
    <w:rsid w:val="58D077F1"/>
    <w:rsid w:val="58D0ED0D"/>
    <w:rsid w:val="58DA824F"/>
    <w:rsid w:val="590A5268"/>
    <w:rsid w:val="593047D2"/>
    <w:rsid w:val="59896BAF"/>
    <w:rsid w:val="59A569C9"/>
    <w:rsid w:val="59B9B0F2"/>
    <w:rsid w:val="59BE28F6"/>
    <w:rsid w:val="59C16389"/>
    <w:rsid w:val="59C769CD"/>
    <w:rsid w:val="59C94B48"/>
    <w:rsid w:val="59CD8D48"/>
    <w:rsid w:val="59EAE6AD"/>
    <w:rsid w:val="5A077755"/>
    <w:rsid w:val="5A174C0E"/>
    <w:rsid w:val="5A2BA7BB"/>
    <w:rsid w:val="5A35719E"/>
    <w:rsid w:val="5A3BBC8C"/>
    <w:rsid w:val="5A3EA35C"/>
    <w:rsid w:val="5A885170"/>
    <w:rsid w:val="5A8BB16C"/>
    <w:rsid w:val="5A97A4B4"/>
    <w:rsid w:val="5A99EAF6"/>
    <w:rsid w:val="5A9A6CC2"/>
    <w:rsid w:val="5AABBC39"/>
    <w:rsid w:val="5AD81C30"/>
    <w:rsid w:val="5AF09BC3"/>
    <w:rsid w:val="5AF190BB"/>
    <w:rsid w:val="5B0ABF4C"/>
    <w:rsid w:val="5B0B5281"/>
    <w:rsid w:val="5B0EE748"/>
    <w:rsid w:val="5B29C32F"/>
    <w:rsid w:val="5B4C149E"/>
    <w:rsid w:val="5B594716"/>
    <w:rsid w:val="5B84C834"/>
    <w:rsid w:val="5B9EED69"/>
    <w:rsid w:val="5BFC6F19"/>
    <w:rsid w:val="5C2AE272"/>
    <w:rsid w:val="5C31BC94"/>
    <w:rsid w:val="5C35E5CB"/>
    <w:rsid w:val="5C3C5453"/>
    <w:rsid w:val="5C62C21A"/>
    <w:rsid w:val="5C65C0D4"/>
    <w:rsid w:val="5C727032"/>
    <w:rsid w:val="5C7FD864"/>
    <w:rsid w:val="5C841B0F"/>
    <w:rsid w:val="5CA1A768"/>
    <w:rsid w:val="5CF65D57"/>
    <w:rsid w:val="5D12F7E3"/>
    <w:rsid w:val="5D159B06"/>
    <w:rsid w:val="5D1E405D"/>
    <w:rsid w:val="5D58D223"/>
    <w:rsid w:val="5D5A1BA0"/>
    <w:rsid w:val="5D72749C"/>
    <w:rsid w:val="5D7E5BC3"/>
    <w:rsid w:val="5D9268DB"/>
    <w:rsid w:val="5DA73D8C"/>
    <w:rsid w:val="5DABA3FE"/>
    <w:rsid w:val="5DC3F9BA"/>
    <w:rsid w:val="5DCDD4C1"/>
    <w:rsid w:val="5DD06863"/>
    <w:rsid w:val="5DD8B71C"/>
    <w:rsid w:val="5DE1177F"/>
    <w:rsid w:val="5DE33A02"/>
    <w:rsid w:val="5DE53F73"/>
    <w:rsid w:val="5E005BA0"/>
    <w:rsid w:val="5E02C46C"/>
    <w:rsid w:val="5E08F0DF"/>
    <w:rsid w:val="5E1B1B3F"/>
    <w:rsid w:val="5E1EA48C"/>
    <w:rsid w:val="5E323EE2"/>
    <w:rsid w:val="5E5C3AF9"/>
    <w:rsid w:val="5E74EE7A"/>
    <w:rsid w:val="5E877968"/>
    <w:rsid w:val="5EB0E236"/>
    <w:rsid w:val="5EC1A58E"/>
    <w:rsid w:val="5ED6CCD7"/>
    <w:rsid w:val="5EDAC8EF"/>
    <w:rsid w:val="5EED73A1"/>
    <w:rsid w:val="5EFE13C4"/>
    <w:rsid w:val="5F22ED3F"/>
    <w:rsid w:val="5F63A679"/>
    <w:rsid w:val="5F824EA9"/>
    <w:rsid w:val="5F82D38F"/>
    <w:rsid w:val="5F8FDBA1"/>
    <w:rsid w:val="5F9281B7"/>
    <w:rsid w:val="5F92D517"/>
    <w:rsid w:val="5FB5D5E6"/>
    <w:rsid w:val="5FC33317"/>
    <w:rsid w:val="5FCB4A24"/>
    <w:rsid w:val="5FCB64F5"/>
    <w:rsid w:val="6009E6B0"/>
    <w:rsid w:val="603B4FCB"/>
    <w:rsid w:val="607387FD"/>
    <w:rsid w:val="6076C058"/>
    <w:rsid w:val="607AFC81"/>
    <w:rsid w:val="607E9B16"/>
    <w:rsid w:val="607EE702"/>
    <w:rsid w:val="609369DA"/>
    <w:rsid w:val="60A31E35"/>
    <w:rsid w:val="60C545A9"/>
    <w:rsid w:val="60D2FEB2"/>
    <w:rsid w:val="60ED9528"/>
    <w:rsid w:val="60FA6716"/>
    <w:rsid w:val="612C27A1"/>
    <w:rsid w:val="6145C686"/>
    <w:rsid w:val="617137F1"/>
    <w:rsid w:val="6190D847"/>
    <w:rsid w:val="61ACE23E"/>
    <w:rsid w:val="61AD7DA7"/>
    <w:rsid w:val="61B10E6C"/>
    <w:rsid w:val="61D1B9FA"/>
    <w:rsid w:val="61DB6C62"/>
    <w:rsid w:val="61DC4BEC"/>
    <w:rsid w:val="61E9E0FB"/>
    <w:rsid w:val="6204C362"/>
    <w:rsid w:val="621929E0"/>
    <w:rsid w:val="62280922"/>
    <w:rsid w:val="6249893B"/>
    <w:rsid w:val="6261C722"/>
    <w:rsid w:val="6265BAA0"/>
    <w:rsid w:val="6268DB47"/>
    <w:rsid w:val="6269A4CF"/>
    <w:rsid w:val="62785465"/>
    <w:rsid w:val="62AAA945"/>
    <w:rsid w:val="62B2DD29"/>
    <w:rsid w:val="62B74079"/>
    <w:rsid w:val="62DC5323"/>
    <w:rsid w:val="62F70747"/>
    <w:rsid w:val="63272755"/>
    <w:rsid w:val="63311DEA"/>
    <w:rsid w:val="63720BF6"/>
    <w:rsid w:val="6375B3E3"/>
    <w:rsid w:val="6382F826"/>
    <w:rsid w:val="6388619E"/>
    <w:rsid w:val="638FF5EA"/>
    <w:rsid w:val="639240C0"/>
    <w:rsid w:val="63936444"/>
    <w:rsid w:val="63C5E286"/>
    <w:rsid w:val="63E1B614"/>
    <w:rsid w:val="63E3D3F5"/>
    <w:rsid w:val="63E89656"/>
    <w:rsid w:val="63F40537"/>
    <w:rsid w:val="64073792"/>
    <w:rsid w:val="640E9A00"/>
    <w:rsid w:val="642F719A"/>
    <w:rsid w:val="642F75F5"/>
    <w:rsid w:val="64336E65"/>
    <w:rsid w:val="643A1387"/>
    <w:rsid w:val="645B4BF4"/>
    <w:rsid w:val="645EF3B9"/>
    <w:rsid w:val="64843D09"/>
    <w:rsid w:val="648D4BB1"/>
    <w:rsid w:val="648FD946"/>
    <w:rsid w:val="649072DB"/>
    <w:rsid w:val="64A1D878"/>
    <w:rsid w:val="64B4BD5D"/>
    <w:rsid w:val="64B511A6"/>
    <w:rsid w:val="64B70F6E"/>
    <w:rsid w:val="64B79507"/>
    <w:rsid w:val="64BA327F"/>
    <w:rsid w:val="64D782F6"/>
    <w:rsid w:val="650B5D3F"/>
    <w:rsid w:val="6510339C"/>
    <w:rsid w:val="6514F914"/>
    <w:rsid w:val="6532D6FF"/>
    <w:rsid w:val="657D3F74"/>
    <w:rsid w:val="65909CE7"/>
    <w:rsid w:val="659A3F5D"/>
    <w:rsid w:val="65A8CC61"/>
    <w:rsid w:val="65B2F38F"/>
    <w:rsid w:val="65B9F26E"/>
    <w:rsid w:val="65C6F4EE"/>
    <w:rsid w:val="65DE5C9D"/>
    <w:rsid w:val="65E28FF8"/>
    <w:rsid w:val="65F792B5"/>
    <w:rsid w:val="66103974"/>
    <w:rsid w:val="66341E76"/>
    <w:rsid w:val="66524EBB"/>
    <w:rsid w:val="665AF1F0"/>
    <w:rsid w:val="6671E166"/>
    <w:rsid w:val="667853D8"/>
    <w:rsid w:val="6693C9C3"/>
    <w:rsid w:val="66947DA5"/>
    <w:rsid w:val="66A8BC3A"/>
    <w:rsid w:val="66AB5CFD"/>
    <w:rsid w:val="66CE3C64"/>
    <w:rsid w:val="66D40F8A"/>
    <w:rsid w:val="66D4DF9D"/>
    <w:rsid w:val="670EF55E"/>
    <w:rsid w:val="6713A3A1"/>
    <w:rsid w:val="67180876"/>
    <w:rsid w:val="671B2B4E"/>
    <w:rsid w:val="6721C56C"/>
    <w:rsid w:val="6746355F"/>
    <w:rsid w:val="6762EC24"/>
    <w:rsid w:val="6769F051"/>
    <w:rsid w:val="678A87A7"/>
    <w:rsid w:val="6792AAF0"/>
    <w:rsid w:val="67970D0B"/>
    <w:rsid w:val="67A12954"/>
    <w:rsid w:val="67A25B36"/>
    <w:rsid w:val="67DAE7EF"/>
    <w:rsid w:val="68132EC1"/>
    <w:rsid w:val="681FA82E"/>
    <w:rsid w:val="68390B2C"/>
    <w:rsid w:val="68440C15"/>
    <w:rsid w:val="684877A1"/>
    <w:rsid w:val="685057F2"/>
    <w:rsid w:val="6853B792"/>
    <w:rsid w:val="685501EF"/>
    <w:rsid w:val="68794524"/>
    <w:rsid w:val="68B80E08"/>
    <w:rsid w:val="68C43720"/>
    <w:rsid w:val="68C4826D"/>
    <w:rsid w:val="68C5D2AE"/>
    <w:rsid w:val="68E6B390"/>
    <w:rsid w:val="68ECE249"/>
    <w:rsid w:val="68F2C1D1"/>
    <w:rsid w:val="690E4B82"/>
    <w:rsid w:val="695EC5F8"/>
    <w:rsid w:val="69721EF9"/>
    <w:rsid w:val="69885ECB"/>
    <w:rsid w:val="69921170"/>
    <w:rsid w:val="69A2CEBF"/>
    <w:rsid w:val="69AE7AC6"/>
    <w:rsid w:val="69B1BCA4"/>
    <w:rsid w:val="69BCD939"/>
    <w:rsid w:val="69C85325"/>
    <w:rsid w:val="69D6DAB3"/>
    <w:rsid w:val="69D72821"/>
    <w:rsid w:val="6A118B71"/>
    <w:rsid w:val="6A393728"/>
    <w:rsid w:val="6A41ACA7"/>
    <w:rsid w:val="6A452768"/>
    <w:rsid w:val="6A4561EE"/>
    <w:rsid w:val="6A69195C"/>
    <w:rsid w:val="6A76A9D7"/>
    <w:rsid w:val="6AB603C2"/>
    <w:rsid w:val="6AB8D180"/>
    <w:rsid w:val="6ADD169A"/>
    <w:rsid w:val="6AE8BFDB"/>
    <w:rsid w:val="6AEEC913"/>
    <w:rsid w:val="6B00BF2F"/>
    <w:rsid w:val="6B1E7FEF"/>
    <w:rsid w:val="6B29E01E"/>
    <w:rsid w:val="6B393A9E"/>
    <w:rsid w:val="6B3B534C"/>
    <w:rsid w:val="6B587976"/>
    <w:rsid w:val="6B69BEAF"/>
    <w:rsid w:val="6B7C033E"/>
    <w:rsid w:val="6B7F0211"/>
    <w:rsid w:val="6B83161F"/>
    <w:rsid w:val="6B8F5631"/>
    <w:rsid w:val="6B900883"/>
    <w:rsid w:val="6BA58E29"/>
    <w:rsid w:val="6BC08E95"/>
    <w:rsid w:val="6C0F3D32"/>
    <w:rsid w:val="6C101D52"/>
    <w:rsid w:val="6C19A77A"/>
    <w:rsid w:val="6C25F33C"/>
    <w:rsid w:val="6C484FB1"/>
    <w:rsid w:val="6C5BA200"/>
    <w:rsid w:val="6C6B1E17"/>
    <w:rsid w:val="6CA7E670"/>
    <w:rsid w:val="6CAA621B"/>
    <w:rsid w:val="6CB2E72E"/>
    <w:rsid w:val="6CDC0F16"/>
    <w:rsid w:val="6CE30FB0"/>
    <w:rsid w:val="6CE3DBF4"/>
    <w:rsid w:val="6CFD1419"/>
    <w:rsid w:val="6D03B99A"/>
    <w:rsid w:val="6D0D1855"/>
    <w:rsid w:val="6D37B349"/>
    <w:rsid w:val="6D682736"/>
    <w:rsid w:val="6D75C6E8"/>
    <w:rsid w:val="6D791FF6"/>
    <w:rsid w:val="6D7CAD17"/>
    <w:rsid w:val="6D900548"/>
    <w:rsid w:val="6DC7597D"/>
    <w:rsid w:val="6DD1FA03"/>
    <w:rsid w:val="6DD22030"/>
    <w:rsid w:val="6DE5D893"/>
    <w:rsid w:val="6DFF0AFE"/>
    <w:rsid w:val="6E0A5BC0"/>
    <w:rsid w:val="6E137054"/>
    <w:rsid w:val="6E3F1D18"/>
    <w:rsid w:val="6E585F14"/>
    <w:rsid w:val="6E6BDF4F"/>
    <w:rsid w:val="6E719AC4"/>
    <w:rsid w:val="6E8887CE"/>
    <w:rsid w:val="6E988D97"/>
    <w:rsid w:val="6EAF6964"/>
    <w:rsid w:val="6EB162F6"/>
    <w:rsid w:val="6EC186BF"/>
    <w:rsid w:val="6EDEE2BA"/>
    <w:rsid w:val="6EE0ACE8"/>
    <w:rsid w:val="6EE3F58C"/>
    <w:rsid w:val="6EF4C4B7"/>
    <w:rsid w:val="6F10FC14"/>
    <w:rsid w:val="6F1F350F"/>
    <w:rsid w:val="6F2BA0E7"/>
    <w:rsid w:val="6F44C3F2"/>
    <w:rsid w:val="6F5D649A"/>
    <w:rsid w:val="6F86E8F1"/>
    <w:rsid w:val="6F903B3C"/>
    <w:rsid w:val="6F93BDAE"/>
    <w:rsid w:val="6FBBA180"/>
    <w:rsid w:val="6FC008C9"/>
    <w:rsid w:val="6FE0FBA9"/>
    <w:rsid w:val="6FF914D5"/>
    <w:rsid w:val="6FF92678"/>
    <w:rsid w:val="6FFF6706"/>
    <w:rsid w:val="701489E6"/>
    <w:rsid w:val="7046486A"/>
    <w:rsid w:val="706F1520"/>
    <w:rsid w:val="70782863"/>
    <w:rsid w:val="7092BCD5"/>
    <w:rsid w:val="70963609"/>
    <w:rsid w:val="70A32618"/>
    <w:rsid w:val="70C7E443"/>
    <w:rsid w:val="70CC9D32"/>
    <w:rsid w:val="70F1E7BC"/>
    <w:rsid w:val="70F757C5"/>
    <w:rsid w:val="711186EF"/>
    <w:rsid w:val="711542C8"/>
    <w:rsid w:val="711C4E4D"/>
    <w:rsid w:val="7128338E"/>
    <w:rsid w:val="712CA158"/>
    <w:rsid w:val="714DD856"/>
    <w:rsid w:val="71591ADF"/>
    <w:rsid w:val="716DB734"/>
    <w:rsid w:val="71748A00"/>
    <w:rsid w:val="7176B870"/>
    <w:rsid w:val="717E36DA"/>
    <w:rsid w:val="718078CA"/>
    <w:rsid w:val="71A3C332"/>
    <w:rsid w:val="71A7B92E"/>
    <w:rsid w:val="71ABEAB7"/>
    <w:rsid w:val="71CF3CE3"/>
    <w:rsid w:val="71D7F7F3"/>
    <w:rsid w:val="71E079F2"/>
    <w:rsid w:val="71EECC20"/>
    <w:rsid w:val="71F1C8C7"/>
    <w:rsid w:val="71F40438"/>
    <w:rsid w:val="71FB45A3"/>
    <w:rsid w:val="71FF6B45"/>
    <w:rsid w:val="721FC4C4"/>
    <w:rsid w:val="722088E9"/>
    <w:rsid w:val="7225A4EB"/>
    <w:rsid w:val="7229D2AA"/>
    <w:rsid w:val="723811AE"/>
    <w:rsid w:val="7245B005"/>
    <w:rsid w:val="724AA3A0"/>
    <w:rsid w:val="7256234C"/>
    <w:rsid w:val="725A7753"/>
    <w:rsid w:val="727700E8"/>
    <w:rsid w:val="72A19DE3"/>
    <w:rsid w:val="72A1BB21"/>
    <w:rsid w:val="72A2FE7F"/>
    <w:rsid w:val="72B36B89"/>
    <w:rsid w:val="72B4B101"/>
    <w:rsid w:val="72B8AE5D"/>
    <w:rsid w:val="72D5FCE2"/>
    <w:rsid w:val="72D90564"/>
    <w:rsid w:val="72EB8C6B"/>
    <w:rsid w:val="72EC9B27"/>
    <w:rsid w:val="73008F7E"/>
    <w:rsid w:val="73025F1F"/>
    <w:rsid w:val="731243EC"/>
    <w:rsid w:val="7314A6C1"/>
    <w:rsid w:val="731CBA72"/>
    <w:rsid w:val="734A3205"/>
    <w:rsid w:val="734B55F6"/>
    <w:rsid w:val="73537E0B"/>
    <w:rsid w:val="737397EC"/>
    <w:rsid w:val="7385FF35"/>
    <w:rsid w:val="73A95890"/>
    <w:rsid w:val="73AC5ACF"/>
    <w:rsid w:val="73D7B7AC"/>
    <w:rsid w:val="73F72F25"/>
    <w:rsid w:val="73FB38DA"/>
    <w:rsid w:val="7400EC28"/>
    <w:rsid w:val="740C5B4B"/>
    <w:rsid w:val="741DA14E"/>
    <w:rsid w:val="743DC7E0"/>
    <w:rsid w:val="745B202A"/>
    <w:rsid w:val="74645246"/>
    <w:rsid w:val="747E870D"/>
    <w:rsid w:val="74B00299"/>
    <w:rsid w:val="74C25D0C"/>
    <w:rsid w:val="74C7A1DC"/>
    <w:rsid w:val="74DC19F8"/>
    <w:rsid w:val="74E79E05"/>
    <w:rsid w:val="74EAEC99"/>
    <w:rsid w:val="74EC5E4D"/>
    <w:rsid w:val="750940A7"/>
    <w:rsid w:val="750AEED1"/>
    <w:rsid w:val="750D5AE0"/>
    <w:rsid w:val="75168FCE"/>
    <w:rsid w:val="752168AC"/>
    <w:rsid w:val="753417D7"/>
    <w:rsid w:val="753F7C92"/>
    <w:rsid w:val="75426DE3"/>
    <w:rsid w:val="756080AB"/>
    <w:rsid w:val="75823448"/>
    <w:rsid w:val="758C2D2C"/>
    <w:rsid w:val="75BE18F4"/>
    <w:rsid w:val="75D79B33"/>
    <w:rsid w:val="75DF83F6"/>
    <w:rsid w:val="75FD2E1A"/>
    <w:rsid w:val="761D232F"/>
    <w:rsid w:val="76240B1A"/>
    <w:rsid w:val="7633FD95"/>
    <w:rsid w:val="76498DEC"/>
    <w:rsid w:val="764EFE47"/>
    <w:rsid w:val="76894E23"/>
    <w:rsid w:val="76BC9517"/>
    <w:rsid w:val="76C2A2C2"/>
    <w:rsid w:val="76C84E90"/>
    <w:rsid w:val="76C94438"/>
    <w:rsid w:val="76C9E24F"/>
    <w:rsid w:val="76E3BD2D"/>
    <w:rsid w:val="76EE9BEE"/>
    <w:rsid w:val="7705C1B3"/>
    <w:rsid w:val="770712AA"/>
    <w:rsid w:val="771BCB36"/>
    <w:rsid w:val="772CABD4"/>
    <w:rsid w:val="77327EEA"/>
    <w:rsid w:val="77427524"/>
    <w:rsid w:val="7745AF8F"/>
    <w:rsid w:val="774F9ACE"/>
    <w:rsid w:val="77557B53"/>
    <w:rsid w:val="777A3BCD"/>
    <w:rsid w:val="77854423"/>
    <w:rsid w:val="77865EB0"/>
    <w:rsid w:val="7789EF72"/>
    <w:rsid w:val="779E5FF1"/>
    <w:rsid w:val="77A5B7F5"/>
    <w:rsid w:val="77A9CC27"/>
    <w:rsid w:val="77AFC5C1"/>
    <w:rsid w:val="77B06683"/>
    <w:rsid w:val="77CF3C23"/>
    <w:rsid w:val="77D44E62"/>
    <w:rsid w:val="77E1CD80"/>
    <w:rsid w:val="77EFA531"/>
    <w:rsid w:val="77FC9E29"/>
    <w:rsid w:val="78020FC0"/>
    <w:rsid w:val="78233059"/>
    <w:rsid w:val="7827DC96"/>
    <w:rsid w:val="782B4D04"/>
    <w:rsid w:val="7832071A"/>
    <w:rsid w:val="783564D0"/>
    <w:rsid w:val="784E1C45"/>
    <w:rsid w:val="788C3B0E"/>
    <w:rsid w:val="7890BA1D"/>
    <w:rsid w:val="78969FF7"/>
    <w:rsid w:val="78BD9F09"/>
    <w:rsid w:val="78C17309"/>
    <w:rsid w:val="78D6095A"/>
    <w:rsid w:val="78F5145B"/>
    <w:rsid w:val="78F77272"/>
    <w:rsid w:val="790292A7"/>
    <w:rsid w:val="793932C8"/>
    <w:rsid w:val="7997B9B9"/>
    <w:rsid w:val="79A27ABF"/>
    <w:rsid w:val="79B95222"/>
    <w:rsid w:val="79C7C17F"/>
    <w:rsid w:val="79DE6A31"/>
    <w:rsid w:val="7A1DFCEE"/>
    <w:rsid w:val="7A2D5B06"/>
    <w:rsid w:val="7A36AB1A"/>
    <w:rsid w:val="7A3ADCC9"/>
    <w:rsid w:val="7A4CC0D2"/>
    <w:rsid w:val="7A70FBD1"/>
    <w:rsid w:val="7A79188B"/>
    <w:rsid w:val="7A806440"/>
    <w:rsid w:val="7A908B41"/>
    <w:rsid w:val="7AA6FE02"/>
    <w:rsid w:val="7AB53698"/>
    <w:rsid w:val="7ABBF26A"/>
    <w:rsid w:val="7ACA0E52"/>
    <w:rsid w:val="7ACC448C"/>
    <w:rsid w:val="7ADB32D7"/>
    <w:rsid w:val="7ADE0942"/>
    <w:rsid w:val="7AEA4B78"/>
    <w:rsid w:val="7B100847"/>
    <w:rsid w:val="7B146EE9"/>
    <w:rsid w:val="7B41AC4A"/>
    <w:rsid w:val="7B85D2AC"/>
    <w:rsid w:val="7BAC475B"/>
    <w:rsid w:val="7BD21D5D"/>
    <w:rsid w:val="7BD41A02"/>
    <w:rsid w:val="7BDD560A"/>
    <w:rsid w:val="7BE4C4C0"/>
    <w:rsid w:val="7BF97E2B"/>
    <w:rsid w:val="7C20F282"/>
    <w:rsid w:val="7C6529AD"/>
    <w:rsid w:val="7C6CC418"/>
    <w:rsid w:val="7C712916"/>
    <w:rsid w:val="7C897D04"/>
    <w:rsid w:val="7CA638AE"/>
    <w:rsid w:val="7CB68D34"/>
    <w:rsid w:val="7CBA6B81"/>
    <w:rsid w:val="7CCEEA57"/>
    <w:rsid w:val="7CEF33FF"/>
    <w:rsid w:val="7CF5E124"/>
    <w:rsid w:val="7CF77AEB"/>
    <w:rsid w:val="7D1F310C"/>
    <w:rsid w:val="7D437221"/>
    <w:rsid w:val="7D561AA3"/>
    <w:rsid w:val="7D578DC4"/>
    <w:rsid w:val="7D7059FC"/>
    <w:rsid w:val="7D96479A"/>
    <w:rsid w:val="7DBDE89B"/>
    <w:rsid w:val="7DBF4D0E"/>
    <w:rsid w:val="7DC15712"/>
    <w:rsid w:val="7DD81E53"/>
    <w:rsid w:val="7DF24187"/>
    <w:rsid w:val="7E01C585"/>
    <w:rsid w:val="7E10E5DC"/>
    <w:rsid w:val="7E11348E"/>
    <w:rsid w:val="7E1A5D6B"/>
    <w:rsid w:val="7E1A9B2E"/>
    <w:rsid w:val="7E1B07D6"/>
    <w:rsid w:val="7E248BE9"/>
    <w:rsid w:val="7E3629F3"/>
    <w:rsid w:val="7E3B5B38"/>
    <w:rsid w:val="7E401EAA"/>
    <w:rsid w:val="7E489645"/>
    <w:rsid w:val="7E62088A"/>
    <w:rsid w:val="7E7C02B9"/>
    <w:rsid w:val="7E956800"/>
    <w:rsid w:val="7E97D0DB"/>
    <w:rsid w:val="7EA57781"/>
    <w:rsid w:val="7EE1AD6C"/>
    <w:rsid w:val="7EFE98F3"/>
    <w:rsid w:val="7F08F974"/>
    <w:rsid w:val="7F3A7F37"/>
    <w:rsid w:val="7F3C5DE6"/>
    <w:rsid w:val="7F3F3E34"/>
    <w:rsid w:val="7F42F7E1"/>
    <w:rsid w:val="7F48EEDE"/>
    <w:rsid w:val="7F540085"/>
    <w:rsid w:val="7F69F873"/>
    <w:rsid w:val="7F6D3BD5"/>
    <w:rsid w:val="7F706C61"/>
    <w:rsid w:val="7F73F1E0"/>
    <w:rsid w:val="7FA28CD8"/>
    <w:rsid w:val="7FBBCF5E"/>
    <w:rsid w:val="7FBC0419"/>
    <w:rsid w:val="7FBCFD28"/>
    <w:rsid w:val="7FE251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DF3120"/>
  <w15:docId w15:val="{CA142F71-BD03-4E23-A83A-009A14F2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713A3A1"/>
    <w:pPr>
      <w:spacing w:after="200" w:line="288" w:lineRule="auto"/>
    </w:pPr>
    <w:rPr>
      <w:rFonts w:ascii="Calibri" w:hAnsi="Calibri" w:cs="Arial Unicode MS"/>
      <w:color w:val="000000" w:themeColor="text1"/>
      <w:sz w:val="22"/>
      <w:szCs w:val="22"/>
    </w:rPr>
  </w:style>
  <w:style w:type="paragraph" w:styleId="Heading1">
    <w:name w:val="heading 1"/>
    <w:basedOn w:val="Heading"/>
    <w:next w:val="Normal"/>
    <w:link w:val="Heading1Char"/>
    <w:uiPriority w:val="9"/>
    <w:qFormat/>
    <w:rsid w:val="00FD6297"/>
    <w:pPr>
      <w:ind w:left="684" w:hanging="684"/>
    </w:pPr>
    <w:rPr>
      <w:rFonts w:eastAsia="Arial Unicode MS" w:cs="Arial Unicode MS"/>
    </w:rPr>
  </w:style>
  <w:style w:type="paragraph" w:styleId="Heading2">
    <w:name w:val="heading 2"/>
    <w:next w:val="Body"/>
    <w:uiPriority w:val="9"/>
    <w:unhideWhenUsed/>
    <w:qFormat/>
    <w:pPr>
      <w:keepNext/>
      <w:keepLines/>
      <w:spacing w:before="200" w:line="276" w:lineRule="auto"/>
      <w:outlineLvl w:val="1"/>
    </w:pPr>
    <w:rPr>
      <w:rFonts w:ascii="Calibri" w:eastAsia="Calibri" w:hAnsi="Calibri" w:cs="Calibri"/>
      <w:color w:val="000000"/>
      <w:sz w:val="32"/>
      <w:szCs w:val="32"/>
      <w:u w:color="000000"/>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200" w:line="276" w:lineRule="auto"/>
      <w:outlineLvl w:val="2"/>
    </w:pPr>
    <w:rPr>
      <w:rFonts w:ascii="Calibri" w:eastAsia="Calibri" w:hAnsi="Calibri" w:cs="Calibri"/>
      <w:b/>
      <w:bCs/>
      <w:color w:val="000000"/>
      <w:sz w:val="22"/>
      <w:szCs w:val="22"/>
      <w:u w:color="000000"/>
      <w14:textOutline w14:w="0" w14:cap="flat" w14:cmpd="sng" w14:algn="ctr">
        <w14:noFill/>
        <w14:prstDash w14:val="solid"/>
        <w14:bevel/>
      </w14:textOutline>
    </w:rPr>
  </w:style>
  <w:style w:type="paragraph" w:styleId="Heading4">
    <w:name w:val="heading 4"/>
    <w:basedOn w:val="Normal"/>
    <w:next w:val="Normal"/>
    <w:link w:val="Heading4Char"/>
    <w:uiPriority w:val="9"/>
    <w:unhideWhenUsed/>
    <w:qFormat/>
    <w:rsid w:val="6713A3A1"/>
    <w:pPr>
      <w:keepNext/>
      <w:keepLines/>
      <w:spacing w:before="40" w:after="0"/>
      <w:outlineLvl w:val="3"/>
    </w:pPr>
    <w:rPr>
      <w:rFonts w:asciiTheme="majorHAnsi" w:eastAsiaTheme="majorEastAsia" w:hAnsiTheme="majorHAnsi" w:cstheme="majorBidi"/>
      <w:i/>
      <w:iCs/>
      <w:color w:val="6DA234" w:themeColor="accent1" w:themeShade="BF"/>
    </w:rPr>
  </w:style>
  <w:style w:type="paragraph" w:styleId="Heading5">
    <w:name w:val="heading 5"/>
    <w:basedOn w:val="Normal"/>
    <w:next w:val="Normal"/>
    <w:link w:val="Heading5Char"/>
    <w:uiPriority w:val="9"/>
    <w:unhideWhenUsed/>
    <w:qFormat/>
    <w:rsid w:val="6713A3A1"/>
    <w:pPr>
      <w:keepNext/>
      <w:keepLines/>
      <w:spacing w:before="40" w:after="0"/>
      <w:outlineLvl w:val="4"/>
    </w:pPr>
    <w:rPr>
      <w:rFonts w:asciiTheme="majorHAnsi" w:eastAsiaTheme="majorEastAsia" w:hAnsiTheme="majorHAnsi" w:cstheme="majorBidi"/>
      <w:color w:val="6DA234" w:themeColor="accent1" w:themeShade="BF"/>
    </w:rPr>
  </w:style>
  <w:style w:type="paragraph" w:styleId="Heading6">
    <w:name w:val="heading 6"/>
    <w:basedOn w:val="Normal"/>
    <w:next w:val="Normal"/>
    <w:link w:val="Heading6Char"/>
    <w:uiPriority w:val="9"/>
    <w:unhideWhenUsed/>
    <w:qFormat/>
    <w:rsid w:val="6713A3A1"/>
    <w:pPr>
      <w:keepNext/>
      <w:keepLines/>
      <w:spacing w:before="40" w:after="0"/>
      <w:outlineLvl w:val="5"/>
    </w:pPr>
    <w:rPr>
      <w:rFonts w:asciiTheme="majorHAnsi" w:eastAsiaTheme="majorEastAsia" w:hAnsiTheme="majorHAnsi" w:cstheme="majorBidi"/>
      <w:color w:val="486C22"/>
    </w:rPr>
  </w:style>
  <w:style w:type="paragraph" w:styleId="Heading7">
    <w:name w:val="heading 7"/>
    <w:basedOn w:val="Normal"/>
    <w:next w:val="Normal"/>
    <w:link w:val="Heading7Char"/>
    <w:uiPriority w:val="9"/>
    <w:unhideWhenUsed/>
    <w:qFormat/>
    <w:rsid w:val="6713A3A1"/>
    <w:pPr>
      <w:keepNext/>
      <w:keepLines/>
      <w:spacing w:before="40" w:after="0"/>
      <w:outlineLvl w:val="6"/>
    </w:pPr>
    <w:rPr>
      <w:rFonts w:asciiTheme="majorHAnsi" w:eastAsiaTheme="majorEastAsia" w:hAnsiTheme="majorHAnsi" w:cstheme="majorBidi"/>
      <w:i/>
      <w:iCs/>
      <w:color w:val="486C22"/>
    </w:rPr>
  </w:style>
  <w:style w:type="paragraph" w:styleId="Heading8">
    <w:name w:val="heading 8"/>
    <w:basedOn w:val="Normal"/>
    <w:next w:val="Normal"/>
    <w:link w:val="Heading8Char"/>
    <w:uiPriority w:val="9"/>
    <w:unhideWhenUsed/>
    <w:qFormat/>
    <w:rsid w:val="6713A3A1"/>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713A3A1"/>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200" w:line="288"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BasicParagraph">
    <w:name w:val="[Basic Paragraph]"/>
    <w:pPr>
      <w:suppressAutoHyphens/>
      <w:spacing w:before="200" w:line="260" w:lineRule="atLeast"/>
    </w:pPr>
    <w:rPr>
      <w:rFonts w:ascii="Myriad Pro" w:eastAsia="Myriad Pro" w:hAnsi="Myriad Pro" w:cs="Myriad Pro"/>
      <w:color w:val="000000"/>
      <w:sz w:val="18"/>
      <w:szCs w:val="18"/>
      <w:u w:color="000000"/>
    </w:rPr>
  </w:style>
  <w:style w:type="paragraph" w:styleId="TOCHeading">
    <w:name w:val="TOC Heading"/>
    <w:next w:val="Body"/>
    <w:pPr>
      <w:keepNext/>
      <w:keepLines/>
      <w:spacing w:before="480" w:line="276" w:lineRule="auto"/>
    </w:pPr>
    <w:rPr>
      <w:rFonts w:ascii="Calibri" w:hAnsi="Calibri" w:cs="Arial Unicode MS"/>
      <w:color w:val="000000"/>
      <w:sz w:val="40"/>
      <w:szCs w:val="40"/>
      <w:u w:color="000000"/>
    </w:rPr>
  </w:style>
  <w:style w:type="paragraph" w:styleId="TOC1">
    <w:name w:val="toc 1"/>
    <w:uiPriority w:val="39"/>
    <w:pPr>
      <w:tabs>
        <w:tab w:val="left" w:pos="440"/>
        <w:tab w:val="right" w:leader="dot" w:pos="9340"/>
      </w:tabs>
      <w:spacing w:after="100" w:line="276" w:lineRule="auto"/>
    </w:pPr>
    <w:rPr>
      <w:rFonts w:ascii="Calibri" w:eastAsia="Calibri" w:hAnsi="Calibri" w:cs="Calibri"/>
      <w:color w:val="000000"/>
      <w:sz w:val="22"/>
      <w:szCs w:val="22"/>
      <w:u w:color="000000"/>
    </w:rPr>
  </w:style>
  <w:style w:type="paragraph" w:customStyle="1" w:styleId="Heading">
    <w:name w:val="Heading"/>
    <w:next w:val="Body"/>
    <w:pPr>
      <w:keepNext/>
      <w:keepLines/>
      <w:spacing w:before="480" w:line="360" w:lineRule="auto"/>
      <w:outlineLvl w:val="0"/>
    </w:pPr>
    <w:rPr>
      <w:rFonts w:ascii="Calibri" w:eastAsia="Calibri" w:hAnsi="Calibri" w:cs="Calibri"/>
      <w:color w:val="000000"/>
      <w:sz w:val="38"/>
      <w:szCs w:val="38"/>
      <w:u w:color="000000"/>
      <w14:textOutline w14:w="0" w14:cap="flat" w14:cmpd="sng" w14:algn="ctr">
        <w14:noFill/>
        <w14:prstDash w14:val="solid"/>
        <w14:bevel/>
      </w14:textOutline>
    </w:rPr>
  </w:style>
  <w:style w:type="paragraph" w:styleId="TOC2">
    <w:name w:val="toc 2"/>
    <w:uiPriority w:val="39"/>
    <w:pPr>
      <w:tabs>
        <w:tab w:val="right" w:leader="dot" w:pos="9340"/>
      </w:tabs>
      <w:spacing w:after="100" w:line="276" w:lineRule="auto"/>
      <w:ind w:left="220"/>
    </w:pPr>
    <w:rPr>
      <w:rFonts w:ascii="Calibri" w:eastAsia="Calibri" w:hAnsi="Calibri" w:cs="Calibri"/>
      <w:color w:val="000000"/>
      <w:sz w:val="22"/>
      <w:szCs w:val="22"/>
      <w:u w:color="000000"/>
    </w:rPr>
  </w:style>
  <w:style w:type="paragraph" w:styleId="TOC3">
    <w:name w:val="toc 3"/>
    <w:uiPriority w:val="39"/>
    <w:pPr>
      <w:tabs>
        <w:tab w:val="right" w:leader="dot" w:pos="9340"/>
      </w:tabs>
      <w:spacing w:after="100" w:line="276" w:lineRule="auto"/>
      <w:ind w:left="44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CVText">
    <w:name w:val="CV Text"/>
    <w:pPr>
      <w:spacing w:after="170"/>
      <w:ind w:right="360"/>
    </w:pPr>
    <w:rPr>
      <w:rFonts w:ascii="Calibri" w:hAnsi="Calibri" w:cs="Arial Unicode MS"/>
      <w:b/>
      <w:bCs/>
      <w:i/>
      <w:iCs/>
      <w:color w:val="00B0F0"/>
      <w:sz w:val="28"/>
      <w:szCs w:val="28"/>
      <w:u w:color="00B0F0"/>
    </w:rPr>
  </w:style>
  <w:style w:type="character" w:customStyle="1" w:styleId="Bold">
    <w:name w:val="Bold"/>
    <w:rPr>
      <w:rFonts w:ascii="Calibri" w:eastAsia="Arial Unicode MS" w:hAnsi="Calibri" w:cs="Arial Unicode MS"/>
      <w:b/>
      <w:bCs/>
      <w:i w:val="0"/>
      <w:iCs w:val="0"/>
      <w:lang w:val="en-US"/>
    </w:rPr>
  </w:style>
  <w:style w:type="paragraph" w:styleId="ListParagraph">
    <w:name w:val="List Paragraph"/>
    <w:uiPriority w:val="34"/>
    <w:qFormat/>
    <w:pPr>
      <w:spacing w:after="80"/>
      <w:jc w:val="both"/>
    </w:pPr>
    <w:rPr>
      <w:rFonts w:ascii="Calibri" w:hAnsi="Calibri" w:cs="Arial Unicode MS"/>
      <w:color w:val="000000"/>
      <w:sz w:val="22"/>
      <w:szCs w:val="22"/>
      <w:u w:color="000000"/>
    </w:rPr>
  </w:style>
  <w:style w:type="numbering" w:customStyle="1" w:styleId="ImportedStyle2">
    <w:name w:val="Imported Style 2"/>
    <w:pPr>
      <w:numPr>
        <w:numId w:val="2"/>
      </w:numPr>
    </w:pPr>
  </w:style>
  <w:style w:type="paragraph" w:styleId="NormalWeb">
    <w:name w:val="Normal (Web)"/>
    <w:uiPriority w:val="99"/>
    <w:pPr>
      <w:spacing w:after="200" w:line="276" w:lineRule="auto"/>
    </w:pPr>
    <w:rPr>
      <w:rFonts w:eastAsia="Times New Roman"/>
      <w:color w:val="000000"/>
      <w:sz w:val="24"/>
      <w:szCs w:val="24"/>
      <w:u w:color="000000"/>
    </w:rPr>
  </w:style>
  <w:style w:type="numbering" w:customStyle="1" w:styleId="ImportedStyle4">
    <w:name w:val="Imported Style 4"/>
    <w:pPr>
      <w:numPr>
        <w:numId w:val="3"/>
      </w:numPr>
    </w:pPr>
  </w:style>
  <w:style w:type="paragraph" w:customStyle="1" w:styleId="BoldList">
    <w:name w:val="Bold List"/>
    <w:pPr>
      <w:widowControl w:val="0"/>
      <w:spacing w:before="60" w:after="120"/>
      <w:jc w:val="both"/>
    </w:pPr>
    <w:rPr>
      <w:rFonts w:ascii="Calibri" w:hAnsi="Calibri" w:cs="Arial Unicode MS"/>
      <w:b/>
      <w:bCs/>
      <w:i/>
      <w:iCs/>
      <w:color w:val="000000"/>
      <w:sz w:val="22"/>
      <w:szCs w:val="22"/>
      <w:u w:color="000000"/>
    </w:r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character" w:customStyle="1" w:styleId="Heading1Char">
    <w:name w:val="Heading 1 Char"/>
    <w:basedOn w:val="DefaultParagraphFont"/>
    <w:link w:val="Heading1"/>
    <w:uiPriority w:val="9"/>
    <w:rsid w:val="00FD6297"/>
    <w:rPr>
      <w:rFonts w:ascii="Calibri" w:hAnsi="Calibri" w:cs="Arial Unicode MS"/>
      <w:color w:val="000000"/>
      <w:sz w:val="38"/>
      <w:szCs w:val="38"/>
      <w:u w:color="000000"/>
      <w14:textOutline w14:w="0" w14:cap="flat" w14:cmpd="sng" w14:algn="ctr">
        <w14:noFill/>
        <w14:prstDash w14:val="solid"/>
        <w14:bevel/>
      </w14:textOutline>
    </w:rPr>
  </w:style>
  <w:style w:type="table" w:styleId="TableGrid">
    <w:name w:val="Table Grid"/>
    <w:basedOn w:val="TableNormal"/>
    <w:uiPriority w:val="59"/>
    <w:rsid w:val="00E12A4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Cs w:val="22"/>
      <w:bdr w:val="none" w:sz="0" w:space="0" w:color="auto"/>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TableFigurenumber">
    <w:name w:val="Table/Figure number"/>
    <w:qFormat/>
    <w:rsid w:val="00C928C5"/>
    <w:rPr>
      <w:rFonts w:ascii="Calibri" w:eastAsia="Calibri" w:hAnsi="Calibri" w:cs="Calibri"/>
      <w:color w:val="000000"/>
      <w:sz w:val="18"/>
      <w:szCs w:val="18"/>
      <w:u w:color="000000"/>
      <w14:textOutline w14:w="0" w14:cap="flat" w14:cmpd="sng" w14:algn="ctr">
        <w14:noFill/>
        <w14:prstDash w14:val="solid"/>
        <w14:bevel/>
      </w14:textOutline>
    </w:rPr>
  </w:style>
  <w:style w:type="paragraph" w:customStyle="1" w:styleId="TableFigureheader">
    <w:name w:val="Table/Figure header"/>
    <w:qFormat/>
    <w:rsid w:val="00C928C5"/>
    <w:rPr>
      <w:rFonts w:ascii="Calibri" w:eastAsia="Calibri" w:hAnsi="Calibri" w:cs="Calibri"/>
      <w:b/>
      <w:bCs/>
      <w:color w:val="000000"/>
      <w:sz w:val="28"/>
      <w:szCs w:val="28"/>
      <w:u w:color="000000"/>
      <w14:textOutline w14:w="0" w14:cap="flat" w14:cmpd="sng" w14:algn="ctr">
        <w14:noFill/>
        <w14:prstDash w14:val="solid"/>
        <w14:bevel/>
      </w14:textOutline>
    </w:rPr>
  </w:style>
  <w:style w:type="paragraph" w:customStyle="1" w:styleId="TableFigureSubtitle">
    <w:name w:val="Table/Figure Subtitle"/>
    <w:basedOn w:val="Body"/>
    <w:qFormat/>
    <w:rsid w:val="0040200A"/>
    <w:pPr>
      <w:spacing w:after="120" w:line="240" w:lineRule="auto"/>
    </w:pPr>
    <w:rPr>
      <w:sz w:val="24"/>
      <w:szCs w:val="24"/>
    </w:rPr>
  </w:style>
  <w:style w:type="paragraph" w:customStyle="1" w:styleId="SummaryofResults">
    <w:name w:val="Summary of Results"/>
    <w:basedOn w:val="Body"/>
    <w:qFormat/>
    <w:rsid w:val="0009308E"/>
    <w:pPr>
      <w:spacing w:after="0" w:line="240" w:lineRule="auto"/>
    </w:pPr>
    <w:rPr>
      <w:sz w:val="16"/>
      <w:szCs w:val="16"/>
      <w:lang w:val="it-IT"/>
    </w:rPr>
  </w:style>
  <w:style w:type="paragraph" w:styleId="Header">
    <w:name w:val="header"/>
    <w:basedOn w:val="Normal"/>
    <w:link w:val="HeaderChar"/>
    <w:uiPriority w:val="99"/>
    <w:unhideWhenUsed/>
    <w:rsid w:val="6713A3A1"/>
    <w:pPr>
      <w:tabs>
        <w:tab w:val="center" w:pos="4680"/>
        <w:tab w:val="right" w:pos="9360"/>
      </w:tabs>
    </w:pPr>
  </w:style>
  <w:style w:type="character" w:customStyle="1" w:styleId="HeaderChar">
    <w:name w:val="Header Char"/>
    <w:basedOn w:val="DefaultParagraphFont"/>
    <w:link w:val="Header"/>
    <w:uiPriority w:val="99"/>
    <w:rsid w:val="6713A3A1"/>
    <w:rPr>
      <w:noProof w:val="0"/>
      <w:sz w:val="24"/>
      <w:szCs w:val="24"/>
      <w:lang w:val="en-US"/>
    </w:rPr>
  </w:style>
  <w:style w:type="character" w:styleId="CommentReference">
    <w:name w:val="annotation reference"/>
    <w:basedOn w:val="DefaultParagraphFont"/>
    <w:uiPriority w:val="99"/>
    <w:semiHidden/>
    <w:unhideWhenUsed/>
    <w:rsid w:val="002A7F7D"/>
    <w:rPr>
      <w:sz w:val="16"/>
      <w:szCs w:val="16"/>
    </w:rPr>
  </w:style>
  <w:style w:type="paragraph" w:styleId="CommentText">
    <w:name w:val="annotation text"/>
    <w:basedOn w:val="Normal"/>
    <w:link w:val="CommentTextChar"/>
    <w:uiPriority w:val="99"/>
    <w:unhideWhenUsed/>
    <w:rsid w:val="6713A3A1"/>
    <w:pPr>
      <w:ind w:firstLine="720"/>
      <w:jc w:val="both"/>
    </w:pPr>
    <w:rPr>
      <w:rFonts w:eastAsia="Times New Roman"/>
      <w:sz w:val="20"/>
      <w:szCs w:val="20"/>
    </w:rPr>
  </w:style>
  <w:style w:type="character" w:customStyle="1" w:styleId="CommentTextChar">
    <w:name w:val="Comment Text Char"/>
    <w:basedOn w:val="DefaultParagraphFont"/>
    <w:link w:val="CommentText"/>
    <w:uiPriority w:val="99"/>
    <w:rsid w:val="6713A3A1"/>
    <w:rPr>
      <w:rFonts w:ascii="Calibri" w:eastAsia="Times New Roman" w:hAnsi="Calibri" w:cs="Times New Roman"/>
      <w:noProof w:val="0"/>
      <w:lang w:val="en-US"/>
    </w:rPr>
  </w:style>
  <w:style w:type="paragraph" w:styleId="FootnoteText">
    <w:name w:val="footnote text"/>
    <w:basedOn w:val="Normal"/>
    <w:link w:val="FootnoteTextChar"/>
    <w:uiPriority w:val="99"/>
    <w:qFormat/>
    <w:rsid w:val="6713A3A1"/>
    <w:pPr>
      <w:jc w:val="both"/>
    </w:pPr>
    <w:rPr>
      <w:rFonts w:eastAsia="Times New Roman"/>
      <w:sz w:val="20"/>
      <w:szCs w:val="20"/>
    </w:rPr>
  </w:style>
  <w:style w:type="character" w:customStyle="1" w:styleId="FootnoteTextChar">
    <w:name w:val="Footnote Text Char"/>
    <w:basedOn w:val="DefaultParagraphFont"/>
    <w:link w:val="FootnoteText"/>
    <w:uiPriority w:val="99"/>
    <w:rsid w:val="6713A3A1"/>
    <w:rPr>
      <w:rFonts w:ascii="Calibri" w:eastAsia="Times New Roman" w:hAnsi="Calibri" w:cs="Times New Roman"/>
      <w:noProof w:val="0"/>
      <w:lang w:val="en-US"/>
    </w:rPr>
  </w:style>
  <w:style w:type="character" w:styleId="FootnoteReference">
    <w:name w:val="footnote reference"/>
    <w:uiPriority w:val="99"/>
    <w:semiHidden/>
    <w:unhideWhenUsed/>
    <w:rsid w:val="002A7F7D"/>
    <w:rPr>
      <w:vertAlign w:val="superscript"/>
    </w:rPr>
  </w:style>
  <w:style w:type="paragraph" w:customStyle="1" w:styleId="TableTitle">
    <w:name w:val="Table Title"/>
    <w:basedOn w:val="Normal"/>
    <w:qFormat/>
    <w:rsid w:val="6713A3A1"/>
    <w:pPr>
      <w:spacing w:before="240" w:after="120"/>
    </w:pPr>
    <w:rPr>
      <w:rFonts w:eastAsia="Times New Roman"/>
    </w:rPr>
  </w:style>
  <w:style w:type="paragraph" w:styleId="Revision">
    <w:name w:val="Revision"/>
    <w:hidden/>
    <w:uiPriority w:val="99"/>
    <w:semiHidden/>
    <w:rsid w:val="001A24E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lang w:val="it-IT"/>
      <w14:textOutline w14:w="0" w14:cap="flat" w14:cmpd="sng" w14:algn="ctr">
        <w14:noFill/>
        <w14:prstDash w14:val="solid"/>
        <w14:bevel/>
      </w14:textOutline>
    </w:rPr>
  </w:style>
  <w:style w:type="paragraph" w:styleId="CommentSubject">
    <w:name w:val="annotation subject"/>
    <w:basedOn w:val="CommentText"/>
    <w:next w:val="CommentText"/>
    <w:link w:val="CommentSubjectChar"/>
    <w:uiPriority w:val="99"/>
    <w:semiHidden/>
    <w:unhideWhenUsed/>
    <w:rsid w:val="6713A3A1"/>
    <w:pPr>
      <w:ind w:firstLine="0"/>
      <w:jc w:val="left"/>
    </w:pPr>
    <w:rPr>
      <w:rFonts w:eastAsia="Arial Unicode MS"/>
      <w:b/>
      <w:bCs/>
    </w:rPr>
  </w:style>
  <w:style w:type="character" w:customStyle="1" w:styleId="CommentSubjectChar">
    <w:name w:val="Comment Subject Char"/>
    <w:basedOn w:val="CommentTextChar"/>
    <w:link w:val="CommentSubject"/>
    <w:uiPriority w:val="99"/>
    <w:semiHidden/>
    <w:rsid w:val="6713A3A1"/>
    <w:rPr>
      <w:rFonts w:ascii="Calibri" w:eastAsia="Times New Roman" w:hAnsi="Calibri" w:cs="Arial Unicode MS"/>
      <w:b/>
      <w:bCs/>
      <w:noProof w:val="0"/>
      <w:color w:val="000000" w:themeColor="text1"/>
      <w:lang w:val="en-US"/>
    </w:rPr>
  </w:style>
  <w:style w:type="character" w:styleId="PlaceholderText">
    <w:name w:val="Placeholder Text"/>
    <w:basedOn w:val="DefaultParagraphFont"/>
    <w:uiPriority w:val="99"/>
    <w:semiHidden/>
    <w:rsid w:val="00CB276E"/>
    <w:rPr>
      <w:color w:val="808080"/>
    </w:rPr>
  </w:style>
  <w:style w:type="character" w:styleId="UnresolvedMention">
    <w:name w:val="Unresolved Mention"/>
    <w:basedOn w:val="DefaultParagraphFont"/>
    <w:uiPriority w:val="99"/>
    <w:semiHidden/>
    <w:unhideWhenUsed/>
    <w:rsid w:val="00872087"/>
    <w:rPr>
      <w:color w:val="605E5C"/>
      <w:shd w:val="clear" w:color="auto" w:fill="E1DFDD"/>
    </w:rPr>
  </w:style>
  <w:style w:type="paragraph" w:styleId="Caption">
    <w:name w:val="caption"/>
    <w:basedOn w:val="Normal"/>
    <w:next w:val="Normal"/>
    <w:uiPriority w:val="35"/>
    <w:unhideWhenUsed/>
    <w:qFormat/>
    <w:rsid w:val="6713A3A1"/>
    <w:pPr>
      <w:ind w:firstLine="720"/>
      <w:jc w:val="both"/>
    </w:pPr>
    <w:rPr>
      <w:rFonts w:eastAsia="Times New Roman" w:cs="Times New Roman"/>
      <w:i/>
      <w:iCs/>
      <w:color w:val="A7A7A7" w:themeColor="text2"/>
      <w:sz w:val="18"/>
      <w:szCs w:val="18"/>
    </w:rPr>
  </w:style>
  <w:style w:type="paragraph" w:customStyle="1" w:styleId="MDPI31text">
    <w:name w:val="MDPI_3.1_text"/>
    <w:qFormat/>
    <w:rsid w:val="004D1EA2"/>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228" w:lineRule="auto"/>
      <w:ind w:left="2608" w:firstLine="425"/>
      <w:jc w:val="both"/>
    </w:pPr>
    <w:rPr>
      <w:rFonts w:ascii="Palatino Linotype" w:eastAsia="Times New Roman" w:hAnsi="Palatino Linotype"/>
      <w:snapToGrid w:val="0"/>
      <w:color w:val="000000"/>
      <w:szCs w:val="22"/>
      <w:bdr w:val="none" w:sz="0" w:space="0" w:color="auto"/>
      <w:lang w:eastAsia="de-DE" w:bidi="en-US"/>
    </w:rPr>
  </w:style>
  <w:style w:type="character" w:customStyle="1" w:styleId="cf01">
    <w:name w:val="cf01"/>
    <w:basedOn w:val="DefaultParagraphFont"/>
    <w:rsid w:val="004B0977"/>
    <w:rPr>
      <w:rFonts w:ascii="Segoe UI" w:hAnsi="Segoe UI" w:cs="Segoe UI" w:hint="default"/>
      <w:sz w:val="18"/>
      <w:szCs w:val="18"/>
    </w:rPr>
  </w:style>
  <w:style w:type="paragraph" w:customStyle="1" w:styleId="Tabletext">
    <w:name w:val="Table text"/>
    <w:basedOn w:val="Normal"/>
    <w:uiPriority w:val="6"/>
    <w:qFormat/>
    <w:rsid w:val="6713A3A1"/>
    <w:pPr>
      <w:keepLines/>
      <w:spacing w:after="0"/>
      <w:jc w:val="both"/>
    </w:pPr>
    <w:rPr>
      <w:rFonts w:eastAsia="Times New Roman" w:cs="Times New Roman"/>
      <w:color w:val="auto"/>
      <w:sz w:val="20"/>
      <w:szCs w:val="20"/>
    </w:rPr>
  </w:style>
  <w:style w:type="paragraph" w:customStyle="1" w:styleId="StyleTabletextLeft">
    <w:name w:val="Style Table text + Left"/>
    <w:basedOn w:val="Tabletext"/>
    <w:rsid w:val="6713A3A1"/>
    <w:pPr>
      <w:spacing w:line="220" w:lineRule="exact"/>
      <w:jc w:val="left"/>
    </w:pPr>
  </w:style>
  <w:style w:type="paragraph" w:customStyle="1" w:styleId="Tablefigendmatter">
    <w:name w:val="Table/fig end matter"/>
    <w:basedOn w:val="Tabletext"/>
    <w:uiPriority w:val="7"/>
    <w:qFormat/>
    <w:rsid w:val="6713A3A1"/>
    <w:pPr>
      <w:spacing w:before="120" w:after="240"/>
    </w:pPr>
  </w:style>
  <w:style w:type="paragraph" w:styleId="Bibliography">
    <w:name w:val="Bibliography"/>
    <w:basedOn w:val="Normal"/>
    <w:next w:val="Normal"/>
    <w:uiPriority w:val="37"/>
    <w:unhideWhenUsed/>
    <w:rsid w:val="6713A3A1"/>
    <w:pPr>
      <w:spacing w:after="0"/>
      <w:ind w:left="720" w:hanging="720"/>
    </w:pPr>
  </w:style>
  <w:style w:type="character" w:styleId="FollowedHyperlink">
    <w:name w:val="FollowedHyperlink"/>
    <w:basedOn w:val="DefaultParagraphFont"/>
    <w:uiPriority w:val="99"/>
    <w:semiHidden/>
    <w:unhideWhenUsed/>
    <w:rsid w:val="005C031C"/>
    <w:rPr>
      <w:color w:val="000000" w:themeColor="followedHyperlink"/>
      <w:u w:val="single"/>
    </w:rPr>
  </w:style>
  <w:style w:type="character" w:styleId="Mention">
    <w:name w:val="Mention"/>
    <w:basedOn w:val="DefaultParagraphFont"/>
    <w:uiPriority w:val="99"/>
    <w:unhideWhenUsed/>
    <w:rsid w:val="006A1904"/>
    <w:rPr>
      <w:color w:val="2B579A"/>
      <w:shd w:val="clear" w:color="auto" w:fill="E1DFDD"/>
    </w:rPr>
  </w:style>
  <w:style w:type="paragraph" w:customStyle="1" w:styleId="pf0">
    <w:name w:val="pf0"/>
    <w:basedOn w:val="Normal"/>
    <w:rsid w:val="6713A3A1"/>
    <w:pPr>
      <w:spacing w:beforeAutospacing="1" w:afterAutospacing="1"/>
    </w:pPr>
    <w:rPr>
      <w:rFonts w:ascii="Times New Roman" w:eastAsia="Times New Roman" w:hAnsi="Times New Roman" w:cs="Times New Roman"/>
      <w:color w:val="auto"/>
      <w:sz w:val="24"/>
      <w:szCs w:val="24"/>
    </w:rPr>
  </w:style>
  <w:style w:type="paragraph" w:styleId="Title">
    <w:name w:val="Title"/>
    <w:basedOn w:val="Normal"/>
    <w:next w:val="Normal"/>
    <w:link w:val="TitleChar"/>
    <w:uiPriority w:val="10"/>
    <w:qFormat/>
    <w:rsid w:val="6713A3A1"/>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713A3A1"/>
    <w:rPr>
      <w:rFonts w:eastAsiaTheme="minorEastAsia"/>
      <w:color w:val="5A5A5A"/>
    </w:rPr>
  </w:style>
  <w:style w:type="paragraph" w:styleId="Quote">
    <w:name w:val="Quote"/>
    <w:basedOn w:val="Normal"/>
    <w:next w:val="Normal"/>
    <w:link w:val="QuoteChar"/>
    <w:uiPriority w:val="29"/>
    <w:qFormat/>
    <w:rsid w:val="6713A3A1"/>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713A3A1"/>
    <w:pPr>
      <w:spacing w:before="360" w:after="360"/>
      <w:ind w:left="864" w:right="864"/>
      <w:jc w:val="center"/>
    </w:pPr>
    <w:rPr>
      <w:i/>
      <w:iCs/>
      <w:color w:val="92C956" w:themeColor="accent1"/>
    </w:rPr>
  </w:style>
  <w:style w:type="character" w:customStyle="1" w:styleId="Heading4Char">
    <w:name w:val="Heading 4 Char"/>
    <w:basedOn w:val="DefaultParagraphFont"/>
    <w:link w:val="Heading4"/>
    <w:uiPriority w:val="9"/>
    <w:rsid w:val="6713A3A1"/>
    <w:rPr>
      <w:rFonts w:asciiTheme="majorHAnsi" w:eastAsiaTheme="majorEastAsia" w:hAnsiTheme="majorHAnsi" w:cstheme="majorBidi"/>
      <w:i/>
      <w:iCs/>
      <w:noProof w:val="0"/>
      <w:color w:val="6DA234" w:themeColor="accent1" w:themeShade="BF"/>
      <w:lang w:val="en-US"/>
    </w:rPr>
  </w:style>
  <w:style w:type="character" w:customStyle="1" w:styleId="Heading5Char">
    <w:name w:val="Heading 5 Char"/>
    <w:basedOn w:val="DefaultParagraphFont"/>
    <w:link w:val="Heading5"/>
    <w:uiPriority w:val="9"/>
    <w:rsid w:val="6713A3A1"/>
    <w:rPr>
      <w:rFonts w:asciiTheme="majorHAnsi" w:eastAsiaTheme="majorEastAsia" w:hAnsiTheme="majorHAnsi" w:cstheme="majorBidi"/>
      <w:noProof w:val="0"/>
      <w:color w:val="6DA234" w:themeColor="accent1" w:themeShade="BF"/>
      <w:lang w:val="en-US"/>
    </w:rPr>
  </w:style>
  <w:style w:type="character" w:customStyle="1" w:styleId="Heading6Char">
    <w:name w:val="Heading 6 Char"/>
    <w:basedOn w:val="DefaultParagraphFont"/>
    <w:link w:val="Heading6"/>
    <w:uiPriority w:val="9"/>
    <w:rsid w:val="6713A3A1"/>
    <w:rPr>
      <w:rFonts w:asciiTheme="majorHAnsi" w:eastAsiaTheme="majorEastAsia" w:hAnsiTheme="majorHAnsi" w:cstheme="majorBidi"/>
      <w:noProof w:val="0"/>
      <w:color w:val="486C22"/>
      <w:lang w:val="en-US"/>
    </w:rPr>
  </w:style>
  <w:style w:type="character" w:customStyle="1" w:styleId="Heading7Char">
    <w:name w:val="Heading 7 Char"/>
    <w:basedOn w:val="DefaultParagraphFont"/>
    <w:link w:val="Heading7"/>
    <w:uiPriority w:val="9"/>
    <w:rsid w:val="6713A3A1"/>
    <w:rPr>
      <w:rFonts w:asciiTheme="majorHAnsi" w:eastAsiaTheme="majorEastAsia" w:hAnsiTheme="majorHAnsi" w:cstheme="majorBidi"/>
      <w:i/>
      <w:iCs/>
      <w:noProof w:val="0"/>
      <w:color w:val="486C22"/>
      <w:lang w:val="en-US"/>
    </w:rPr>
  </w:style>
  <w:style w:type="character" w:customStyle="1" w:styleId="Heading8Char">
    <w:name w:val="Heading 8 Char"/>
    <w:basedOn w:val="DefaultParagraphFont"/>
    <w:link w:val="Heading8"/>
    <w:uiPriority w:val="9"/>
    <w:rsid w:val="6713A3A1"/>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713A3A1"/>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713A3A1"/>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713A3A1"/>
    <w:rPr>
      <w:rFonts w:ascii="Times New Roman" w:eastAsiaTheme="minorEastAsia" w:hAnsi="Times New Roman" w:cs="Times New Roman"/>
      <w:noProof w:val="0"/>
      <w:color w:val="5A5A5A"/>
      <w:lang w:val="en-US"/>
    </w:rPr>
  </w:style>
  <w:style w:type="character" w:customStyle="1" w:styleId="QuoteChar">
    <w:name w:val="Quote Char"/>
    <w:basedOn w:val="DefaultParagraphFont"/>
    <w:link w:val="Quote"/>
    <w:uiPriority w:val="29"/>
    <w:rsid w:val="6713A3A1"/>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713A3A1"/>
    <w:rPr>
      <w:i/>
      <w:iCs/>
      <w:noProof w:val="0"/>
      <w:color w:val="92C956" w:themeColor="accent1"/>
      <w:lang w:val="en-US"/>
    </w:rPr>
  </w:style>
  <w:style w:type="paragraph" w:styleId="TOC4">
    <w:name w:val="toc 4"/>
    <w:basedOn w:val="Normal"/>
    <w:next w:val="Normal"/>
    <w:uiPriority w:val="39"/>
    <w:unhideWhenUsed/>
    <w:rsid w:val="6713A3A1"/>
    <w:pPr>
      <w:spacing w:after="100"/>
      <w:ind w:left="660"/>
    </w:pPr>
  </w:style>
  <w:style w:type="paragraph" w:styleId="TOC5">
    <w:name w:val="toc 5"/>
    <w:basedOn w:val="Normal"/>
    <w:next w:val="Normal"/>
    <w:uiPriority w:val="39"/>
    <w:unhideWhenUsed/>
    <w:rsid w:val="6713A3A1"/>
    <w:pPr>
      <w:spacing w:after="100"/>
      <w:ind w:left="880"/>
    </w:pPr>
  </w:style>
  <w:style w:type="paragraph" w:styleId="TOC6">
    <w:name w:val="toc 6"/>
    <w:basedOn w:val="Normal"/>
    <w:next w:val="Normal"/>
    <w:uiPriority w:val="39"/>
    <w:unhideWhenUsed/>
    <w:rsid w:val="6713A3A1"/>
    <w:pPr>
      <w:spacing w:after="100"/>
      <w:ind w:left="1100"/>
    </w:pPr>
  </w:style>
  <w:style w:type="paragraph" w:styleId="TOC7">
    <w:name w:val="toc 7"/>
    <w:basedOn w:val="Normal"/>
    <w:next w:val="Normal"/>
    <w:uiPriority w:val="39"/>
    <w:unhideWhenUsed/>
    <w:rsid w:val="6713A3A1"/>
    <w:pPr>
      <w:spacing w:after="100"/>
      <w:ind w:left="1320"/>
    </w:pPr>
  </w:style>
  <w:style w:type="paragraph" w:styleId="TOC8">
    <w:name w:val="toc 8"/>
    <w:basedOn w:val="Normal"/>
    <w:next w:val="Normal"/>
    <w:uiPriority w:val="39"/>
    <w:unhideWhenUsed/>
    <w:rsid w:val="6713A3A1"/>
    <w:pPr>
      <w:spacing w:after="100"/>
      <w:ind w:left="1540"/>
    </w:pPr>
  </w:style>
  <w:style w:type="paragraph" w:styleId="TOC9">
    <w:name w:val="toc 9"/>
    <w:basedOn w:val="Normal"/>
    <w:next w:val="Normal"/>
    <w:uiPriority w:val="39"/>
    <w:unhideWhenUsed/>
    <w:rsid w:val="6713A3A1"/>
    <w:pPr>
      <w:spacing w:after="100"/>
      <w:ind w:left="1760"/>
    </w:pPr>
  </w:style>
  <w:style w:type="paragraph" w:styleId="EndnoteText">
    <w:name w:val="endnote text"/>
    <w:basedOn w:val="Normal"/>
    <w:link w:val="EndnoteTextChar"/>
    <w:uiPriority w:val="99"/>
    <w:semiHidden/>
    <w:unhideWhenUsed/>
    <w:rsid w:val="6713A3A1"/>
    <w:pPr>
      <w:spacing w:after="0"/>
    </w:pPr>
    <w:rPr>
      <w:sz w:val="20"/>
      <w:szCs w:val="20"/>
    </w:rPr>
  </w:style>
  <w:style w:type="character" w:customStyle="1" w:styleId="EndnoteTextChar">
    <w:name w:val="Endnote Text Char"/>
    <w:basedOn w:val="DefaultParagraphFont"/>
    <w:link w:val="EndnoteText"/>
    <w:uiPriority w:val="99"/>
    <w:semiHidden/>
    <w:rsid w:val="6713A3A1"/>
    <w:rPr>
      <w:noProof w:val="0"/>
      <w:sz w:val="20"/>
      <w:szCs w:val="20"/>
      <w:lang w:val="en-US"/>
    </w:rPr>
  </w:style>
  <w:style w:type="character" w:customStyle="1" w:styleId="normaltextrun">
    <w:name w:val="normaltextrun"/>
    <w:basedOn w:val="DefaultParagraphFont"/>
    <w:rsid w:val="00BD5B84"/>
  </w:style>
  <w:style w:type="character" w:styleId="EndnoteReference">
    <w:name w:val="endnote reference"/>
    <w:basedOn w:val="DefaultParagraphFont"/>
    <w:uiPriority w:val="99"/>
    <w:semiHidden/>
    <w:unhideWhenUsed/>
    <w:rsid w:val="00DF6425"/>
    <w:rPr>
      <w:vertAlign w:val="superscript"/>
    </w:rPr>
  </w:style>
  <w:style w:type="character" w:customStyle="1" w:styleId="eop">
    <w:name w:val="eop"/>
    <w:basedOn w:val="DefaultParagraphFont"/>
    <w:rsid w:val="005A7B66"/>
  </w:style>
  <w:style w:type="paragraph" w:customStyle="1" w:styleId="paragraph">
    <w:name w:val="paragraph"/>
    <w:basedOn w:val="Normal"/>
    <w:rsid w:val="005A7B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table" w:customStyle="1" w:styleId="AlternateRow">
    <w:name w:val="Alternate Row"/>
    <w:basedOn w:val="TableNormal"/>
    <w:uiPriority w:val="99"/>
    <w:rsid w:val="00C561B4"/>
    <w:pPr>
      <w:pBdr>
        <w:top w:val="none" w:sz="0" w:space="0" w:color="auto"/>
        <w:left w:val="none" w:sz="0" w:space="0" w:color="auto"/>
        <w:bottom w:val="none" w:sz="0" w:space="0" w:color="auto"/>
        <w:right w:val="none" w:sz="0" w:space="0" w:color="auto"/>
        <w:between w:val="none" w:sz="0" w:space="0" w:color="auto"/>
        <w:bar w:val="none" w:sz="0" w:color="auto"/>
      </w:pBdr>
    </w:pPr>
    <w:rPr>
      <w:rFonts w:asciiTheme="majorHAnsi" w:eastAsiaTheme="majorEastAsia" w:hAnsiTheme="majorHAnsi" w:cstheme="majorBidi"/>
      <w:color w:val="000000" w:themeColor="text1"/>
      <w:sz w:val="22"/>
      <w:szCs w:val="22"/>
      <w:bdr w:val="none" w:sz="0" w:space="0" w:color="auto"/>
    </w:rPr>
    <w:tblPr>
      <w:tblStyleRowBandSize w:val="1"/>
      <w:tblBorders>
        <w:insideH w:val="single" w:sz="6" w:space="0" w:color="535353" w:themeColor="background2"/>
        <w:insideV w:val="single" w:sz="6" w:space="0" w:color="535353" w:themeColor="background2"/>
      </w:tblBorders>
      <w:tblCellMar>
        <w:top w:w="115" w:type="dxa"/>
        <w:bottom w:w="115" w:type="dxa"/>
      </w:tblCellMar>
    </w:tblPr>
    <w:tcPr>
      <w:shd w:val="clear" w:color="auto" w:fill="auto"/>
    </w:tcPr>
    <w:tblStylePr w:type="firstRow">
      <w:tblPr/>
      <w:tcPr>
        <w:shd w:val="clear" w:color="auto" w:fill="0695E5" w:themeFill="accent3"/>
      </w:tcPr>
    </w:tblStylePr>
    <w:tblStylePr w:type="band1Horz">
      <w:tblPr/>
      <w:tcPr>
        <w:shd w:val="clear" w:color="auto" w:fill="FFFFFF" w:themeFill="background1"/>
      </w:tcPr>
    </w:tblStylePr>
    <w:tblStylePr w:type="band2Horz">
      <w:tblPr/>
      <w:tcPr>
        <w:shd w:val="clear" w:color="auto" w:fill="DBEAF3"/>
      </w:tcPr>
    </w:tblStylePr>
  </w:style>
  <w:style w:type="paragraph" w:customStyle="1" w:styleId="TableFigureNumber0">
    <w:name w:val="Table/Figure Number"/>
    <w:qFormat/>
    <w:rsid w:val="00C561B4"/>
    <w:pPr>
      <w:pBdr>
        <w:top w:val="none" w:sz="0" w:space="0" w:color="auto"/>
        <w:left w:val="none" w:sz="0" w:space="0" w:color="auto"/>
        <w:bottom w:val="none" w:sz="0" w:space="0" w:color="auto"/>
        <w:right w:val="none" w:sz="0" w:space="0" w:color="auto"/>
        <w:between w:val="none" w:sz="0" w:space="0" w:color="auto"/>
        <w:bar w:val="none" w:sz="0" w:color="auto"/>
      </w:pBdr>
      <w:spacing w:before="240" w:line="312" w:lineRule="auto"/>
    </w:pPr>
    <w:rPr>
      <w:rFonts w:ascii="Calibri" w:eastAsiaTheme="majorEastAsia" w:hAnsi="Calibri" w:cs="Calibri"/>
      <w:caps/>
      <w:color w:val="0695E5" w:themeColor="accent3"/>
      <w:szCs w:val="24"/>
      <w:bdr w:val="none" w:sz="0" w:space="0" w:color="auto"/>
    </w:rPr>
  </w:style>
  <w:style w:type="paragraph" w:customStyle="1" w:styleId="TableFigureTitle">
    <w:name w:val="Table/Figure Title"/>
    <w:qFormat/>
    <w:rsid w:val="00C561B4"/>
    <w:pPr>
      <w:pBdr>
        <w:top w:val="none" w:sz="0" w:space="0" w:color="auto"/>
        <w:left w:val="none" w:sz="0" w:space="0" w:color="auto"/>
        <w:bottom w:val="none" w:sz="0" w:space="0" w:color="auto"/>
        <w:right w:val="none" w:sz="0" w:space="0" w:color="auto"/>
        <w:between w:val="none" w:sz="0" w:space="0" w:color="auto"/>
        <w:bar w:val="none" w:sz="0" w:color="auto"/>
      </w:pBdr>
      <w:spacing w:line="312" w:lineRule="auto"/>
    </w:pPr>
    <w:rPr>
      <w:rFonts w:ascii="Calibri" w:eastAsiaTheme="majorEastAsia" w:hAnsi="Calibri" w:cs="Calibri"/>
      <w:b/>
      <w:sz w:val="26"/>
      <w:szCs w:val="24"/>
      <w:bdr w:val="none" w:sz="0" w:space="0" w:color="auto"/>
    </w:rPr>
  </w:style>
  <w:style w:type="table" w:styleId="GridTable4">
    <w:name w:val="Grid Table 4"/>
    <w:basedOn w:val="TableNormal"/>
    <w:uiPriority w:val="49"/>
    <w:rsid w:val="00E367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92220">
      <w:bodyDiv w:val="1"/>
      <w:marLeft w:val="0"/>
      <w:marRight w:val="0"/>
      <w:marTop w:val="0"/>
      <w:marBottom w:val="0"/>
      <w:divBdr>
        <w:top w:val="none" w:sz="0" w:space="0" w:color="auto"/>
        <w:left w:val="none" w:sz="0" w:space="0" w:color="auto"/>
        <w:bottom w:val="none" w:sz="0" w:space="0" w:color="auto"/>
        <w:right w:val="none" w:sz="0" w:space="0" w:color="auto"/>
      </w:divBdr>
    </w:div>
    <w:div w:id="62333473">
      <w:bodyDiv w:val="1"/>
      <w:marLeft w:val="0"/>
      <w:marRight w:val="0"/>
      <w:marTop w:val="0"/>
      <w:marBottom w:val="0"/>
      <w:divBdr>
        <w:top w:val="none" w:sz="0" w:space="0" w:color="auto"/>
        <w:left w:val="none" w:sz="0" w:space="0" w:color="auto"/>
        <w:bottom w:val="none" w:sz="0" w:space="0" w:color="auto"/>
        <w:right w:val="none" w:sz="0" w:space="0" w:color="auto"/>
      </w:divBdr>
    </w:div>
    <w:div w:id="154298317">
      <w:bodyDiv w:val="1"/>
      <w:marLeft w:val="0"/>
      <w:marRight w:val="0"/>
      <w:marTop w:val="0"/>
      <w:marBottom w:val="0"/>
      <w:divBdr>
        <w:top w:val="none" w:sz="0" w:space="0" w:color="auto"/>
        <w:left w:val="none" w:sz="0" w:space="0" w:color="auto"/>
        <w:bottom w:val="none" w:sz="0" w:space="0" w:color="auto"/>
        <w:right w:val="none" w:sz="0" w:space="0" w:color="auto"/>
      </w:divBdr>
    </w:div>
    <w:div w:id="214051064">
      <w:bodyDiv w:val="1"/>
      <w:marLeft w:val="0"/>
      <w:marRight w:val="0"/>
      <w:marTop w:val="0"/>
      <w:marBottom w:val="0"/>
      <w:divBdr>
        <w:top w:val="none" w:sz="0" w:space="0" w:color="auto"/>
        <w:left w:val="none" w:sz="0" w:space="0" w:color="auto"/>
        <w:bottom w:val="none" w:sz="0" w:space="0" w:color="auto"/>
        <w:right w:val="none" w:sz="0" w:space="0" w:color="auto"/>
      </w:divBdr>
    </w:div>
    <w:div w:id="655305760">
      <w:bodyDiv w:val="1"/>
      <w:marLeft w:val="0"/>
      <w:marRight w:val="0"/>
      <w:marTop w:val="0"/>
      <w:marBottom w:val="0"/>
      <w:divBdr>
        <w:top w:val="none" w:sz="0" w:space="0" w:color="auto"/>
        <w:left w:val="none" w:sz="0" w:space="0" w:color="auto"/>
        <w:bottom w:val="none" w:sz="0" w:space="0" w:color="auto"/>
        <w:right w:val="none" w:sz="0" w:space="0" w:color="auto"/>
      </w:divBdr>
    </w:div>
    <w:div w:id="1079670720">
      <w:marLeft w:val="0"/>
      <w:marRight w:val="0"/>
      <w:marTop w:val="0"/>
      <w:marBottom w:val="0"/>
      <w:divBdr>
        <w:top w:val="none" w:sz="0" w:space="0" w:color="auto"/>
        <w:left w:val="none" w:sz="0" w:space="0" w:color="auto"/>
        <w:bottom w:val="none" w:sz="0" w:space="0" w:color="auto"/>
        <w:right w:val="none" w:sz="0" w:space="0" w:color="auto"/>
      </w:divBdr>
    </w:div>
    <w:div w:id="1155954647">
      <w:bodyDiv w:val="1"/>
      <w:marLeft w:val="0"/>
      <w:marRight w:val="0"/>
      <w:marTop w:val="0"/>
      <w:marBottom w:val="0"/>
      <w:divBdr>
        <w:top w:val="none" w:sz="0" w:space="0" w:color="auto"/>
        <w:left w:val="none" w:sz="0" w:space="0" w:color="auto"/>
        <w:bottom w:val="none" w:sz="0" w:space="0" w:color="auto"/>
        <w:right w:val="none" w:sz="0" w:space="0" w:color="auto"/>
      </w:divBdr>
    </w:div>
    <w:div w:id="1190725434">
      <w:bodyDiv w:val="1"/>
      <w:marLeft w:val="0"/>
      <w:marRight w:val="0"/>
      <w:marTop w:val="0"/>
      <w:marBottom w:val="0"/>
      <w:divBdr>
        <w:top w:val="none" w:sz="0" w:space="0" w:color="auto"/>
        <w:left w:val="none" w:sz="0" w:space="0" w:color="auto"/>
        <w:bottom w:val="none" w:sz="0" w:space="0" w:color="auto"/>
        <w:right w:val="none" w:sz="0" w:space="0" w:color="auto"/>
      </w:divBdr>
    </w:div>
    <w:div w:id="1494680556">
      <w:bodyDiv w:val="1"/>
      <w:marLeft w:val="0"/>
      <w:marRight w:val="0"/>
      <w:marTop w:val="0"/>
      <w:marBottom w:val="0"/>
      <w:divBdr>
        <w:top w:val="none" w:sz="0" w:space="0" w:color="auto"/>
        <w:left w:val="none" w:sz="0" w:space="0" w:color="auto"/>
        <w:bottom w:val="none" w:sz="0" w:space="0" w:color="auto"/>
        <w:right w:val="none" w:sz="0" w:space="0" w:color="auto"/>
      </w:divBdr>
    </w:div>
    <w:div w:id="1701201173">
      <w:bodyDiv w:val="1"/>
      <w:marLeft w:val="0"/>
      <w:marRight w:val="0"/>
      <w:marTop w:val="0"/>
      <w:marBottom w:val="0"/>
      <w:divBdr>
        <w:top w:val="none" w:sz="0" w:space="0" w:color="auto"/>
        <w:left w:val="none" w:sz="0" w:space="0" w:color="auto"/>
        <w:bottom w:val="none" w:sz="0" w:space="0" w:color="auto"/>
        <w:right w:val="none" w:sz="0" w:space="0" w:color="auto"/>
      </w:divBdr>
      <w:divsChild>
        <w:div w:id="1307590279">
          <w:marLeft w:val="0"/>
          <w:marRight w:val="0"/>
          <w:marTop w:val="0"/>
          <w:marBottom w:val="0"/>
          <w:divBdr>
            <w:top w:val="none" w:sz="0" w:space="0" w:color="auto"/>
            <w:left w:val="none" w:sz="0" w:space="0" w:color="auto"/>
            <w:bottom w:val="none" w:sz="0" w:space="0" w:color="auto"/>
            <w:right w:val="none" w:sz="0" w:space="0" w:color="auto"/>
          </w:divBdr>
          <w:divsChild>
            <w:div w:id="94636024">
              <w:marLeft w:val="0"/>
              <w:marRight w:val="0"/>
              <w:marTop w:val="0"/>
              <w:marBottom w:val="0"/>
              <w:divBdr>
                <w:top w:val="none" w:sz="0" w:space="0" w:color="auto"/>
                <w:left w:val="none" w:sz="0" w:space="0" w:color="auto"/>
                <w:bottom w:val="none" w:sz="0" w:space="0" w:color="auto"/>
                <w:right w:val="none" w:sz="0" w:space="0" w:color="auto"/>
              </w:divBdr>
              <w:divsChild>
                <w:div w:id="289211442">
                  <w:marLeft w:val="0"/>
                  <w:marRight w:val="0"/>
                  <w:marTop w:val="0"/>
                  <w:marBottom w:val="0"/>
                  <w:divBdr>
                    <w:top w:val="none" w:sz="0" w:space="0" w:color="auto"/>
                    <w:left w:val="none" w:sz="0" w:space="0" w:color="auto"/>
                    <w:bottom w:val="none" w:sz="0" w:space="0" w:color="auto"/>
                    <w:right w:val="none" w:sz="0" w:space="0" w:color="auto"/>
                  </w:divBdr>
                  <w:divsChild>
                    <w:div w:id="449668894">
                      <w:marLeft w:val="0"/>
                      <w:marRight w:val="0"/>
                      <w:marTop w:val="0"/>
                      <w:marBottom w:val="0"/>
                      <w:divBdr>
                        <w:top w:val="none" w:sz="0" w:space="0" w:color="auto"/>
                        <w:left w:val="none" w:sz="0" w:space="0" w:color="auto"/>
                        <w:bottom w:val="none" w:sz="0" w:space="0" w:color="auto"/>
                        <w:right w:val="none" w:sz="0" w:space="0" w:color="auto"/>
                      </w:divBdr>
                      <w:divsChild>
                        <w:div w:id="207473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2818">
              <w:marLeft w:val="0"/>
              <w:marRight w:val="0"/>
              <w:marTop w:val="0"/>
              <w:marBottom w:val="0"/>
              <w:divBdr>
                <w:top w:val="none" w:sz="0" w:space="0" w:color="auto"/>
                <w:left w:val="none" w:sz="0" w:space="0" w:color="auto"/>
                <w:bottom w:val="none" w:sz="0" w:space="0" w:color="auto"/>
                <w:right w:val="none" w:sz="0" w:space="0" w:color="auto"/>
              </w:divBdr>
            </w:div>
            <w:div w:id="406420774">
              <w:marLeft w:val="0"/>
              <w:marRight w:val="0"/>
              <w:marTop w:val="0"/>
              <w:marBottom w:val="0"/>
              <w:divBdr>
                <w:top w:val="none" w:sz="0" w:space="0" w:color="auto"/>
                <w:left w:val="none" w:sz="0" w:space="0" w:color="auto"/>
                <w:bottom w:val="none" w:sz="0" w:space="0" w:color="auto"/>
                <w:right w:val="none" w:sz="0" w:space="0" w:color="auto"/>
              </w:divBdr>
              <w:divsChild>
                <w:div w:id="761605971">
                  <w:marLeft w:val="0"/>
                  <w:marRight w:val="0"/>
                  <w:marTop w:val="0"/>
                  <w:marBottom w:val="0"/>
                  <w:divBdr>
                    <w:top w:val="none" w:sz="0" w:space="0" w:color="auto"/>
                    <w:left w:val="none" w:sz="0" w:space="0" w:color="auto"/>
                    <w:bottom w:val="none" w:sz="0" w:space="0" w:color="auto"/>
                    <w:right w:val="none" w:sz="0" w:space="0" w:color="auto"/>
                  </w:divBdr>
                  <w:divsChild>
                    <w:div w:id="54664505">
                      <w:marLeft w:val="0"/>
                      <w:marRight w:val="0"/>
                      <w:marTop w:val="0"/>
                      <w:marBottom w:val="0"/>
                      <w:divBdr>
                        <w:top w:val="none" w:sz="0" w:space="0" w:color="auto"/>
                        <w:left w:val="none" w:sz="0" w:space="0" w:color="auto"/>
                        <w:bottom w:val="none" w:sz="0" w:space="0" w:color="auto"/>
                        <w:right w:val="none" w:sz="0" w:space="0" w:color="auto"/>
                      </w:divBdr>
                      <w:divsChild>
                        <w:div w:id="9838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96624">
              <w:marLeft w:val="0"/>
              <w:marRight w:val="0"/>
              <w:marTop w:val="0"/>
              <w:marBottom w:val="0"/>
              <w:divBdr>
                <w:top w:val="none" w:sz="0" w:space="0" w:color="auto"/>
                <w:left w:val="none" w:sz="0" w:space="0" w:color="auto"/>
                <w:bottom w:val="none" w:sz="0" w:space="0" w:color="auto"/>
                <w:right w:val="none" w:sz="0" w:space="0" w:color="auto"/>
              </w:divBdr>
              <w:divsChild>
                <w:div w:id="1461070098">
                  <w:marLeft w:val="0"/>
                  <w:marRight w:val="0"/>
                  <w:marTop w:val="0"/>
                  <w:marBottom w:val="0"/>
                  <w:divBdr>
                    <w:top w:val="none" w:sz="0" w:space="0" w:color="auto"/>
                    <w:left w:val="none" w:sz="0" w:space="0" w:color="auto"/>
                    <w:bottom w:val="none" w:sz="0" w:space="0" w:color="auto"/>
                    <w:right w:val="none" w:sz="0" w:space="0" w:color="auto"/>
                  </w:divBdr>
                  <w:divsChild>
                    <w:div w:id="934947278">
                      <w:marLeft w:val="0"/>
                      <w:marRight w:val="0"/>
                      <w:marTop w:val="0"/>
                      <w:marBottom w:val="0"/>
                      <w:divBdr>
                        <w:top w:val="none" w:sz="0" w:space="0" w:color="auto"/>
                        <w:left w:val="none" w:sz="0" w:space="0" w:color="auto"/>
                        <w:bottom w:val="none" w:sz="0" w:space="0" w:color="auto"/>
                        <w:right w:val="none" w:sz="0" w:space="0" w:color="auto"/>
                      </w:divBdr>
                      <w:divsChild>
                        <w:div w:id="10709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1247">
              <w:marLeft w:val="0"/>
              <w:marRight w:val="0"/>
              <w:marTop w:val="0"/>
              <w:marBottom w:val="0"/>
              <w:divBdr>
                <w:top w:val="none" w:sz="0" w:space="0" w:color="auto"/>
                <w:left w:val="none" w:sz="0" w:space="0" w:color="auto"/>
                <w:bottom w:val="none" w:sz="0" w:space="0" w:color="auto"/>
                <w:right w:val="none" w:sz="0" w:space="0" w:color="auto"/>
              </w:divBdr>
              <w:divsChild>
                <w:div w:id="1736779616">
                  <w:marLeft w:val="0"/>
                  <w:marRight w:val="0"/>
                  <w:marTop w:val="0"/>
                  <w:marBottom w:val="0"/>
                  <w:divBdr>
                    <w:top w:val="none" w:sz="0" w:space="0" w:color="auto"/>
                    <w:left w:val="none" w:sz="0" w:space="0" w:color="auto"/>
                    <w:bottom w:val="none" w:sz="0" w:space="0" w:color="auto"/>
                    <w:right w:val="none" w:sz="0" w:space="0" w:color="auto"/>
                  </w:divBdr>
                  <w:divsChild>
                    <w:div w:id="1913272046">
                      <w:marLeft w:val="0"/>
                      <w:marRight w:val="0"/>
                      <w:marTop w:val="0"/>
                      <w:marBottom w:val="0"/>
                      <w:divBdr>
                        <w:top w:val="none" w:sz="0" w:space="0" w:color="auto"/>
                        <w:left w:val="none" w:sz="0" w:space="0" w:color="auto"/>
                        <w:bottom w:val="none" w:sz="0" w:space="0" w:color="auto"/>
                        <w:right w:val="none" w:sz="0" w:space="0" w:color="auto"/>
                      </w:divBdr>
                      <w:divsChild>
                        <w:div w:id="20284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00669">
              <w:marLeft w:val="0"/>
              <w:marRight w:val="0"/>
              <w:marTop w:val="0"/>
              <w:marBottom w:val="0"/>
              <w:divBdr>
                <w:top w:val="none" w:sz="0" w:space="0" w:color="auto"/>
                <w:left w:val="none" w:sz="0" w:space="0" w:color="auto"/>
                <w:bottom w:val="none" w:sz="0" w:space="0" w:color="auto"/>
                <w:right w:val="none" w:sz="0" w:space="0" w:color="auto"/>
              </w:divBdr>
              <w:divsChild>
                <w:div w:id="5838534">
                  <w:marLeft w:val="0"/>
                  <w:marRight w:val="0"/>
                  <w:marTop w:val="0"/>
                  <w:marBottom w:val="0"/>
                  <w:divBdr>
                    <w:top w:val="none" w:sz="0" w:space="0" w:color="auto"/>
                    <w:left w:val="none" w:sz="0" w:space="0" w:color="auto"/>
                    <w:bottom w:val="none" w:sz="0" w:space="0" w:color="auto"/>
                    <w:right w:val="none" w:sz="0" w:space="0" w:color="auto"/>
                  </w:divBdr>
                  <w:divsChild>
                    <w:div w:id="1814132027">
                      <w:marLeft w:val="0"/>
                      <w:marRight w:val="0"/>
                      <w:marTop w:val="0"/>
                      <w:marBottom w:val="0"/>
                      <w:divBdr>
                        <w:top w:val="none" w:sz="0" w:space="0" w:color="auto"/>
                        <w:left w:val="none" w:sz="0" w:space="0" w:color="auto"/>
                        <w:bottom w:val="none" w:sz="0" w:space="0" w:color="auto"/>
                        <w:right w:val="none" w:sz="0" w:space="0" w:color="auto"/>
                      </w:divBdr>
                      <w:divsChild>
                        <w:div w:id="10564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1755">
              <w:marLeft w:val="0"/>
              <w:marRight w:val="0"/>
              <w:marTop w:val="0"/>
              <w:marBottom w:val="0"/>
              <w:divBdr>
                <w:top w:val="none" w:sz="0" w:space="0" w:color="auto"/>
                <w:left w:val="none" w:sz="0" w:space="0" w:color="auto"/>
                <w:bottom w:val="none" w:sz="0" w:space="0" w:color="auto"/>
                <w:right w:val="none" w:sz="0" w:space="0" w:color="auto"/>
              </w:divBdr>
              <w:divsChild>
                <w:div w:id="828062996">
                  <w:marLeft w:val="0"/>
                  <w:marRight w:val="0"/>
                  <w:marTop w:val="0"/>
                  <w:marBottom w:val="0"/>
                  <w:divBdr>
                    <w:top w:val="none" w:sz="0" w:space="0" w:color="auto"/>
                    <w:left w:val="none" w:sz="0" w:space="0" w:color="auto"/>
                    <w:bottom w:val="none" w:sz="0" w:space="0" w:color="auto"/>
                    <w:right w:val="none" w:sz="0" w:space="0" w:color="auto"/>
                  </w:divBdr>
                  <w:divsChild>
                    <w:div w:id="381683347">
                      <w:marLeft w:val="0"/>
                      <w:marRight w:val="0"/>
                      <w:marTop w:val="0"/>
                      <w:marBottom w:val="0"/>
                      <w:divBdr>
                        <w:top w:val="none" w:sz="0" w:space="0" w:color="auto"/>
                        <w:left w:val="none" w:sz="0" w:space="0" w:color="auto"/>
                        <w:bottom w:val="none" w:sz="0" w:space="0" w:color="auto"/>
                        <w:right w:val="none" w:sz="0" w:space="0" w:color="auto"/>
                      </w:divBdr>
                      <w:divsChild>
                        <w:div w:id="15950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0571">
              <w:marLeft w:val="0"/>
              <w:marRight w:val="0"/>
              <w:marTop w:val="0"/>
              <w:marBottom w:val="0"/>
              <w:divBdr>
                <w:top w:val="none" w:sz="0" w:space="0" w:color="auto"/>
                <w:left w:val="none" w:sz="0" w:space="0" w:color="auto"/>
                <w:bottom w:val="none" w:sz="0" w:space="0" w:color="auto"/>
                <w:right w:val="none" w:sz="0" w:space="0" w:color="auto"/>
              </w:divBdr>
              <w:divsChild>
                <w:div w:id="1993482568">
                  <w:marLeft w:val="0"/>
                  <w:marRight w:val="0"/>
                  <w:marTop w:val="0"/>
                  <w:marBottom w:val="0"/>
                  <w:divBdr>
                    <w:top w:val="none" w:sz="0" w:space="0" w:color="auto"/>
                    <w:left w:val="none" w:sz="0" w:space="0" w:color="auto"/>
                    <w:bottom w:val="none" w:sz="0" w:space="0" w:color="auto"/>
                    <w:right w:val="none" w:sz="0" w:space="0" w:color="auto"/>
                  </w:divBdr>
                  <w:divsChild>
                    <w:div w:id="1444882868">
                      <w:marLeft w:val="0"/>
                      <w:marRight w:val="0"/>
                      <w:marTop w:val="0"/>
                      <w:marBottom w:val="0"/>
                      <w:divBdr>
                        <w:top w:val="none" w:sz="0" w:space="0" w:color="auto"/>
                        <w:left w:val="none" w:sz="0" w:space="0" w:color="auto"/>
                        <w:bottom w:val="none" w:sz="0" w:space="0" w:color="auto"/>
                        <w:right w:val="none" w:sz="0" w:space="0" w:color="auto"/>
                      </w:divBdr>
                      <w:divsChild>
                        <w:div w:id="2725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230">
              <w:marLeft w:val="0"/>
              <w:marRight w:val="0"/>
              <w:marTop w:val="0"/>
              <w:marBottom w:val="0"/>
              <w:divBdr>
                <w:top w:val="none" w:sz="0" w:space="0" w:color="auto"/>
                <w:left w:val="none" w:sz="0" w:space="0" w:color="auto"/>
                <w:bottom w:val="none" w:sz="0" w:space="0" w:color="auto"/>
                <w:right w:val="none" w:sz="0" w:space="0" w:color="auto"/>
              </w:divBdr>
              <w:divsChild>
                <w:div w:id="1256207589">
                  <w:marLeft w:val="0"/>
                  <w:marRight w:val="0"/>
                  <w:marTop w:val="0"/>
                  <w:marBottom w:val="0"/>
                  <w:divBdr>
                    <w:top w:val="none" w:sz="0" w:space="0" w:color="auto"/>
                    <w:left w:val="none" w:sz="0" w:space="0" w:color="auto"/>
                    <w:bottom w:val="none" w:sz="0" w:space="0" w:color="auto"/>
                    <w:right w:val="none" w:sz="0" w:space="0" w:color="auto"/>
                  </w:divBdr>
                  <w:divsChild>
                    <w:div w:id="90510413">
                      <w:marLeft w:val="0"/>
                      <w:marRight w:val="0"/>
                      <w:marTop w:val="0"/>
                      <w:marBottom w:val="0"/>
                      <w:divBdr>
                        <w:top w:val="none" w:sz="0" w:space="0" w:color="auto"/>
                        <w:left w:val="none" w:sz="0" w:space="0" w:color="auto"/>
                        <w:bottom w:val="none" w:sz="0" w:space="0" w:color="auto"/>
                        <w:right w:val="none" w:sz="0" w:space="0" w:color="auto"/>
                      </w:divBdr>
                      <w:divsChild>
                        <w:div w:id="19002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3623">
              <w:marLeft w:val="0"/>
              <w:marRight w:val="0"/>
              <w:marTop w:val="0"/>
              <w:marBottom w:val="0"/>
              <w:divBdr>
                <w:top w:val="none" w:sz="0" w:space="0" w:color="auto"/>
                <w:left w:val="none" w:sz="0" w:space="0" w:color="auto"/>
                <w:bottom w:val="none" w:sz="0" w:space="0" w:color="auto"/>
                <w:right w:val="none" w:sz="0" w:space="0" w:color="auto"/>
              </w:divBdr>
              <w:divsChild>
                <w:div w:id="1667123785">
                  <w:marLeft w:val="0"/>
                  <w:marRight w:val="0"/>
                  <w:marTop w:val="0"/>
                  <w:marBottom w:val="0"/>
                  <w:divBdr>
                    <w:top w:val="none" w:sz="0" w:space="0" w:color="auto"/>
                    <w:left w:val="none" w:sz="0" w:space="0" w:color="auto"/>
                    <w:bottom w:val="none" w:sz="0" w:space="0" w:color="auto"/>
                    <w:right w:val="none" w:sz="0" w:space="0" w:color="auto"/>
                  </w:divBdr>
                  <w:divsChild>
                    <w:div w:id="451829736">
                      <w:marLeft w:val="0"/>
                      <w:marRight w:val="0"/>
                      <w:marTop w:val="0"/>
                      <w:marBottom w:val="0"/>
                      <w:divBdr>
                        <w:top w:val="none" w:sz="0" w:space="0" w:color="auto"/>
                        <w:left w:val="none" w:sz="0" w:space="0" w:color="auto"/>
                        <w:bottom w:val="none" w:sz="0" w:space="0" w:color="auto"/>
                        <w:right w:val="none" w:sz="0" w:space="0" w:color="auto"/>
                      </w:divBdr>
                      <w:divsChild>
                        <w:div w:id="11926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4730">
              <w:marLeft w:val="0"/>
              <w:marRight w:val="0"/>
              <w:marTop w:val="0"/>
              <w:marBottom w:val="0"/>
              <w:divBdr>
                <w:top w:val="none" w:sz="0" w:space="0" w:color="auto"/>
                <w:left w:val="none" w:sz="0" w:space="0" w:color="auto"/>
                <w:bottom w:val="none" w:sz="0" w:space="0" w:color="auto"/>
                <w:right w:val="none" w:sz="0" w:space="0" w:color="auto"/>
              </w:divBdr>
              <w:divsChild>
                <w:div w:id="706612417">
                  <w:marLeft w:val="0"/>
                  <w:marRight w:val="0"/>
                  <w:marTop w:val="0"/>
                  <w:marBottom w:val="0"/>
                  <w:divBdr>
                    <w:top w:val="none" w:sz="0" w:space="0" w:color="auto"/>
                    <w:left w:val="none" w:sz="0" w:space="0" w:color="auto"/>
                    <w:bottom w:val="none" w:sz="0" w:space="0" w:color="auto"/>
                    <w:right w:val="none" w:sz="0" w:space="0" w:color="auto"/>
                  </w:divBdr>
                  <w:divsChild>
                    <w:div w:id="349381549">
                      <w:marLeft w:val="0"/>
                      <w:marRight w:val="0"/>
                      <w:marTop w:val="0"/>
                      <w:marBottom w:val="0"/>
                      <w:divBdr>
                        <w:top w:val="none" w:sz="0" w:space="0" w:color="auto"/>
                        <w:left w:val="none" w:sz="0" w:space="0" w:color="auto"/>
                        <w:bottom w:val="none" w:sz="0" w:space="0" w:color="auto"/>
                        <w:right w:val="none" w:sz="0" w:space="0" w:color="auto"/>
                      </w:divBdr>
                      <w:divsChild>
                        <w:div w:id="9578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04560">
              <w:marLeft w:val="0"/>
              <w:marRight w:val="0"/>
              <w:marTop w:val="0"/>
              <w:marBottom w:val="0"/>
              <w:divBdr>
                <w:top w:val="none" w:sz="0" w:space="0" w:color="auto"/>
                <w:left w:val="none" w:sz="0" w:space="0" w:color="auto"/>
                <w:bottom w:val="none" w:sz="0" w:space="0" w:color="auto"/>
                <w:right w:val="none" w:sz="0" w:space="0" w:color="auto"/>
              </w:divBdr>
              <w:divsChild>
                <w:div w:id="1314944391">
                  <w:marLeft w:val="0"/>
                  <w:marRight w:val="0"/>
                  <w:marTop w:val="0"/>
                  <w:marBottom w:val="0"/>
                  <w:divBdr>
                    <w:top w:val="none" w:sz="0" w:space="0" w:color="auto"/>
                    <w:left w:val="none" w:sz="0" w:space="0" w:color="auto"/>
                    <w:bottom w:val="none" w:sz="0" w:space="0" w:color="auto"/>
                    <w:right w:val="none" w:sz="0" w:space="0" w:color="auto"/>
                  </w:divBdr>
                  <w:divsChild>
                    <w:div w:id="443774272">
                      <w:marLeft w:val="0"/>
                      <w:marRight w:val="0"/>
                      <w:marTop w:val="0"/>
                      <w:marBottom w:val="0"/>
                      <w:divBdr>
                        <w:top w:val="none" w:sz="0" w:space="0" w:color="auto"/>
                        <w:left w:val="none" w:sz="0" w:space="0" w:color="auto"/>
                        <w:bottom w:val="none" w:sz="0" w:space="0" w:color="auto"/>
                        <w:right w:val="none" w:sz="0" w:space="0" w:color="auto"/>
                      </w:divBdr>
                      <w:divsChild>
                        <w:div w:id="10877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20417">
              <w:marLeft w:val="0"/>
              <w:marRight w:val="0"/>
              <w:marTop w:val="0"/>
              <w:marBottom w:val="0"/>
              <w:divBdr>
                <w:top w:val="none" w:sz="0" w:space="0" w:color="auto"/>
                <w:left w:val="none" w:sz="0" w:space="0" w:color="auto"/>
                <w:bottom w:val="none" w:sz="0" w:space="0" w:color="auto"/>
                <w:right w:val="none" w:sz="0" w:space="0" w:color="auto"/>
              </w:divBdr>
              <w:divsChild>
                <w:div w:id="1549492714">
                  <w:marLeft w:val="0"/>
                  <w:marRight w:val="0"/>
                  <w:marTop w:val="0"/>
                  <w:marBottom w:val="0"/>
                  <w:divBdr>
                    <w:top w:val="none" w:sz="0" w:space="0" w:color="auto"/>
                    <w:left w:val="none" w:sz="0" w:space="0" w:color="auto"/>
                    <w:bottom w:val="none" w:sz="0" w:space="0" w:color="auto"/>
                    <w:right w:val="none" w:sz="0" w:space="0" w:color="auto"/>
                  </w:divBdr>
                  <w:divsChild>
                    <w:div w:id="1061751934">
                      <w:marLeft w:val="0"/>
                      <w:marRight w:val="0"/>
                      <w:marTop w:val="0"/>
                      <w:marBottom w:val="0"/>
                      <w:divBdr>
                        <w:top w:val="none" w:sz="0" w:space="0" w:color="auto"/>
                        <w:left w:val="none" w:sz="0" w:space="0" w:color="auto"/>
                        <w:bottom w:val="none" w:sz="0" w:space="0" w:color="auto"/>
                        <w:right w:val="none" w:sz="0" w:space="0" w:color="auto"/>
                      </w:divBdr>
                      <w:divsChild>
                        <w:div w:id="15827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59965">
              <w:marLeft w:val="0"/>
              <w:marRight w:val="0"/>
              <w:marTop w:val="0"/>
              <w:marBottom w:val="0"/>
              <w:divBdr>
                <w:top w:val="none" w:sz="0" w:space="0" w:color="auto"/>
                <w:left w:val="none" w:sz="0" w:space="0" w:color="auto"/>
                <w:bottom w:val="none" w:sz="0" w:space="0" w:color="auto"/>
                <w:right w:val="none" w:sz="0" w:space="0" w:color="auto"/>
              </w:divBdr>
              <w:divsChild>
                <w:div w:id="1835491100">
                  <w:marLeft w:val="0"/>
                  <w:marRight w:val="0"/>
                  <w:marTop w:val="0"/>
                  <w:marBottom w:val="0"/>
                  <w:divBdr>
                    <w:top w:val="none" w:sz="0" w:space="0" w:color="auto"/>
                    <w:left w:val="none" w:sz="0" w:space="0" w:color="auto"/>
                    <w:bottom w:val="none" w:sz="0" w:space="0" w:color="auto"/>
                    <w:right w:val="none" w:sz="0" w:space="0" w:color="auto"/>
                  </w:divBdr>
                  <w:divsChild>
                    <w:div w:id="874319212">
                      <w:marLeft w:val="0"/>
                      <w:marRight w:val="0"/>
                      <w:marTop w:val="0"/>
                      <w:marBottom w:val="0"/>
                      <w:divBdr>
                        <w:top w:val="none" w:sz="0" w:space="0" w:color="auto"/>
                        <w:left w:val="none" w:sz="0" w:space="0" w:color="auto"/>
                        <w:bottom w:val="none" w:sz="0" w:space="0" w:color="auto"/>
                        <w:right w:val="none" w:sz="0" w:space="0" w:color="auto"/>
                      </w:divBdr>
                      <w:divsChild>
                        <w:div w:id="21248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653080">
      <w:bodyDiv w:val="1"/>
      <w:marLeft w:val="0"/>
      <w:marRight w:val="0"/>
      <w:marTop w:val="0"/>
      <w:marBottom w:val="0"/>
      <w:divBdr>
        <w:top w:val="none" w:sz="0" w:space="0" w:color="auto"/>
        <w:left w:val="none" w:sz="0" w:space="0" w:color="auto"/>
        <w:bottom w:val="none" w:sz="0" w:space="0" w:color="auto"/>
        <w:right w:val="none" w:sz="0" w:space="0" w:color="auto"/>
      </w:divBdr>
    </w:div>
    <w:div w:id="1833139178">
      <w:bodyDiv w:val="1"/>
      <w:marLeft w:val="0"/>
      <w:marRight w:val="0"/>
      <w:marTop w:val="0"/>
      <w:marBottom w:val="0"/>
      <w:divBdr>
        <w:top w:val="none" w:sz="0" w:space="0" w:color="auto"/>
        <w:left w:val="none" w:sz="0" w:space="0" w:color="auto"/>
        <w:bottom w:val="none" w:sz="0" w:space="0" w:color="auto"/>
        <w:right w:val="none" w:sz="0" w:space="0" w:color="auto"/>
      </w:divBdr>
    </w:div>
    <w:div w:id="1833332749">
      <w:bodyDiv w:val="1"/>
      <w:marLeft w:val="0"/>
      <w:marRight w:val="0"/>
      <w:marTop w:val="0"/>
      <w:marBottom w:val="0"/>
      <w:divBdr>
        <w:top w:val="none" w:sz="0" w:space="0" w:color="auto"/>
        <w:left w:val="none" w:sz="0" w:space="0" w:color="auto"/>
        <w:bottom w:val="none" w:sz="0" w:space="0" w:color="auto"/>
        <w:right w:val="none" w:sz="0" w:space="0" w:color="auto"/>
      </w:divBdr>
    </w:div>
    <w:div w:id="1865171023">
      <w:bodyDiv w:val="1"/>
      <w:marLeft w:val="0"/>
      <w:marRight w:val="0"/>
      <w:marTop w:val="0"/>
      <w:marBottom w:val="0"/>
      <w:divBdr>
        <w:top w:val="none" w:sz="0" w:space="0" w:color="auto"/>
        <w:left w:val="none" w:sz="0" w:space="0" w:color="auto"/>
        <w:bottom w:val="none" w:sz="0" w:space="0" w:color="auto"/>
        <w:right w:val="none" w:sz="0" w:space="0" w:color="auto"/>
      </w:divBdr>
    </w:div>
    <w:div w:id="213479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sv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svg"/><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svg"/><Relationship Id="rId41" Type="http://schemas.openxmlformats.org/officeDocument/2006/relationships/image" Target="media/image31.sv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8.png"/><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rehrmann\Downloads\CSE_Report_Template_cobrand%20(2).dotx" TargetMode="External"/></Relationships>
</file>

<file path=word/documenttasks/documenttasks1.xml><?xml version="1.0" encoding="utf-8"?>
<t:Tasks xmlns:t="http://schemas.microsoft.com/office/tasks/2019/documenttasks" xmlns:oel="http://schemas.microsoft.com/office/2019/extlst">
  <t:Task id="{DCC12E11-6AD4-4FEF-9F72-C185A2E85F24}">
    <t:Anchor>
      <t:Comment id="1750043495"/>
    </t:Anchor>
    <t:History>
      <t:Event id="{F5F1270A-85D4-4D8D-9CB9-6CD19FAE98F5}" time="2025-08-19T19:47:56.034Z">
        <t:Attribution userId="S::boyang.sa@energycenter.org::5b1a80e5-be48-42df-9e04-28c1b0ab1330" userProvider="AD" userName="Boyang Sa"/>
        <t:Anchor>
          <t:Comment id="1750043495"/>
        </t:Anchor>
        <t:Create/>
      </t:Event>
      <t:Event id="{36406ADF-1AA1-4E7D-8DA9-B4545791F79A}" time="2025-08-19T19:47:56.034Z">
        <t:Attribution userId="S::boyang.sa@energycenter.org::5b1a80e5-be48-42df-9e04-28c1b0ab1330" userProvider="AD" userName="Boyang Sa"/>
        <t:Anchor>
          <t:Comment id="1750043495"/>
        </t:Anchor>
        <t:Assign userId="S::boyang.sa@energycenter.org::5b1a80e5-be48-42df-9e04-28c1b0ab1330" userProvider="AD" userName="Boyang Sa"/>
      </t:Event>
      <t:Event id="{DC8754AE-DBB3-48A3-911F-E48E471C85E6}" time="2025-08-19T19:47:56.034Z">
        <t:Attribution userId="S::boyang.sa@energycenter.org::5b1a80e5-be48-42df-9e04-28c1b0ab1330" userProvider="AD" userName="Boyang Sa"/>
        <t:Anchor>
          <t:Comment id="1750043495"/>
        </t:Anchor>
        <t:SetTitle title="@Boyang Sa to insert the LoP implementation line directly below (add a sum)"/>
      </t:Event>
    </t:History>
  </t:Task>
  <t:Task id="{83636D60-97E5-43CF-ABC9-CD6B4E9FD5CA}">
    <t:Anchor>
      <t:Comment id="275746641"/>
    </t:Anchor>
    <t:History>
      <t:Event id="{A8F10C85-79EC-4530-9C29-E09AEF8F1872}" time="2025-08-19T19:47:56.034Z">
        <t:Attribution userId="S::boyang.sa@energycenter.org::5b1a80e5-be48-42df-9e04-28c1b0ab1330" userProvider="AD" userName="Boyang Sa"/>
        <t:Anchor>
          <t:Comment id="275746641"/>
        </t:Anchor>
        <t:Create/>
      </t:Event>
      <t:Event id="{7D8184E4-C889-4A24-8D95-80959C5E0440}" time="2025-08-19T19:47:56.034Z">
        <t:Attribution userId="S::boyang.sa@energycenter.org::5b1a80e5-be48-42df-9e04-28c1b0ab1330" userProvider="AD" userName="Boyang Sa"/>
        <t:Anchor>
          <t:Comment id="275746641"/>
        </t:Anchor>
        <t:Assign userId="S::boyang.sa@energycenter.org::5b1a80e5-be48-42df-9e04-28c1b0ab1330" userProvider="AD" userName="Boyang Sa"/>
      </t:Event>
      <t:Event id="{CBDA7F4E-A355-41F7-B51F-7D5B422974A1}" time="2025-08-19T19:47:56.034Z">
        <t:Attribution userId="S::boyang.sa@energycenter.org::5b1a80e5-be48-42df-9e04-28c1b0ab1330" userProvider="AD" userName="Boyang Sa"/>
        <t:Anchor>
          <t:Comment id="275746641"/>
        </t:Anchor>
        <t:SetTitle title="@Boyang Sa to insert the LoP implementation line directly below (add a sum)"/>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542A00989741BC905481F1399BAC10"/>
        <w:category>
          <w:name w:val="General"/>
          <w:gallery w:val="placeholder"/>
        </w:category>
        <w:types>
          <w:type w:val="bbPlcHdr"/>
        </w:types>
        <w:behaviors>
          <w:behavior w:val="content"/>
        </w:behaviors>
        <w:guid w:val="{D83B7389-9147-450B-BAAD-A2BC6C4F865A}"/>
      </w:docPartPr>
      <w:docPartBody>
        <w:p w:rsidR="00F77A97" w:rsidRDefault="00492194" w:rsidP="00492194">
          <w:pPr>
            <w:pStyle w:val="17542A00989741BC905481F1399BAC10"/>
          </w:pPr>
          <w:r w:rsidRPr="00CE10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86D"/>
    <w:rsid w:val="00002034"/>
    <w:rsid w:val="00003B13"/>
    <w:rsid w:val="00014808"/>
    <w:rsid w:val="000151D1"/>
    <w:rsid w:val="0002574A"/>
    <w:rsid w:val="00033B06"/>
    <w:rsid w:val="00036B33"/>
    <w:rsid w:val="00042808"/>
    <w:rsid w:val="00051A26"/>
    <w:rsid w:val="000639A0"/>
    <w:rsid w:val="0007361E"/>
    <w:rsid w:val="00074E05"/>
    <w:rsid w:val="00083A7E"/>
    <w:rsid w:val="00085A95"/>
    <w:rsid w:val="00087374"/>
    <w:rsid w:val="000925E0"/>
    <w:rsid w:val="000A4DA2"/>
    <w:rsid w:val="000A75BC"/>
    <w:rsid w:val="000B1CC1"/>
    <w:rsid w:val="000B4D0F"/>
    <w:rsid w:val="000C0E60"/>
    <w:rsid w:val="000E3025"/>
    <w:rsid w:val="000E43BF"/>
    <w:rsid w:val="00100EC0"/>
    <w:rsid w:val="00101E28"/>
    <w:rsid w:val="001036B5"/>
    <w:rsid w:val="0011014F"/>
    <w:rsid w:val="00113C7E"/>
    <w:rsid w:val="00114D0D"/>
    <w:rsid w:val="0011575F"/>
    <w:rsid w:val="00122CDE"/>
    <w:rsid w:val="001255A9"/>
    <w:rsid w:val="0012741D"/>
    <w:rsid w:val="00130652"/>
    <w:rsid w:val="00131E7E"/>
    <w:rsid w:val="00137E3D"/>
    <w:rsid w:val="00137F02"/>
    <w:rsid w:val="00146D93"/>
    <w:rsid w:val="001533B4"/>
    <w:rsid w:val="00153EF2"/>
    <w:rsid w:val="001563EC"/>
    <w:rsid w:val="001672A2"/>
    <w:rsid w:val="0017223E"/>
    <w:rsid w:val="00172AB7"/>
    <w:rsid w:val="0018027A"/>
    <w:rsid w:val="0019135B"/>
    <w:rsid w:val="00193A01"/>
    <w:rsid w:val="001A19D5"/>
    <w:rsid w:val="001A652B"/>
    <w:rsid w:val="001B24E8"/>
    <w:rsid w:val="001C72A0"/>
    <w:rsid w:val="001C760F"/>
    <w:rsid w:val="001D19B8"/>
    <w:rsid w:val="001D2221"/>
    <w:rsid w:val="001F2244"/>
    <w:rsid w:val="001F7F20"/>
    <w:rsid w:val="00203AEF"/>
    <w:rsid w:val="00207CD0"/>
    <w:rsid w:val="002101B9"/>
    <w:rsid w:val="00211D3A"/>
    <w:rsid w:val="002209CA"/>
    <w:rsid w:val="00227071"/>
    <w:rsid w:val="002324B3"/>
    <w:rsid w:val="00237A90"/>
    <w:rsid w:val="00250F5E"/>
    <w:rsid w:val="00254B7E"/>
    <w:rsid w:val="00265A05"/>
    <w:rsid w:val="0027621A"/>
    <w:rsid w:val="00277B13"/>
    <w:rsid w:val="00283174"/>
    <w:rsid w:val="00290247"/>
    <w:rsid w:val="00292662"/>
    <w:rsid w:val="00295326"/>
    <w:rsid w:val="002A0D5A"/>
    <w:rsid w:val="002A546D"/>
    <w:rsid w:val="002B0CB9"/>
    <w:rsid w:val="002B60C7"/>
    <w:rsid w:val="002C4261"/>
    <w:rsid w:val="002D014C"/>
    <w:rsid w:val="002D550A"/>
    <w:rsid w:val="002E022C"/>
    <w:rsid w:val="002E36E0"/>
    <w:rsid w:val="002E3872"/>
    <w:rsid w:val="002E3CE3"/>
    <w:rsid w:val="002E3DAA"/>
    <w:rsid w:val="002E6A06"/>
    <w:rsid w:val="002F22F8"/>
    <w:rsid w:val="00300A4B"/>
    <w:rsid w:val="00303552"/>
    <w:rsid w:val="003240EE"/>
    <w:rsid w:val="00326685"/>
    <w:rsid w:val="003324F0"/>
    <w:rsid w:val="00344564"/>
    <w:rsid w:val="00345FF2"/>
    <w:rsid w:val="003578FF"/>
    <w:rsid w:val="00371A39"/>
    <w:rsid w:val="003738CD"/>
    <w:rsid w:val="003814AD"/>
    <w:rsid w:val="00382BD5"/>
    <w:rsid w:val="00384127"/>
    <w:rsid w:val="003B2B2C"/>
    <w:rsid w:val="003B7661"/>
    <w:rsid w:val="003B772E"/>
    <w:rsid w:val="003D06F1"/>
    <w:rsid w:val="003D257A"/>
    <w:rsid w:val="003D33D3"/>
    <w:rsid w:val="003E2D4C"/>
    <w:rsid w:val="003F48DE"/>
    <w:rsid w:val="003F77A6"/>
    <w:rsid w:val="00400BE2"/>
    <w:rsid w:val="004040BD"/>
    <w:rsid w:val="004043B5"/>
    <w:rsid w:val="00410CB8"/>
    <w:rsid w:val="00412E54"/>
    <w:rsid w:val="004150A3"/>
    <w:rsid w:val="00416C06"/>
    <w:rsid w:val="004178BF"/>
    <w:rsid w:val="0042238B"/>
    <w:rsid w:val="00423FC0"/>
    <w:rsid w:val="004321FB"/>
    <w:rsid w:val="0043667D"/>
    <w:rsid w:val="00442CBA"/>
    <w:rsid w:val="0044364E"/>
    <w:rsid w:val="00460C2D"/>
    <w:rsid w:val="00463EC9"/>
    <w:rsid w:val="0047196A"/>
    <w:rsid w:val="00473799"/>
    <w:rsid w:val="00476760"/>
    <w:rsid w:val="0047782D"/>
    <w:rsid w:val="00477E6C"/>
    <w:rsid w:val="00480D8F"/>
    <w:rsid w:val="00481E8A"/>
    <w:rsid w:val="004862F1"/>
    <w:rsid w:val="00492194"/>
    <w:rsid w:val="00497036"/>
    <w:rsid w:val="004B5F36"/>
    <w:rsid w:val="004C1993"/>
    <w:rsid w:val="004D3572"/>
    <w:rsid w:val="004D460D"/>
    <w:rsid w:val="004E3BA0"/>
    <w:rsid w:val="004E4FE7"/>
    <w:rsid w:val="0050115A"/>
    <w:rsid w:val="005105B6"/>
    <w:rsid w:val="00510757"/>
    <w:rsid w:val="00513FC1"/>
    <w:rsid w:val="005153C3"/>
    <w:rsid w:val="00522CB1"/>
    <w:rsid w:val="00524630"/>
    <w:rsid w:val="00532A26"/>
    <w:rsid w:val="005332E4"/>
    <w:rsid w:val="005335DC"/>
    <w:rsid w:val="00542F6C"/>
    <w:rsid w:val="00547F03"/>
    <w:rsid w:val="00552909"/>
    <w:rsid w:val="005577EC"/>
    <w:rsid w:val="00561752"/>
    <w:rsid w:val="005650DC"/>
    <w:rsid w:val="00565A1F"/>
    <w:rsid w:val="005715CE"/>
    <w:rsid w:val="00584944"/>
    <w:rsid w:val="0058669B"/>
    <w:rsid w:val="005A0FDD"/>
    <w:rsid w:val="005A39C1"/>
    <w:rsid w:val="005B6876"/>
    <w:rsid w:val="005C1A06"/>
    <w:rsid w:val="005C330E"/>
    <w:rsid w:val="005C67A2"/>
    <w:rsid w:val="005D0A5A"/>
    <w:rsid w:val="005D600B"/>
    <w:rsid w:val="005E13F2"/>
    <w:rsid w:val="005E51A0"/>
    <w:rsid w:val="005E59A9"/>
    <w:rsid w:val="005F00FA"/>
    <w:rsid w:val="006116DE"/>
    <w:rsid w:val="006126FF"/>
    <w:rsid w:val="006130BC"/>
    <w:rsid w:val="00622B97"/>
    <w:rsid w:val="00624681"/>
    <w:rsid w:val="006247B1"/>
    <w:rsid w:val="0062487B"/>
    <w:rsid w:val="00625967"/>
    <w:rsid w:val="00625A5D"/>
    <w:rsid w:val="00632B17"/>
    <w:rsid w:val="00637442"/>
    <w:rsid w:val="006403AD"/>
    <w:rsid w:val="00643A9D"/>
    <w:rsid w:val="00665EF6"/>
    <w:rsid w:val="00673036"/>
    <w:rsid w:val="00676653"/>
    <w:rsid w:val="006800AB"/>
    <w:rsid w:val="00684AA5"/>
    <w:rsid w:val="00692AD6"/>
    <w:rsid w:val="006A4496"/>
    <w:rsid w:val="006B2FC0"/>
    <w:rsid w:val="006B71F7"/>
    <w:rsid w:val="006C1952"/>
    <w:rsid w:val="006C32AE"/>
    <w:rsid w:val="006C4C5B"/>
    <w:rsid w:val="006C7D69"/>
    <w:rsid w:val="006C7FEB"/>
    <w:rsid w:val="006D3469"/>
    <w:rsid w:val="006D3AA3"/>
    <w:rsid w:val="006D41FB"/>
    <w:rsid w:val="006F0150"/>
    <w:rsid w:val="006F73F9"/>
    <w:rsid w:val="007001BD"/>
    <w:rsid w:val="00700B33"/>
    <w:rsid w:val="00705A16"/>
    <w:rsid w:val="00711F76"/>
    <w:rsid w:val="00711FFF"/>
    <w:rsid w:val="00712DEE"/>
    <w:rsid w:val="007134A7"/>
    <w:rsid w:val="00716971"/>
    <w:rsid w:val="007211A8"/>
    <w:rsid w:val="00721723"/>
    <w:rsid w:val="00721F2F"/>
    <w:rsid w:val="00734FC6"/>
    <w:rsid w:val="00735F03"/>
    <w:rsid w:val="007469A0"/>
    <w:rsid w:val="0075163E"/>
    <w:rsid w:val="00754313"/>
    <w:rsid w:val="00754E58"/>
    <w:rsid w:val="007567A9"/>
    <w:rsid w:val="0077499D"/>
    <w:rsid w:val="00783173"/>
    <w:rsid w:val="007906FE"/>
    <w:rsid w:val="00790F74"/>
    <w:rsid w:val="00791106"/>
    <w:rsid w:val="0079185B"/>
    <w:rsid w:val="0079188E"/>
    <w:rsid w:val="007A0137"/>
    <w:rsid w:val="007A2A92"/>
    <w:rsid w:val="007B1BE3"/>
    <w:rsid w:val="007C1115"/>
    <w:rsid w:val="007D669C"/>
    <w:rsid w:val="007E045D"/>
    <w:rsid w:val="007E3B11"/>
    <w:rsid w:val="00805845"/>
    <w:rsid w:val="0081005E"/>
    <w:rsid w:val="0081111A"/>
    <w:rsid w:val="00823A57"/>
    <w:rsid w:val="00840689"/>
    <w:rsid w:val="00842818"/>
    <w:rsid w:val="00846B00"/>
    <w:rsid w:val="0084773F"/>
    <w:rsid w:val="00866A65"/>
    <w:rsid w:val="00884E62"/>
    <w:rsid w:val="008929C7"/>
    <w:rsid w:val="00894F8F"/>
    <w:rsid w:val="008A0829"/>
    <w:rsid w:val="008A4F12"/>
    <w:rsid w:val="008C01D9"/>
    <w:rsid w:val="008C7C1F"/>
    <w:rsid w:val="008D0E0A"/>
    <w:rsid w:val="008E0244"/>
    <w:rsid w:val="008E2177"/>
    <w:rsid w:val="008F4C39"/>
    <w:rsid w:val="00922F4A"/>
    <w:rsid w:val="00936C96"/>
    <w:rsid w:val="0093785E"/>
    <w:rsid w:val="00937B16"/>
    <w:rsid w:val="00942A43"/>
    <w:rsid w:val="00943AF9"/>
    <w:rsid w:val="0095162D"/>
    <w:rsid w:val="0095289E"/>
    <w:rsid w:val="00953276"/>
    <w:rsid w:val="00980A30"/>
    <w:rsid w:val="00990F41"/>
    <w:rsid w:val="009976F0"/>
    <w:rsid w:val="009A71B1"/>
    <w:rsid w:val="009A7600"/>
    <w:rsid w:val="009B02A0"/>
    <w:rsid w:val="009C3607"/>
    <w:rsid w:val="009D6A26"/>
    <w:rsid w:val="009D7F97"/>
    <w:rsid w:val="009E53D7"/>
    <w:rsid w:val="00A052DE"/>
    <w:rsid w:val="00A05801"/>
    <w:rsid w:val="00A06C8F"/>
    <w:rsid w:val="00A07A18"/>
    <w:rsid w:val="00A15AE8"/>
    <w:rsid w:val="00A172CA"/>
    <w:rsid w:val="00A20CFE"/>
    <w:rsid w:val="00A24099"/>
    <w:rsid w:val="00A27962"/>
    <w:rsid w:val="00A4094A"/>
    <w:rsid w:val="00A4390C"/>
    <w:rsid w:val="00A51BD9"/>
    <w:rsid w:val="00A63B59"/>
    <w:rsid w:val="00A71468"/>
    <w:rsid w:val="00A722A4"/>
    <w:rsid w:val="00A846C5"/>
    <w:rsid w:val="00A86363"/>
    <w:rsid w:val="00A91799"/>
    <w:rsid w:val="00A97611"/>
    <w:rsid w:val="00AB0F73"/>
    <w:rsid w:val="00AC478A"/>
    <w:rsid w:val="00AE5BAB"/>
    <w:rsid w:val="00AF0699"/>
    <w:rsid w:val="00AF29EC"/>
    <w:rsid w:val="00AF6C24"/>
    <w:rsid w:val="00B0214A"/>
    <w:rsid w:val="00B1068B"/>
    <w:rsid w:val="00B1597B"/>
    <w:rsid w:val="00B26CF2"/>
    <w:rsid w:val="00B41BF3"/>
    <w:rsid w:val="00B42CBB"/>
    <w:rsid w:val="00B4486D"/>
    <w:rsid w:val="00B53B73"/>
    <w:rsid w:val="00B73ED9"/>
    <w:rsid w:val="00B856B6"/>
    <w:rsid w:val="00BA0884"/>
    <w:rsid w:val="00BA15CF"/>
    <w:rsid w:val="00BB3198"/>
    <w:rsid w:val="00BB4558"/>
    <w:rsid w:val="00BD0F1A"/>
    <w:rsid w:val="00BD53DE"/>
    <w:rsid w:val="00BE2B31"/>
    <w:rsid w:val="00BE30BE"/>
    <w:rsid w:val="00BF0476"/>
    <w:rsid w:val="00BF0D5D"/>
    <w:rsid w:val="00C014C8"/>
    <w:rsid w:val="00C05441"/>
    <w:rsid w:val="00C07415"/>
    <w:rsid w:val="00C110FF"/>
    <w:rsid w:val="00C165A5"/>
    <w:rsid w:val="00C2210E"/>
    <w:rsid w:val="00C320D8"/>
    <w:rsid w:val="00C4130B"/>
    <w:rsid w:val="00C42C2C"/>
    <w:rsid w:val="00C46A22"/>
    <w:rsid w:val="00C5101C"/>
    <w:rsid w:val="00C52310"/>
    <w:rsid w:val="00C5307A"/>
    <w:rsid w:val="00C535EA"/>
    <w:rsid w:val="00C56794"/>
    <w:rsid w:val="00C6040D"/>
    <w:rsid w:val="00C65C6F"/>
    <w:rsid w:val="00C6645E"/>
    <w:rsid w:val="00C7063B"/>
    <w:rsid w:val="00C81DDF"/>
    <w:rsid w:val="00C84E69"/>
    <w:rsid w:val="00C8785F"/>
    <w:rsid w:val="00CA2BEB"/>
    <w:rsid w:val="00CA6753"/>
    <w:rsid w:val="00CB5B79"/>
    <w:rsid w:val="00CC7178"/>
    <w:rsid w:val="00CD2889"/>
    <w:rsid w:val="00CD4E3C"/>
    <w:rsid w:val="00CE628D"/>
    <w:rsid w:val="00CF0687"/>
    <w:rsid w:val="00CF7331"/>
    <w:rsid w:val="00D1397C"/>
    <w:rsid w:val="00D2353E"/>
    <w:rsid w:val="00D25E12"/>
    <w:rsid w:val="00D30569"/>
    <w:rsid w:val="00D51FBD"/>
    <w:rsid w:val="00D52CE5"/>
    <w:rsid w:val="00D53879"/>
    <w:rsid w:val="00D63E51"/>
    <w:rsid w:val="00D67BE6"/>
    <w:rsid w:val="00D72EBF"/>
    <w:rsid w:val="00D9370E"/>
    <w:rsid w:val="00DA195C"/>
    <w:rsid w:val="00DA30E0"/>
    <w:rsid w:val="00DB0C56"/>
    <w:rsid w:val="00DB38DD"/>
    <w:rsid w:val="00DC6453"/>
    <w:rsid w:val="00DE77D3"/>
    <w:rsid w:val="00DF75BA"/>
    <w:rsid w:val="00E07ADC"/>
    <w:rsid w:val="00E11EF8"/>
    <w:rsid w:val="00E164D9"/>
    <w:rsid w:val="00E25339"/>
    <w:rsid w:val="00E3119C"/>
    <w:rsid w:val="00E31373"/>
    <w:rsid w:val="00E33BFB"/>
    <w:rsid w:val="00E41C00"/>
    <w:rsid w:val="00E4201C"/>
    <w:rsid w:val="00E55D6C"/>
    <w:rsid w:val="00E612E9"/>
    <w:rsid w:val="00E61E97"/>
    <w:rsid w:val="00E73B04"/>
    <w:rsid w:val="00E77B9E"/>
    <w:rsid w:val="00E808CB"/>
    <w:rsid w:val="00E82C6B"/>
    <w:rsid w:val="00E84C33"/>
    <w:rsid w:val="00EA3A9C"/>
    <w:rsid w:val="00EA552E"/>
    <w:rsid w:val="00EB30A6"/>
    <w:rsid w:val="00EB4D13"/>
    <w:rsid w:val="00EC5B86"/>
    <w:rsid w:val="00ED4827"/>
    <w:rsid w:val="00ED539D"/>
    <w:rsid w:val="00EF0227"/>
    <w:rsid w:val="00EF6F00"/>
    <w:rsid w:val="00F13A71"/>
    <w:rsid w:val="00F174E6"/>
    <w:rsid w:val="00F25A9B"/>
    <w:rsid w:val="00F45317"/>
    <w:rsid w:val="00F55FD6"/>
    <w:rsid w:val="00F65209"/>
    <w:rsid w:val="00F729C0"/>
    <w:rsid w:val="00F75F7A"/>
    <w:rsid w:val="00F77A97"/>
    <w:rsid w:val="00F806E8"/>
    <w:rsid w:val="00F84E5D"/>
    <w:rsid w:val="00F942EC"/>
    <w:rsid w:val="00F96ECB"/>
    <w:rsid w:val="00FA0777"/>
    <w:rsid w:val="00FA54A5"/>
    <w:rsid w:val="00FC16C0"/>
    <w:rsid w:val="00FC2B5D"/>
    <w:rsid w:val="00FC5F48"/>
    <w:rsid w:val="00FC6457"/>
    <w:rsid w:val="00FE4D39"/>
    <w:rsid w:val="00FF0BA2"/>
    <w:rsid w:val="00FF133F"/>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2221"/>
    <w:rPr>
      <w:color w:val="808080"/>
    </w:rPr>
  </w:style>
  <w:style w:type="paragraph" w:customStyle="1" w:styleId="17542A00989741BC905481F1399BAC10">
    <w:name w:val="17542A00989741BC905481F1399BAC10"/>
    <w:rsid w:val="004921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webSettings>
</file>

<file path=word/theme/theme1.xml><?xml version="1.0" encoding="utf-8"?>
<a:theme xmlns:a="http://schemas.openxmlformats.org/drawingml/2006/main" name="CSE Brand1">
  <a:themeElements>
    <a:clrScheme name="Custom 3">
      <a:dk1>
        <a:srgbClr val="000000"/>
      </a:dk1>
      <a:lt1>
        <a:srgbClr val="FFFFFF"/>
      </a:lt1>
      <a:dk2>
        <a:srgbClr val="A7A7A7"/>
      </a:dk2>
      <a:lt2>
        <a:srgbClr val="535353"/>
      </a:lt2>
      <a:accent1>
        <a:srgbClr val="92C956"/>
      </a:accent1>
      <a:accent2>
        <a:srgbClr val="1F9C7F"/>
      </a:accent2>
      <a:accent3>
        <a:srgbClr val="0695E5"/>
      </a:accent3>
      <a:accent4>
        <a:srgbClr val="3064BE"/>
      </a:accent4>
      <a:accent5>
        <a:srgbClr val="6D57C7"/>
      </a:accent5>
      <a:accent6>
        <a:srgbClr val="894CAF"/>
      </a:accent6>
      <a:hlink>
        <a:srgbClr val="000000"/>
      </a:hlink>
      <a:folHlink>
        <a:srgbClr val="000000"/>
      </a:folHlink>
    </a:clrScheme>
    <a:fontScheme name="CSE Brand1">
      <a:majorFont>
        <a:latin typeface="Helvetica Neue"/>
        <a:ea typeface="Helvetica Neue"/>
        <a:cs typeface="Helvetica Neue"/>
      </a:majorFont>
      <a:minorFont>
        <a:latin typeface="Helvetica Neue"/>
        <a:ea typeface="Helvetica Neue"/>
        <a:cs typeface="Helvetica Neue"/>
      </a:minorFont>
    </a:fontScheme>
    <a:fmtScheme name="CSE Brand1">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3C444C"/>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3C444C"/>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81A76A87B9141B60A6410A1AB677E" ma:contentTypeVersion="16" ma:contentTypeDescription="Create a new document." ma:contentTypeScope="" ma:versionID="ba3a4de86cf97b3d592c957bbf8e76ad">
  <xsd:schema xmlns:xsd="http://www.w3.org/2001/XMLSchema" xmlns:xs="http://www.w3.org/2001/XMLSchema" xmlns:p="http://schemas.microsoft.com/office/2006/metadata/properties" xmlns:ns1="http://schemas.microsoft.com/sharepoint/v3" xmlns:ns2="ae9e2640-8cab-4259-99be-ba312b8b6319" xmlns:ns3="cc782773-51c9-4ab2-87ae-59a0061c662f" targetNamespace="http://schemas.microsoft.com/office/2006/metadata/properties" ma:root="true" ma:fieldsID="34db109b02762c58438e8a5354e29109" ns1:_="" ns2:_="" ns3:_="">
    <xsd:import namespace="http://schemas.microsoft.com/sharepoint/v3"/>
    <xsd:import namespace="ae9e2640-8cab-4259-99be-ba312b8b6319"/>
    <xsd:import namespace="cc782773-51c9-4ab2-87ae-59a0061c66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9e2640-8cab-4259-99be-ba312b8b63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dbe28f-629b-4c13-8cb9-4a2eaedc9faa}" ma:internalName="TaxCatchAll" ma:showField="CatchAllData" ma:web="ae9e2640-8cab-4259-99be-ba312b8b63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782773-51c9-4ab2-87ae-59a0061c66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cfab10e-2905-4c99-a1c6-8b70a464d06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782773-51c9-4ab2-87ae-59a0061c662f">
      <Terms xmlns="http://schemas.microsoft.com/office/infopath/2007/PartnerControls"/>
    </lcf76f155ced4ddcb4097134ff3c332f>
    <TaxCatchAll xmlns="ae9e2640-8cab-4259-99be-ba312b8b6319" xsi:nil="true"/>
    <SharedWithUsers xmlns="ae9e2640-8cab-4259-99be-ba312b8b6319">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802AE-1D4A-436E-8F7A-FF77938CE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9e2640-8cab-4259-99be-ba312b8b6319"/>
    <ds:schemaRef ds:uri="cc782773-51c9-4ab2-87ae-59a0061c6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E5E76-9033-4963-B134-0EFE6F38C328}">
  <ds:schemaRefs>
    <ds:schemaRef ds:uri="http://schemas.microsoft.com/office/2006/metadata/properties"/>
    <ds:schemaRef ds:uri="http://schemas.microsoft.com/office/infopath/2007/PartnerControls"/>
    <ds:schemaRef ds:uri="cc782773-51c9-4ab2-87ae-59a0061c662f"/>
    <ds:schemaRef ds:uri="ae9e2640-8cab-4259-99be-ba312b8b6319"/>
    <ds:schemaRef ds:uri="http://schemas.microsoft.com/sharepoint/v3"/>
  </ds:schemaRefs>
</ds:datastoreItem>
</file>

<file path=customXml/itemProps3.xml><?xml version="1.0" encoding="utf-8"?>
<ds:datastoreItem xmlns:ds="http://schemas.openxmlformats.org/officeDocument/2006/customXml" ds:itemID="{A7AEC31E-6584-4C0A-B568-BB1E3EDF81A4}">
  <ds:schemaRefs>
    <ds:schemaRef ds:uri="http://schemas.microsoft.com/sharepoint/v3/contenttype/forms"/>
  </ds:schemaRefs>
</ds:datastoreItem>
</file>

<file path=customXml/itemProps4.xml><?xml version="1.0" encoding="utf-8"?>
<ds:datastoreItem xmlns:ds="http://schemas.openxmlformats.org/officeDocument/2006/customXml" ds:itemID="{B13B960E-5272-0645-A6D3-839FF3E6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CSE_Report_Template_cobrand (2)</Template>
  <TotalTime>104</TotalTime>
  <Pages>69</Pages>
  <Words>16846</Words>
  <Characters>100405</Characters>
  <Application>Microsoft Office Word</Application>
  <DocSecurity>2</DocSecurity>
  <Lines>2574</Lines>
  <Paragraphs>1724</Paragraphs>
  <ScaleCrop>false</ScaleCrop>
  <HeadingPairs>
    <vt:vector size="2" baseType="variant">
      <vt:variant>
        <vt:lpstr>Title</vt:lpstr>
      </vt:variant>
      <vt:variant>
        <vt:i4>1</vt:i4>
      </vt:variant>
    </vt:vector>
  </HeadingPairs>
  <TitlesOfParts>
    <vt:vector size="1" baseType="lpstr">
      <vt:lpstr>CVRP GHG Reductions and Cost-Effectiveness</vt:lpstr>
    </vt:vector>
  </TitlesOfParts>
  <Company/>
  <LinksUpToDate>false</LinksUpToDate>
  <CharactersWithSpaces>115527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CVRP GHG Reductions and Cost-Effectiveness</dc:title>
  <dc:subject/>
  <dc:creator>CSE</dc:creator>
  <cp:keywords/>
  <cp:lastModifiedBy>Nicholas Pallonetti</cp:lastModifiedBy>
  <cp:revision>312</cp:revision>
  <cp:lastPrinted>2026-06-17T23:43:00Z</cp:lastPrinted>
  <dcterms:created xsi:type="dcterms:W3CDTF">2026-04-03T23:42:00Z</dcterms:created>
  <dcterms:modified xsi:type="dcterms:W3CDTF">2026-06-17T23:49:00Z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0x01010068C81A76A87B9141B60A6410A1AB677E</vt:lpwstr>
  </property>
  <property fmtid="{D5CDD505-2E9C-101B-9397-08002B2CF9AE}" pid="3" name="ZOTERO_PREF_1">
    <vt:lpwstr>&lt;data data-version="3" zotero-version="6.0.36"&gt;&lt;session id="sqzd4rV0"/&gt;&lt;style id="http://www.zotero.org/styles/apa" locale="en-US" hasBibliography="1" bibliographyStyleHasBeenSet="1"/&gt;&lt;prefs&gt;&lt;pref name="fieldType" value="Field"/&gt;&lt;/prefs&gt;&lt;/data&gt;</vt:lpwstr>
  </property>
  <property fmtid="{D5CDD505-2E9C-101B-9397-08002B2CF9AE}" pid="4" name="MediaServiceImageTags">
    <vt:lpwstr/>
  </property>
  <property fmtid="{D5CDD505-2E9C-101B-9397-08002B2CF9AE}" pid="5" name="GrammarlyDocumentId">
    <vt:lpwstr>1860fbd3341b74708ad2bbd3fcc4b0db09499ffc7bf058155d6328b94811a999</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ource">
    <vt:lpwstr>, </vt:lpwstr>
  </property>
  <property fmtid="{D5CDD505-2E9C-101B-9397-08002B2CF9AE}" pid="12" name="xd_Signature">
    <vt:bool>false</vt:bool>
  </property>
</Properties>
</file>