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8E63" w14:textId="56FAEE30" w:rsidR="00D76E17" w:rsidRPr="000F4334" w:rsidRDefault="472DBDA4" w:rsidP="00AB1361">
      <w:pPr>
        <w:pStyle w:val="Heading1"/>
      </w:pPr>
      <w:r w:rsidRPr="5A5A231F">
        <w:t xml:space="preserve">Driving Down Costs: Policy </w:t>
      </w:r>
      <w:r w:rsidR="003513CC" w:rsidRPr="5A5A231F">
        <w:t>Support</w:t>
      </w:r>
      <w:r w:rsidRPr="5A5A231F">
        <w:t xml:space="preserve"> for </w:t>
      </w:r>
      <w:r w:rsidR="2A40CF31" w:rsidRPr="5A5A231F">
        <w:t xml:space="preserve">Electric Vehicle Affordability for </w:t>
      </w:r>
      <w:r w:rsidR="002D2FF7">
        <w:t xml:space="preserve">High-mileage </w:t>
      </w:r>
      <w:r w:rsidR="2A40CF31" w:rsidRPr="5A5A231F">
        <w:t xml:space="preserve">Transportation Network </w:t>
      </w:r>
      <w:r w:rsidR="000F6709" w:rsidRPr="5A5A231F">
        <w:t xml:space="preserve">Company </w:t>
      </w:r>
      <w:r w:rsidR="2A40CF31" w:rsidRPr="5A5A231F">
        <w:t>Drivers</w:t>
      </w:r>
      <w:r w:rsidR="65D38412" w:rsidRPr="5A5A231F">
        <w:t xml:space="preserve"> </w:t>
      </w:r>
      <w:r w:rsidR="42ED1D90" w:rsidRPr="5A5A231F">
        <w:t>in California</w:t>
      </w:r>
    </w:p>
    <w:p w14:paraId="3C4505C3" w14:textId="089B8A0D" w:rsidR="000710DB" w:rsidRPr="000F4334" w:rsidRDefault="000710DB" w:rsidP="000710DB">
      <w:r w:rsidRPr="000F4334">
        <w:t xml:space="preserve">Authors: </w:t>
      </w:r>
      <w:r w:rsidR="004E591A" w:rsidRPr="000F4334">
        <w:t>Kabanda Herve Christian Sheja</w:t>
      </w:r>
      <w:r w:rsidRPr="000F4334">
        <w:t>, Janet Bowers</w:t>
      </w:r>
      <w:r w:rsidR="00CC24C3">
        <w:t>, Lance Noel</w:t>
      </w:r>
    </w:p>
    <w:p w14:paraId="0DBAED26" w14:textId="322884CE" w:rsidR="000710DB" w:rsidRPr="000F4334" w:rsidRDefault="000710DB" w:rsidP="000710DB">
      <w:r w:rsidRPr="000F4334">
        <w:t>Contributors:</w:t>
      </w:r>
      <w:r w:rsidR="0023004E">
        <w:t xml:space="preserve"> John Anderson,</w:t>
      </w:r>
      <w:r w:rsidR="006E682B">
        <w:t xml:space="preserve"> </w:t>
      </w:r>
      <w:r w:rsidRPr="000F4334">
        <w:t>Regina McCormack</w:t>
      </w:r>
      <w:r w:rsidR="006E682B">
        <w:t>, Benjamin MacNeille, Mina Afayee</w:t>
      </w:r>
    </w:p>
    <w:p w14:paraId="40624442" w14:textId="77777777" w:rsidR="00151CCA" w:rsidRDefault="00151CCA" w:rsidP="00AB1361">
      <w:pPr>
        <w:pStyle w:val="Heading2"/>
      </w:pPr>
    </w:p>
    <w:p w14:paraId="67A332A9" w14:textId="2C39CC60" w:rsidR="00676F95" w:rsidRDefault="48A363B7" w:rsidP="00AB1361">
      <w:pPr>
        <w:pStyle w:val="Heading2"/>
      </w:pPr>
      <w:r w:rsidRPr="3AA71E57">
        <w:t>Introduction</w:t>
      </w:r>
      <w:r w:rsidR="74223AB5" w:rsidRPr="3AA71E57">
        <w:t xml:space="preserve"> </w:t>
      </w:r>
    </w:p>
    <w:p w14:paraId="2ECEBBB1" w14:textId="6E789DFB" w:rsidR="00085E29" w:rsidRDefault="00CC1D6D" w:rsidP="00CC1D6D">
      <w:r>
        <w:t xml:space="preserve">The need to reduce </w:t>
      </w:r>
      <w:r w:rsidR="00E75334">
        <w:t>greenhouse gas (</w:t>
      </w:r>
      <w:r>
        <w:t>GHG</w:t>
      </w:r>
      <w:r w:rsidR="00E75334">
        <w:t>)</w:t>
      </w:r>
      <w:r>
        <w:t xml:space="preserve"> emissions has been extensively documented by many internation</w:t>
      </w:r>
      <w:r w:rsidR="3812DFA2">
        <w:t>al</w:t>
      </w:r>
      <w:r>
        <w:t xml:space="preserve"> climate science </w:t>
      </w:r>
      <w:r w:rsidR="00D44986">
        <w:t>organizations</w:t>
      </w:r>
      <w:r>
        <w:t xml:space="preserve"> (IPCC, 2023</w:t>
      </w:r>
      <w:r w:rsidR="005E024B">
        <w:t xml:space="preserve">; </w:t>
      </w:r>
      <w:r>
        <w:t>International Energy Agency, 2023). In the United States, transportation represents the largest source of</w:t>
      </w:r>
      <w:r w:rsidR="00F80E85">
        <w:t xml:space="preserve"> </w:t>
      </w:r>
      <w:r>
        <w:t xml:space="preserve">GHG emissions, accounting for approximately 28% of total emissions </w:t>
      </w:r>
      <w:r w:rsidR="001F7BB9">
        <w:t xml:space="preserve">nationwide </w:t>
      </w:r>
      <w:r>
        <w:t xml:space="preserve">in 2021 (EPA, 2023). </w:t>
      </w:r>
      <w:r w:rsidR="00851A08">
        <w:t xml:space="preserve"> Electric vehicles (EVs) offer a practical pathway to reduce transportation-related emissions over time.</w:t>
      </w:r>
    </w:p>
    <w:p w14:paraId="799B5F27" w14:textId="693C3DEF" w:rsidR="00936A13" w:rsidRPr="00DF19EA" w:rsidRDefault="00CC1D6D" w:rsidP="00CC1D6D">
      <w:r>
        <w:t xml:space="preserve">In California, </w:t>
      </w:r>
      <w:r w:rsidR="0077215A">
        <w:t>substantial effort</w:t>
      </w:r>
      <w:r w:rsidR="00E75334">
        <w:t>s</w:t>
      </w:r>
      <w:r w:rsidR="0077215A">
        <w:t xml:space="preserve"> </w:t>
      </w:r>
      <w:r w:rsidR="00E75334">
        <w:t>have</w:t>
      </w:r>
      <w:r w:rsidR="111FDB35">
        <w:t xml:space="preserve"> </w:t>
      </w:r>
      <w:r w:rsidR="001F7BB9">
        <w:t xml:space="preserve">helped build </w:t>
      </w:r>
      <w:r w:rsidR="00E52096">
        <w:t xml:space="preserve">the </w:t>
      </w:r>
      <w:r w:rsidR="009C7A21">
        <w:t xml:space="preserve">broader </w:t>
      </w:r>
      <w:r w:rsidR="00E52096">
        <w:t>EV market through program</w:t>
      </w:r>
      <w:r>
        <w:t>s</w:t>
      </w:r>
      <w:r w:rsidR="00E52096">
        <w:t xml:space="preserve"> such as </w:t>
      </w:r>
      <w:r w:rsidR="00A12FCD">
        <w:t>the Clean Vehicle Rebate Pro</w:t>
      </w:r>
      <w:r w:rsidR="00630D6A">
        <w:t>ject</w:t>
      </w:r>
      <w:r w:rsidR="00A12FCD">
        <w:t xml:space="preserve"> (</w:t>
      </w:r>
      <w:r w:rsidR="00E52096">
        <w:t>CVRP</w:t>
      </w:r>
      <w:r w:rsidR="00A12FCD">
        <w:t>)</w:t>
      </w:r>
      <w:r w:rsidR="00DF25F0">
        <w:t xml:space="preserve">. By the end of the second quarter of </w:t>
      </w:r>
      <w:r w:rsidR="005304B5">
        <w:t>2025, zero</w:t>
      </w:r>
      <w:r w:rsidR="00305E53">
        <w:t xml:space="preserve">-emission vehicles (ZEVs) represented over 21% </w:t>
      </w:r>
      <w:r w:rsidR="005547D5">
        <w:t>of all</w:t>
      </w:r>
      <w:r w:rsidR="00CB4AAA">
        <w:t xml:space="preserve"> new vehicles sold in </w:t>
      </w:r>
      <w:r w:rsidR="00E75334">
        <w:t xml:space="preserve">California </w:t>
      </w:r>
      <w:r w:rsidR="00800ED2">
        <w:t>(</w:t>
      </w:r>
      <w:r w:rsidR="003D4C71">
        <w:t xml:space="preserve">California Energy </w:t>
      </w:r>
      <w:r w:rsidR="005304B5">
        <w:t>Commission, 2025)</w:t>
      </w:r>
      <w:r w:rsidR="00800ED2">
        <w:t>.</w:t>
      </w:r>
      <w:r w:rsidR="00E52096">
        <w:t xml:space="preserve"> However, this</w:t>
      </w:r>
      <w:r w:rsidR="00A26C32">
        <w:t xml:space="preserve"> progress </w:t>
      </w:r>
      <w:r w:rsidR="009C7A21">
        <w:t xml:space="preserve">across </w:t>
      </w:r>
      <w:r w:rsidR="00A26C32">
        <w:t xml:space="preserve">the general </w:t>
      </w:r>
      <w:r w:rsidR="00B32123">
        <w:t>population</w:t>
      </w:r>
      <w:r w:rsidR="00E52096">
        <w:t xml:space="preserve"> has </w:t>
      </w:r>
      <w:r w:rsidR="00085E29">
        <w:t xml:space="preserve">not fully extended to </w:t>
      </w:r>
      <w:r w:rsidR="00E52096">
        <w:t xml:space="preserve">certain key segments </w:t>
      </w:r>
      <w:r w:rsidR="00085E29">
        <w:t>of the market</w:t>
      </w:r>
      <w:r w:rsidR="000C2788">
        <w:t>,</w:t>
      </w:r>
      <w:r w:rsidR="00E52096">
        <w:t xml:space="preserve"> such </w:t>
      </w:r>
      <w:r w:rsidR="00085E29">
        <w:t xml:space="preserve">as </w:t>
      </w:r>
      <w:r w:rsidR="00037E2E">
        <w:t>drivers for t</w:t>
      </w:r>
      <w:r w:rsidR="001C0209">
        <w:t xml:space="preserve">ransportation </w:t>
      </w:r>
      <w:r w:rsidR="00037E2E">
        <w:t>n</w:t>
      </w:r>
      <w:r w:rsidR="001C0209">
        <w:t xml:space="preserve">etwork </w:t>
      </w:r>
      <w:r w:rsidR="00037E2E">
        <w:t>c</w:t>
      </w:r>
      <w:r w:rsidR="00C4790F">
        <w:t>ompanies (</w:t>
      </w:r>
      <w:r w:rsidR="00E52096">
        <w:t>TNC</w:t>
      </w:r>
      <w:r w:rsidR="00037E2E">
        <w:t>s</w:t>
      </w:r>
      <w:r w:rsidR="00B24151">
        <w:t>)</w:t>
      </w:r>
      <w:r w:rsidR="00E52096">
        <w:t>.</w:t>
      </w:r>
      <w:r w:rsidR="006D022B">
        <w:t xml:space="preserve"> </w:t>
      </w:r>
    </w:p>
    <w:p w14:paraId="07B3E42D" w14:textId="58835FCE" w:rsidR="00CC6BF4" w:rsidRPr="00CC6BF4" w:rsidRDefault="00CC6BF4" w:rsidP="00922EB9">
      <w:r w:rsidRPr="00CC6BF4">
        <w:t>Although TNCs represent a small share of total vehicles</w:t>
      </w:r>
      <w:r w:rsidR="00B35B1F">
        <w:t xml:space="preserve"> in use</w:t>
      </w:r>
      <w:r w:rsidRPr="00CC6BF4">
        <w:t xml:space="preserve">, they account for about 14% of total vehicle miles traveled in major U.S. urban areas (SFCTA, 2017). In California, TNC vehicles </w:t>
      </w:r>
      <w:r w:rsidR="00037E2E">
        <w:t>log</w:t>
      </w:r>
      <w:r w:rsidR="00037E2E" w:rsidRPr="00CC6BF4">
        <w:t xml:space="preserve"> </w:t>
      </w:r>
      <w:r w:rsidRPr="00CC6BF4">
        <w:t>an average of 180 miles per day</w:t>
      </w:r>
      <w:r>
        <w:t xml:space="preserve">, </w:t>
      </w:r>
      <w:r w:rsidRPr="00CC6BF4">
        <w:t>nearly eight times more than a personal vehicle</w:t>
      </w:r>
      <w:r>
        <w:t xml:space="preserve">, </w:t>
      </w:r>
      <w:r w:rsidRPr="00CC6BF4">
        <w:t xml:space="preserve">and emit approximately 50% more greenhouse gases per passenger mile traveled (Fleming &amp; Cohen D’Agostino, 2020). </w:t>
      </w:r>
      <w:r w:rsidR="00B2799A">
        <w:t xml:space="preserve">To address this </w:t>
      </w:r>
      <w:r w:rsidR="007243DE" w:rsidRPr="007243DE">
        <w:t>disproportionate environmental impact</w:t>
      </w:r>
      <w:r w:rsidR="00D959E1">
        <w:t xml:space="preserve">, </w:t>
      </w:r>
      <w:r w:rsidRPr="00CC6BF4">
        <w:t xml:space="preserve">California has set ambitious goals for TNC fleets, </w:t>
      </w:r>
      <w:r w:rsidR="009C7A21">
        <w:t>including</w:t>
      </w:r>
      <w:r w:rsidR="009C7A21" w:rsidRPr="00CC6BF4">
        <w:t xml:space="preserve"> </w:t>
      </w:r>
      <w:r w:rsidRPr="00CC6BF4">
        <w:t>full electrification by 2030 under the Clean Miles Standard (CMS) established by the California Public Utilities Commission (CPUC, 2023).</w:t>
      </w:r>
    </w:p>
    <w:p w14:paraId="2E683555" w14:textId="2E52700B" w:rsidR="00922EB9" w:rsidRPr="000F4334" w:rsidRDefault="008513AE" w:rsidP="00922EB9">
      <w:r>
        <w:t xml:space="preserve">TNC drivers are </w:t>
      </w:r>
      <w:r w:rsidR="0038725A">
        <w:t>cr</w:t>
      </w:r>
      <w:r w:rsidR="005524E5">
        <w:t>itical</w:t>
      </w:r>
      <w:r w:rsidR="0038725A">
        <w:t xml:space="preserve"> </w:t>
      </w:r>
      <w:r>
        <w:t>to</w:t>
      </w:r>
      <w:r w:rsidR="00412F12">
        <w:t xml:space="preserve"> achieving</w:t>
      </w:r>
      <w:r>
        <w:t xml:space="preserve"> </w:t>
      </w:r>
      <w:r w:rsidR="007056AE">
        <w:t>California</w:t>
      </w:r>
      <w:r>
        <w:t xml:space="preserve"> climate goals, </w:t>
      </w:r>
      <w:r w:rsidR="00D959E1">
        <w:t xml:space="preserve">yet </w:t>
      </w:r>
      <w:r w:rsidR="009C36C7" w:rsidRPr="009C36C7">
        <w:t xml:space="preserve">they </w:t>
      </w:r>
      <w:r w:rsidR="006D022B">
        <w:t xml:space="preserve">face </w:t>
      </w:r>
      <w:r w:rsidR="00E83545">
        <w:t>significant</w:t>
      </w:r>
      <w:r w:rsidR="00C77F83">
        <w:t xml:space="preserve"> </w:t>
      </w:r>
      <w:r w:rsidR="002E42B8">
        <w:t>afford</w:t>
      </w:r>
      <w:r w:rsidR="00C77F83">
        <w:t>ability barriers</w:t>
      </w:r>
      <w:r w:rsidR="00E83545">
        <w:t xml:space="preserve"> </w:t>
      </w:r>
      <w:r w:rsidR="00412F12">
        <w:t>to EV adoption</w:t>
      </w:r>
      <w:r>
        <w:t>.</w:t>
      </w:r>
      <w:r w:rsidR="00936A13">
        <w:t xml:space="preserve"> </w:t>
      </w:r>
      <w:r w:rsidR="009C36C7" w:rsidRPr="009C36C7">
        <w:t xml:space="preserve">Most TNC drivers in California earn less than the </w:t>
      </w:r>
      <w:r w:rsidR="00EA5D95">
        <w:t xml:space="preserve">state </w:t>
      </w:r>
      <w:r w:rsidR="009C36C7" w:rsidRPr="009C36C7">
        <w:t xml:space="preserve">minimum wage (Reich, 2020), and studies of ride-hailing drivers in Los Angeles County confirm that many earn below the mandated rate, underscoring their financial </w:t>
      </w:r>
      <w:r w:rsidR="009D49D0">
        <w:t>vulnerability</w:t>
      </w:r>
      <w:r w:rsidR="009C36C7" w:rsidRPr="009C36C7">
        <w:t xml:space="preserve"> (Waheed et al., 2018). </w:t>
      </w:r>
      <w:r w:rsidR="006A3B54">
        <w:t>Whereas moderate</w:t>
      </w:r>
      <w:r w:rsidR="009C36C7" w:rsidRPr="009C36C7">
        <w:t>-</w:t>
      </w:r>
      <w:r w:rsidR="006A3B54">
        <w:t>income households spend only 10</w:t>
      </w:r>
      <w:r w:rsidR="009C36C7" w:rsidRPr="009C36C7">
        <w:t>–</w:t>
      </w:r>
      <w:r w:rsidR="006A3B54">
        <w:t xml:space="preserve">12% of their </w:t>
      </w:r>
      <w:r w:rsidR="009C36C7" w:rsidRPr="009C36C7">
        <w:t xml:space="preserve">annual </w:t>
      </w:r>
      <w:r w:rsidR="006A3B54">
        <w:t xml:space="preserve">income on transportation, low-income households, </w:t>
      </w:r>
      <w:r w:rsidR="00654189">
        <w:t xml:space="preserve">including </w:t>
      </w:r>
      <w:r w:rsidR="006A3B54">
        <w:t>TNC drivers, can spend nearly 30</w:t>
      </w:r>
      <w:r w:rsidR="009C36C7" w:rsidRPr="009C36C7">
        <w:t xml:space="preserve">%, and </w:t>
      </w:r>
      <w:r w:rsidR="007024D8">
        <w:t>as much as</w:t>
      </w:r>
      <w:r w:rsidR="009C36C7" w:rsidRPr="009C36C7">
        <w:t xml:space="preserve"> 38% for </w:t>
      </w:r>
      <w:r w:rsidR="007024D8">
        <w:t>households</w:t>
      </w:r>
      <w:r w:rsidR="007024D8" w:rsidRPr="009C36C7">
        <w:t xml:space="preserve"> </w:t>
      </w:r>
      <w:r w:rsidR="009C36C7" w:rsidRPr="009C36C7">
        <w:t xml:space="preserve">with at least one vehicle </w:t>
      </w:r>
      <w:r w:rsidR="006A3B54" w:rsidRPr="000F4334">
        <w:t>(Bureau of Transportation Statistics, 2024)</w:t>
      </w:r>
      <w:r w:rsidR="006A3B54">
        <w:t>.</w:t>
      </w:r>
      <w:r w:rsidR="00654189">
        <w:t xml:space="preserve"> On top of </w:t>
      </w:r>
      <w:r w:rsidR="009C36C7" w:rsidRPr="00D25FDD">
        <w:t>these financial pressures</w:t>
      </w:r>
      <w:r w:rsidR="00922EB9">
        <w:t xml:space="preserve">, </w:t>
      </w:r>
      <w:r w:rsidR="00922EB9" w:rsidRPr="3AA71E57">
        <w:t xml:space="preserve">the </w:t>
      </w:r>
      <w:r w:rsidR="001F7BB9">
        <w:t xml:space="preserve">cost of an EV </w:t>
      </w:r>
      <w:r w:rsidR="007024D8">
        <w:t xml:space="preserve">can be </w:t>
      </w:r>
      <w:r w:rsidR="005B40E2">
        <w:t>prohibitive</w:t>
      </w:r>
      <w:r w:rsidR="001F7BB9">
        <w:t xml:space="preserve">, with the </w:t>
      </w:r>
      <w:r w:rsidR="00922EB9" w:rsidRPr="3AA71E57">
        <w:t>average transaction price for a new</w:t>
      </w:r>
      <w:r w:rsidR="00AC3C5A">
        <w:t xml:space="preserve"> </w:t>
      </w:r>
      <w:r w:rsidR="00037E2E">
        <w:t>battery electric vehicle (</w:t>
      </w:r>
      <w:r w:rsidR="00AC3C5A">
        <w:t>BEV</w:t>
      </w:r>
      <w:r w:rsidR="00037E2E">
        <w:t>)</w:t>
      </w:r>
      <w:r w:rsidR="00922EB9" w:rsidRPr="3AA71E57">
        <w:t xml:space="preserve"> </w:t>
      </w:r>
      <w:r w:rsidR="001F7BB9">
        <w:t xml:space="preserve">at </w:t>
      </w:r>
      <w:r w:rsidR="009C36C7" w:rsidRPr="00D25FDD">
        <w:t>$</w:t>
      </w:r>
      <w:r w:rsidR="00567746">
        <w:t>58</w:t>
      </w:r>
      <w:r w:rsidR="00DF58E8">
        <w:t>,124</w:t>
      </w:r>
      <w:r w:rsidR="009C36C7" w:rsidRPr="00D25FDD">
        <w:t xml:space="preserve"> in </w:t>
      </w:r>
      <w:r w:rsidR="00FB624B">
        <w:t xml:space="preserve">September </w:t>
      </w:r>
      <w:r w:rsidR="008309F9">
        <w:t>2025</w:t>
      </w:r>
      <w:r w:rsidR="009C36C7" w:rsidRPr="00D25FDD">
        <w:t xml:space="preserve">, </w:t>
      </w:r>
      <w:r w:rsidR="00922EB9" w:rsidRPr="3AA71E57">
        <w:t xml:space="preserve">approximately 16% higher than </w:t>
      </w:r>
      <w:r w:rsidR="00922EB9">
        <w:t xml:space="preserve">the average new </w:t>
      </w:r>
      <w:r w:rsidR="00037E2E">
        <w:t xml:space="preserve">internal combustion engine </w:t>
      </w:r>
      <w:r w:rsidR="009C36C7" w:rsidRPr="00D25FDD">
        <w:t xml:space="preserve">vehicle </w:t>
      </w:r>
      <w:r w:rsidR="00A95E2D">
        <w:t xml:space="preserve">(ICEV) </w:t>
      </w:r>
      <w:r w:rsidR="009C36C7" w:rsidRPr="00D25FDD">
        <w:t>(</w:t>
      </w:r>
      <w:r w:rsidR="00501AA3">
        <w:t>Cox Automotive</w:t>
      </w:r>
      <w:r w:rsidR="00922EB9" w:rsidRPr="3AA71E57">
        <w:t>, 202</w:t>
      </w:r>
      <w:r w:rsidR="00F64C24">
        <w:t>5</w:t>
      </w:r>
      <w:r w:rsidR="00922EB9" w:rsidRPr="3AA71E57">
        <w:t>)</w:t>
      </w:r>
      <w:r w:rsidR="00347530">
        <w:t xml:space="preserve">. </w:t>
      </w:r>
      <w:r w:rsidR="00654189">
        <w:t xml:space="preserve">Equity </w:t>
      </w:r>
      <w:r w:rsidR="00347530">
        <w:t xml:space="preserve">concerns </w:t>
      </w:r>
      <w:r w:rsidR="00654189">
        <w:t xml:space="preserve">for TNC drivers </w:t>
      </w:r>
      <w:r w:rsidR="009C36C7" w:rsidRPr="00D25FDD">
        <w:t>are therefore likely to</w:t>
      </w:r>
      <w:r w:rsidR="00654189">
        <w:t xml:space="preserve"> </w:t>
      </w:r>
      <w:r w:rsidR="00347530">
        <w:t xml:space="preserve">be exacerbated by </w:t>
      </w:r>
      <w:r w:rsidR="009C36C7" w:rsidRPr="00D25FDD">
        <w:t>the higher upfront costs of</w:t>
      </w:r>
      <w:r w:rsidR="00AC3C5A">
        <w:t xml:space="preserve"> BEV</w:t>
      </w:r>
      <w:r w:rsidR="00347530">
        <w:t>s</w:t>
      </w:r>
      <w:r w:rsidR="009C36C7" w:rsidRPr="00D25FDD">
        <w:t>, despite</w:t>
      </w:r>
      <w:r w:rsidR="00347530">
        <w:t xml:space="preserve"> their </w:t>
      </w:r>
      <w:r w:rsidR="00754D37">
        <w:t xml:space="preserve">lower operating costs and </w:t>
      </w:r>
      <w:r w:rsidR="00347530">
        <w:t>pollution benefits.</w:t>
      </w:r>
    </w:p>
    <w:p w14:paraId="5F8BF71D" w14:textId="67A458D0" w:rsidR="004D7117" w:rsidRDefault="00F20CD4" w:rsidP="0015075C">
      <w:r>
        <w:lastRenderedPageBreak/>
        <w:t xml:space="preserve">This analysis </w:t>
      </w:r>
      <w:r w:rsidR="00313607">
        <w:t>investigates</w:t>
      </w:r>
      <w:r w:rsidR="00F14C16" w:rsidDel="00313975">
        <w:t xml:space="preserve"> </w:t>
      </w:r>
      <w:r w:rsidR="00F14C16">
        <w:t xml:space="preserve">how </w:t>
      </w:r>
      <w:r w:rsidR="008B4FAE">
        <w:t xml:space="preserve">California can overcome </w:t>
      </w:r>
      <w:r w:rsidR="00D1217E">
        <w:t>affordability</w:t>
      </w:r>
      <w:r w:rsidR="008B4FAE">
        <w:t xml:space="preserve"> barriers </w:t>
      </w:r>
      <w:r w:rsidR="00C733BF">
        <w:t>and accelerate</w:t>
      </w:r>
      <w:r w:rsidR="008B4FAE" w:rsidDel="00C733BF">
        <w:t xml:space="preserve"> </w:t>
      </w:r>
      <w:r w:rsidR="00AC3C5A">
        <w:t>BEV</w:t>
      </w:r>
      <w:r w:rsidR="008B4FAE">
        <w:t xml:space="preserve"> adoption within the TNC driver segment</w:t>
      </w:r>
      <w:r w:rsidR="00A613BA">
        <w:t xml:space="preserve"> to achieve climate change mitigation goals</w:t>
      </w:r>
      <w:r w:rsidR="00201EA5">
        <w:t>.</w:t>
      </w:r>
      <w:r w:rsidR="00A613BA">
        <w:t xml:space="preserve"> </w:t>
      </w:r>
      <w:r w:rsidR="00AC0D68">
        <w:t>To do so, this paper explores the incentive levels required to meet two different thresholds for TNC drivers</w:t>
      </w:r>
      <w:r w:rsidR="004D7117">
        <w:t>:</w:t>
      </w:r>
    </w:p>
    <w:p w14:paraId="7F27F988" w14:textId="782B8C75" w:rsidR="004D7117" w:rsidRDefault="004D7117" w:rsidP="00AB1361">
      <w:pPr>
        <w:pStyle w:val="ListParagraph"/>
        <w:numPr>
          <w:ilvl w:val="0"/>
          <w:numId w:val="48"/>
        </w:numPr>
      </w:pPr>
      <w:r>
        <w:rPr>
          <w:b/>
        </w:rPr>
        <w:t>The adoption threshold:</w:t>
      </w:r>
      <w:r w:rsidR="00AC0D68" w:rsidRPr="00A31F57">
        <w:rPr>
          <w:rFonts w:hint="eastAsia"/>
        </w:rPr>
        <w:t xml:space="preserve"> </w:t>
      </w:r>
      <w:r w:rsidR="00B82B29" w:rsidRPr="00A31F57">
        <w:rPr>
          <w:rFonts w:hint="eastAsia"/>
        </w:rPr>
        <w:t>the point at which</w:t>
      </w:r>
      <w:r w:rsidR="00AC3C5A">
        <w:rPr>
          <w:rFonts w:hint="eastAsia"/>
        </w:rPr>
        <w:t xml:space="preserve"> BEV</w:t>
      </w:r>
      <w:r w:rsidR="00B82B29" w:rsidRPr="00A31F57">
        <w:rPr>
          <w:rFonts w:hint="eastAsia"/>
        </w:rPr>
        <w:t xml:space="preserve">s become cheaper to </w:t>
      </w:r>
      <w:r w:rsidR="00280BE1">
        <w:t xml:space="preserve">obtain and </w:t>
      </w:r>
      <w:r w:rsidR="00B82B29" w:rsidRPr="00A31F57">
        <w:rPr>
          <w:rFonts w:hint="eastAsia"/>
        </w:rPr>
        <w:t>operate than a comparative ICEV</w:t>
      </w:r>
      <w:r w:rsidR="00A31F57">
        <w:t>.</w:t>
      </w:r>
    </w:p>
    <w:p w14:paraId="16426954" w14:textId="1469BA0A" w:rsidR="00E83545" w:rsidRPr="00A31F57" w:rsidRDefault="00E45702" w:rsidP="00AB1361">
      <w:pPr>
        <w:pStyle w:val="ListParagraph"/>
        <w:numPr>
          <w:ilvl w:val="0"/>
          <w:numId w:val="48"/>
        </w:numPr>
      </w:pPr>
      <w:r>
        <w:rPr>
          <w:b/>
        </w:rPr>
        <w:t xml:space="preserve">The </w:t>
      </w:r>
      <w:r>
        <w:rPr>
          <w:b/>
          <w:bCs/>
        </w:rPr>
        <w:t>affordability</w:t>
      </w:r>
      <w:r>
        <w:rPr>
          <w:b/>
        </w:rPr>
        <w:t xml:space="preserve"> threshold</w:t>
      </w:r>
      <w:r w:rsidR="004D7117">
        <w:rPr>
          <w:b/>
        </w:rPr>
        <w:t xml:space="preserve">: </w:t>
      </w:r>
      <w:r w:rsidR="004D7117" w:rsidRPr="00A31F57">
        <w:t>the</w:t>
      </w:r>
      <w:r w:rsidR="004D7117">
        <w:rPr>
          <w:b/>
        </w:rPr>
        <w:t xml:space="preserve"> </w:t>
      </w:r>
      <w:r w:rsidR="00B82B29" w:rsidRPr="00A31F57">
        <w:rPr>
          <w:rFonts w:hint="eastAsia"/>
        </w:rPr>
        <w:t>point at which</w:t>
      </w:r>
      <w:r w:rsidR="00AC3C5A">
        <w:rPr>
          <w:rFonts w:hint="eastAsia"/>
        </w:rPr>
        <w:t xml:space="preserve"> </w:t>
      </w:r>
      <w:r w:rsidR="00C92D09">
        <w:t>monthly vehicle costs</w:t>
      </w:r>
      <w:r w:rsidR="00B82B29" w:rsidRPr="00A31F57">
        <w:rPr>
          <w:rFonts w:hint="eastAsia"/>
        </w:rPr>
        <w:t xml:space="preserve"> </w:t>
      </w:r>
      <w:r w:rsidR="004D7117">
        <w:t xml:space="preserve">comprise 15% </w:t>
      </w:r>
      <w:r w:rsidR="00C92D09">
        <w:t xml:space="preserve">or less </w:t>
      </w:r>
      <w:r w:rsidR="004D7117">
        <w:t xml:space="preserve">of </w:t>
      </w:r>
      <w:r w:rsidR="00D04136">
        <w:t xml:space="preserve">a given household </w:t>
      </w:r>
      <w:r w:rsidR="004D7117">
        <w:t>income.</w:t>
      </w:r>
    </w:p>
    <w:p w14:paraId="19A85CE3" w14:textId="1FA61B9C" w:rsidR="0095112C" w:rsidRDefault="00135A24" w:rsidP="0015075C">
      <w:r>
        <w:t>In the sections below we compare differe</w:t>
      </w:r>
      <w:r w:rsidR="00DD4178">
        <w:t xml:space="preserve">nt configurations of </w:t>
      </w:r>
      <w:r w:rsidR="00F02785">
        <w:t>vehicle type</w:t>
      </w:r>
      <w:r w:rsidR="00F631C7">
        <w:t xml:space="preserve"> (new and used)</w:t>
      </w:r>
      <w:r w:rsidR="00DD4178">
        <w:t xml:space="preserve"> </w:t>
      </w:r>
      <w:r w:rsidR="00494912">
        <w:t xml:space="preserve">and financing </w:t>
      </w:r>
      <w:r w:rsidR="00F631C7">
        <w:t>(</w:t>
      </w:r>
      <w:r w:rsidR="00F02785">
        <w:t xml:space="preserve">lease and purchase) </w:t>
      </w:r>
      <w:r w:rsidR="00494912">
        <w:t xml:space="preserve">choices </w:t>
      </w:r>
      <w:proofErr w:type="gramStart"/>
      <w:r w:rsidR="00494912">
        <w:t>in order to</w:t>
      </w:r>
      <w:proofErr w:type="gramEnd"/>
      <w:r w:rsidR="00494912">
        <w:t xml:space="preserve"> </w:t>
      </w:r>
      <w:r w:rsidR="00505828">
        <w:t xml:space="preserve">explore the different </w:t>
      </w:r>
      <w:r w:rsidR="00B21CF0">
        <w:t>options</w:t>
      </w:r>
      <w:r w:rsidR="00505828">
        <w:t xml:space="preserve"> TNC drivers will be presented when </w:t>
      </w:r>
      <w:r w:rsidR="00B21CF0">
        <w:t xml:space="preserve">deciding </w:t>
      </w:r>
      <w:r w:rsidR="00505828">
        <w:t xml:space="preserve">between </w:t>
      </w:r>
      <w:r w:rsidR="001C5862">
        <w:t xml:space="preserve">a </w:t>
      </w:r>
      <w:r w:rsidR="00AC3C5A">
        <w:t>BEV</w:t>
      </w:r>
      <w:r w:rsidR="00505828">
        <w:t xml:space="preserve"> and ICEV.</w:t>
      </w:r>
      <w:r w:rsidR="00573DF8">
        <w:t xml:space="preserve"> </w:t>
      </w:r>
      <w:r w:rsidR="00505828">
        <w:t xml:space="preserve">The results </w:t>
      </w:r>
      <w:r w:rsidR="00C43FB4">
        <w:t>identify</w:t>
      </w:r>
      <w:r w:rsidR="00505828">
        <w:t xml:space="preserve"> incentive amounts </w:t>
      </w:r>
      <w:r w:rsidR="00C43FB4">
        <w:t>needed</w:t>
      </w:r>
      <w:r w:rsidR="00505828">
        <w:t xml:space="preserve"> to </w:t>
      </w:r>
      <w:r w:rsidR="007024D8">
        <w:t xml:space="preserve">drive </w:t>
      </w:r>
      <w:r w:rsidR="00964E97">
        <w:t>E</w:t>
      </w:r>
      <w:r w:rsidR="00C43FB4">
        <w:t>V adoption</w:t>
      </w:r>
      <w:r w:rsidR="00BD7184">
        <w:t xml:space="preserve"> and </w:t>
      </w:r>
      <w:r w:rsidR="00832F9B">
        <w:t>achieve affordability</w:t>
      </w:r>
      <w:r w:rsidR="00505828">
        <w:t xml:space="preserve">. </w:t>
      </w:r>
      <w:r w:rsidR="00F16573">
        <w:t>To calculate these results, we employ</w:t>
      </w:r>
      <w:r w:rsidR="00A93756">
        <w:t xml:space="preserve"> the Center for Sustainable Energy</w:t>
      </w:r>
      <w:r w:rsidR="00A95E2D">
        <w:t>’s</w:t>
      </w:r>
      <w:r w:rsidR="00F16573">
        <w:t xml:space="preserve"> </w:t>
      </w:r>
      <w:r w:rsidR="008F16FC">
        <w:t>(</w:t>
      </w:r>
      <w:r w:rsidR="00F16573">
        <w:t>CSE</w:t>
      </w:r>
      <w:r w:rsidR="008F16FC">
        <w:t>)</w:t>
      </w:r>
      <w:r w:rsidR="00F16573">
        <w:t xml:space="preserve"> Affordability Tool, which </w:t>
      </w:r>
      <w:r w:rsidR="00762CEF">
        <w:t xml:space="preserve">considers both </w:t>
      </w:r>
      <w:r w:rsidR="00684C43">
        <w:t>financing</w:t>
      </w:r>
      <w:r w:rsidR="00762CEF">
        <w:t xml:space="preserve"> and operational cost</w:t>
      </w:r>
      <w:r w:rsidR="007024D8">
        <w:t>s</w:t>
      </w:r>
      <w:r w:rsidR="00762CEF">
        <w:t xml:space="preserve"> over time </w:t>
      </w:r>
      <w:r w:rsidR="00322056">
        <w:t xml:space="preserve">and </w:t>
      </w:r>
      <w:r w:rsidR="00A95E2D">
        <w:t xml:space="preserve">consolidates </w:t>
      </w:r>
      <w:r w:rsidR="00684C43">
        <w:t>all costs into an expected monthly payment</w:t>
      </w:r>
      <w:r w:rsidR="00322056">
        <w:t xml:space="preserve">. </w:t>
      </w:r>
    </w:p>
    <w:p w14:paraId="22B16996" w14:textId="2C5CB455" w:rsidR="00C87842" w:rsidRPr="001836E5" w:rsidRDefault="00C87842" w:rsidP="29C01A36">
      <w:r w:rsidRPr="001836E5">
        <w:t>By analyzing these questions, the paper identifies</w:t>
      </w:r>
      <w:r w:rsidR="000C6312">
        <w:t xml:space="preserve"> potential solutions </w:t>
      </w:r>
      <w:r w:rsidRPr="001836E5">
        <w:t>to make</w:t>
      </w:r>
      <w:r w:rsidR="00AC3C5A">
        <w:t xml:space="preserve"> BEV</w:t>
      </w:r>
      <w:r w:rsidRPr="001836E5">
        <w:t xml:space="preserve"> ownership more affordable for TNC drivers and to advance sustainable urban transportation, thereby supporting California’s broader emission reduction goals.</w:t>
      </w:r>
    </w:p>
    <w:p w14:paraId="278E4DC1" w14:textId="204D428A" w:rsidR="00CC34E6" w:rsidRPr="000F4334" w:rsidRDefault="7EEA6EA2" w:rsidP="00AB1361">
      <w:pPr>
        <w:pStyle w:val="Heading2"/>
      </w:pPr>
      <w:r w:rsidRPr="551FA98D">
        <w:t>Methods</w:t>
      </w:r>
    </w:p>
    <w:p w14:paraId="0988C3BE" w14:textId="528B8E44" w:rsidR="007F73EE" w:rsidRDefault="00D8450A" w:rsidP="00AB1361">
      <w:pPr>
        <w:pStyle w:val="Heading3"/>
      </w:pPr>
      <w:r w:rsidRPr="000F4334">
        <w:t xml:space="preserve">Model </w:t>
      </w:r>
      <w:r w:rsidR="00C977DE" w:rsidRPr="000F4334">
        <w:t>Description</w:t>
      </w:r>
    </w:p>
    <w:p w14:paraId="19B4D902" w14:textId="7B6D92D9" w:rsidR="002B352A" w:rsidRPr="000F4334" w:rsidRDefault="006F2F03" w:rsidP="002B352A">
      <w:r w:rsidRPr="000F4334">
        <w:t>Two common approaches for</w:t>
      </w:r>
      <w:r w:rsidR="00AC3C5A">
        <w:t xml:space="preserve"> </w:t>
      </w:r>
      <w:r w:rsidR="002B352A">
        <w:t>ev</w:t>
      </w:r>
      <w:r w:rsidRPr="000F4334">
        <w:t xml:space="preserve">aluating whether </w:t>
      </w:r>
      <w:r w:rsidR="00EA1498">
        <w:t xml:space="preserve">a </w:t>
      </w:r>
      <w:r w:rsidR="00AC3C5A">
        <w:t>BEV</w:t>
      </w:r>
      <w:r w:rsidRPr="000F4334">
        <w:t xml:space="preserve"> is affordable are Affordability Purchase Models </w:t>
      </w:r>
      <w:r w:rsidR="00777D39">
        <w:t>(which typically</w:t>
      </w:r>
      <w:r w:rsidR="00B44F22">
        <w:t xml:space="preserve"> focuses</w:t>
      </w:r>
      <w:r w:rsidR="00777D39">
        <w:t xml:space="preserve"> on upfront costs) </w:t>
      </w:r>
      <w:r w:rsidRPr="000F4334">
        <w:t>and Total Cost of Ownership (TCO) models</w:t>
      </w:r>
      <w:r w:rsidR="00777D39">
        <w:t xml:space="preserve"> (which adopt a long-term perspective by incorporating all costs over the vehicle’s life span)</w:t>
      </w:r>
      <w:r w:rsidR="007639E5">
        <w:t xml:space="preserve"> </w:t>
      </w:r>
      <w:r w:rsidR="007639E5" w:rsidRPr="000F4334">
        <w:t>(Burnham et al., 2021; Lazer et al., 2021</w:t>
      </w:r>
      <w:r w:rsidR="00B6626A">
        <w:t>; Fernandes et al., 2023</w:t>
      </w:r>
      <w:r w:rsidR="007639E5" w:rsidRPr="000F4334">
        <w:t>)</w:t>
      </w:r>
      <w:r w:rsidRPr="000F4334">
        <w:t xml:space="preserve">. </w:t>
      </w:r>
      <w:r w:rsidR="00CC2C84">
        <w:t>Both</w:t>
      </w:r>
      <w:r w:rsidR="00E0113C" w:rsidRPr="001A4B63">
        <w:t xml:space="preserve"> models</w:t>
      </w:r>
      <w:r w:rsidR="00CC2C84">
        <w:t xml:space="preserve"> have been relied upon </w:t>
      </w:r>
      <w:r w:rsidR="002B5B5C">
        <w:t xml:space="preserve">by </w:t>
      </w:r>
      <w:r w:rsidR="00CC2C84">
        <w:t xml:space="preserve">policymakers </w:t>
      </w:r>
      <w:r w:rsidR="00FD548B">
        <w:t xml:space="preserve">to </w:t>
      </w:r>
      <w:r w:rsidR="003317CF">
        <w:t xml:space="preserve">correctly set incentive amounts for specific or general </w:t>
      </w:r>
      <w:r w:rsidR="00EA5374">
        <w:t>market programs</w:t>
      </w:r>
      <w:r w:rsidR="003317CF">
        <w:t>.</w:t>
      </w:r>
    </w:p>
    <w:p w14:paraId="154B623B" w14:textId="0FDE7857" w:rsidR="00777D39" w:rsidRDefault="00D6597A" w:rsidP="006F2F03">
      <w:r>
        <w:t xml:space="preserve">CSE’s Affordability Tool </w:t>
      </w:r>
      <w:r w:rsidR="009E5E09">
        <w:t xml:space="preserve">combines aspects of both methods to faithfully recreate what TNC drivers will likely consider at the point of purchase. That is, it </w:t>
      </w:r>
      <w:r w:rsidR="003E6A63">
        <w:t>uses purchase and financing options</w:t>
      </w:r>
      <w:r w:rsidR="006B5B01">
        <w:t xml:space="preserve"> but</w:t>
      </w:r>
      <w:r w:rsidR="003E6A63">
        <w:t xml:space="preserve"> also includes operational costs</w:t>
      </w:r>
      <w:r w:rsidR="008F6D00">
        <w:t xml:space="preserve"> f</w:t>
      </w:r>
      <w:r w:rsidR="003317CF">
        <w:t>o</w:t>
      </w:r>
      <w:r w:rsidR="008F6D00">
        <w:t>r the first</w:t>
      </w:r>
      <w:r w:rsidR="003E6A63">
        <w:t xml:space="preserve"> </w:t>
      </w:r>
      <w:r w:rsidR="008F6D00">
        <w:t>five</w:t>
      </w:r>
      <w:r w:rsidR="003E6A63">
        <w:t xml:space="preserve"> years of operation</w:t>
      </w:r>
      <w:r w:rsidR="006B5B01">
        <w:t xml:space="preserve"> (or three years in the case of a lease)</w:t>
      </w:r>
      <w:r w:rsidR="003E6A63">
        <w:t xml:space="preserve">. This </w:t>
      </w:r>
      <w:r w:rsidR="003277F1">
        <w:t xml:space="preserve">duration was selected instead of the entire vehicle lifespan because </w:t>
      </w:r>
      <w:r w:rsidR="00E5159D">
        <w:t xml:space="preserve">it reflects the </w:t>
      </w:r>
      <w:r w:rsidR="00C63E2B">
        <w:t xml:space="preserve">perspective of actual vehicle drivers at the point of purchase. </w:t>
      </w:r>
      <w:r w:rsidR="00C108C3">
        <w:t xml:space="preserve">As such, the hybrid configuration of CSE’s Affordability Tool </w:t>
      </w:r>
      <w:r w:rsidR="005D7656">
        <w:t xml:space="preserve">is more useful when designing incentive programs intended to effectively </w:t>
      </w:r>
      <w:r w:rsidR="005512FA">
        <w:t>convert actual drivers (including TNCs) to adopt</w:t>
      </w:r>
      <w:r w:rsidR="00AC3C5A">
        <w:t xml:space="preserve"> BEV</w:t>
      </w:r>
      <w:r w:rsidR="005512FA">
        <w:t xml:space="preserve">s. </w:t>
      </w:r>
    </w:p>
    <w:p w14:paraId="46A3EFF7" w14:textId="768B166D" w:rsidR="00C12A9D" w:rsidRDefault="00906C70" w:rsidP="006F2F03">
      <w:r w:rsidRPr="000F4334">
        <w:t xml:space="preserve">The </w:t>
      </w:r>
      <w:r>
        <w:t>A</w:t>
      </w:r>
      <w:r w:rsidRPr="000F4334">
        <w:t xml:space="preserve">ffordability </w:t>
      </w:r>
      <w:r>
        <w:t xml:space="preserve">Tool used </w:t>
      </w:r>
      <w:r w:rsidRPr="000F4334">
        <w:t>in this study examines TNC drivers</w:t>
      </w:r>
      <w:r>
        <w:t>’</w:t>
      </w:r>
      <w:r w:rsidRPr="000F4334">
        <w:t xml:space="preserve"> monthly expense ratios—defined as the percentage of </w:t>
      </w:r>
      <w:r w:rsidR="00F50349">
        <w:t xml:space="preserve">total monthly </w:t>
      </w:r>
      <w:r w:rsidR="00BE2441" w:rsidRPr="000F4334">
        <w:t xml:space="preserve">vehicle expenses </w:t>
      </w:r>
      <w:r w:rsidR="009E4271">
        <w:t xml:space="preserve">divided by the </w:t>
      </w:r>
      <w:r w:rsidRPr="000F4334">
        <w:t xml:space="preserve">monthly household income </w:t>
      </w:r>
      <w:r w:rsidR="009E4271">
        <w:t>(</w:t>
      </w:r>
      <w:r w:rsidRPr="000F4334">
        <w:t>scaled to household size</w:t>
      </w:r>
      <w:r w:rsidR="009E4271">
        <w:t>)</w:t>
      </w:r>
      <w:r w:rsidRPr="000F4334">
        <w:t>.</w:t>
      </w:r>
      <w:r w:rsidR="0006122D">
        <w:t xml:space="preserve"> </w:t>
      </w:r>
      <w:r w:rsidR="00243D11">
        <w:t xml:space="preserve">The vehicle expenses are </w:t>
      </w:r>
      <w:r w:rsidR="007A591C">
        <w:t xml:space="preserve">the </w:t>
      </w:r>
      <w:r w:rsidR="00BD14F2">
        <w:t xml:space="preserve">sum </w:t>
      </w:r>
      <w:r w:rsidR="00243D11">
        <w:t>of</w:t>
      </w:r>
      <w:r w:rsidR="00C12A9D">
        <w:t>:</w:t>
      </w:r>
    </w:p>
    <w:p w14:paraId="05EDC2A4" w14:textId="6BF0D73A" w:rsidR="00C12A9D" w:rsidRDefault="00EA5374" w:rsidP="00AB1361">
      <w:pPr>
        <w:pStyle w:val="ListParagraph"/>
        <w:numPr>
          <w:ilvl w:val="0"/>
          <w:numId w:val="49"/>
        </w:numPr>
      </w:pPr>
      <w:r>
        <w:rPr>
          <w:b/>
        </w:rPr>
        <w:t>F</w:t>
      </w:r>
      <w:r w:rsidR="00BC3AEC" w:rsidRPr="00C220F1">
        <w:rPr>
          <w:b/>
        </w:rPr>
        <w:t>inancin</w:t>
      </w:r>
      <w:r w:rsidR="00FC4276" w:rsidRPr="00C220F1">
        <w:rPr>
          <w:b/>
        </w:rPr>
        <w:t>g costs</w:t>
      </w:r>
      <w:r>
        <w:t xml:space="preserve">, </w:t>
      </w:r>
      <w:r w:rsidR="00E93B98" w:rsidRPr="00C220F1">
        <w:t xml:space="preserve">which are dependent on MSRP, purchase type, </w:t>
      </w:r>
      <w:r w:rsidR="00C12A9D" w:rsidRPr="00C220F1">
        <w:t xml:space="preserve">loan terms, </w:t>
      </w:r>
      <w:r w:rsidR="00F01A26" w:rsidRPr="00C220F1">
        <w:t xml:space="preserve">and </w:t>
      </w:r>
      <w:r w:rsidR="00E93B98" w:rsidRPr="00C220F1">
        <w:t>APR</w:t>
      </w:r>
      <w:r>
        <w:t>.</w:t>
      </w:r>
    </w:p>
    <w:p w14:paraId="7A13DED7" w14:textId="259583ED" w:rsidR="008C697A" w:rsidRDefault="00EA5374" w:rsidP="00AB1361">
      <w:pPr>
        <w:pStyle w:val="ListParagraph"/>
        <w:numPr>
          <w:ilvl w:val="0"/>
          <w:numId w:val="49"/>
        </w:numPr>
      </w:pPr>
      <w:r>
        <w:rPr>
          <w:b/>
        </w:rPr>
        <w:t>O</w:t>
      </w:r>
      <w:r w:rsidR="008C697A" w:rsidRPr="00C220F1">
        <w:rPr>
          <w:b/>
        </w:rPr>
        <w:t>perational costs</w:t>
      </w:r>
      <w:r>
        <w:t xml:space="preserve">, </w:t>
      </w:r>
      <w:r w:rsidR="00B4447C">
        <w:t xml:space="preserve">which are dependent on miles driven </w:t>
      </w:r>
      <w:r w:rsidR="008C697A" w:rsidRPr="008A42EE">
        <w:t xml:space="preserve">such as fuel, </w:t>
      </w:r>
      <w:r w:rsidR="00C220F1" w:rsidRPr="008A42EE">
        <w:t>maintenance</w:t>
      </w:r>
      <w:r>
        <w:t>,</w:t>
      </w:r>
      <w:r w:rsidR="008C697A" w:rsidRPr="008A42EE">
        <w:t xml:space="preserve"> and insurance. </w:t>
      </w:r>
    </w:p>
    <w:p w14:paraId="6AFBA97F" w14:textId="7C9E4429" w:rsidR="00C12A9D" w:rsidRPr="00C220F1" w:rsidRDefault="008C697A" w:rsidP="00C220F1">
      <w:r w:rsidRPr="00C220F1">
        <w:t xml:space="preserve">This </w:t>
      </w:r>
      <w:r w:rsidR="00AC496B">
        <w:t>sum</w:t>
      </w:r>
      <w:r>
        <w:t xml:space="preserve"> </w:t>
      </w:r>
      <w:r w:rsidRPr="00C220F1">
        <w:t>is then compared to the household income, which is scaled</w:t>
      </w:r>
      <w:r>
        <w:t xml:space="preserve"> </w:t>
      </w:r>
      <w:proofErr w:type="gramStart"/>
      <w:r w:rsidR="00EA5374">
        <w:t>for</w:t>
      </w:r>
      <w:proofErr w:type="gramEnd"/>
      <w:r>
        <w:t xml:space="preserve"> the number of people in the household. In this study, affordability is defined as spending no more than 15% of household income </w:t>
      </w:r>
      <w:r w:rsidR="00C838C4">
        <w:t>on vehicle expenses</w:t>
      </w:r>
      <w:r w:rsidR="00F82580">
        <w:t xml:space="preserve">, which </w:t>
      </w:r>
      <w:r w:rsidR="00F82580" w:rsidRPr="000F4334">
        <w:t>aligns closely with the 2022 U.S. household transportation average costs (Bureau of Transportation Statistics, 2024)</w:t>
      </w:r>
      <w:r w:rsidR="00EA5374">
        <w:t>.</w:t>
      </w:r>
      <w:r>
        <w:t xml:space="preserve"> </w:t>
      </w:r>
    </w:p>
    <w:p w14:paraId="61C61164" w14:textId="70BEA91E" w:rsidR="00DD702C" w:rsidRPr="00AB754B" w:rsidRDefault="30508911" w:rsidP="18AA3735">
      <w:r w:rsidRPr="000F4334">
        <w:lastRenderedPageBreak/>
        <w:t xml:space="preserve">In this study, we </w:t>
      </w:r>
      <w:r w:rsidR="00943CCC">
        <w:t>assume</w:t>
      </w:r>
      <w:r w:rsidRPr="000F4334">
        <w:t xml:space="preserve"> 10% down</w:t>
      </w:r>
      <w:r w:rsidR="0058038C">
        <w:t xml:space="preserve"> </w:t>
      </w:r>
      <w:r w:rsidRPr="000F4334">
        <w:t xml:space="preserve">payment and a </w:t>
      </w:r>
      <w:r w:rsidR="00EA5374">
        <w:t>5</w:t>
      </w:r>
      <w:r w:rsidRPr="000F4334">
        <w:t>-year loan term</w:t>
      </w:r>
      <w:r w:rsidR="00943CCC">
        <w:t xml:space="preserve"> or </w:t>
      </w:r>
      <w:r w:rsidR="002049F6">
        <w:t xml:space="preserve">a </w:t>
      </w:r>
      <w:r w:rsidR="00943CCC">
        <w:t>3-year term</w:t>
      </w:r>
      <w:r w:rsidR="002049F6">
        <w:t xml:space="preserve"> for leasing</w:t>
      </w:r>
      <w:r w:rsidRPr="000F4334">
        <w:t>.</w:t>
      </w:r>
      <w:r w:rsidR="009B3D5C">
        <w:t xml:space="preserve"> </w:t>
      </w:r>
      <w:r w:rsidR="311B20FE" w:rsidRPr="000F4334">
        <w:t>Leveraging baseline assumptions and sensitivity analyses, the study assesses the impact of key f</w:t>
      </w:r>
      <w:r w:rsidR="009B3D5C">
        <w:t>inancing</w:t>
      </w:r>
      <w:r w:rsidR="311B20FE" w:rsidRPr="000F4334">
        <w:t xml:space="preserve"> and </w:t>
      </w:r>
      <w:r w:rsidR="009B3D5C">
        <w:t>operational</w:t>
      </w:r>
      <w:r w:rsidR="311B20FE" w:rsidRPr="000F4334">
        <w:t xml:space="preserve"> </w:t>
      </w:r>
      <w:r w:rsidR="009B3D5C">
        <w:t>costs</w:t>
      </w:r>
      <w:r w:rsidR="004502B2">
        <w:t xml:space="preserve"> </w:t>
      </w:r>
      <w:r w:rsidR="004502B2" w:rsidRPr="000F4334">
        <w:t>on overall</w:t>
      </w:r>
      <w:r w:rsidR="003A7BBB">
        <w:t xml:space="preserve"> </w:t>
      </w:r>
      <w:r w:rsidR="003A7BBB" w:rsidRPr="006C3B98">
        <w:t>monthly</w:t>
      </w:r>
      <w:r w:rsidR="004502B2" w:rsidRPr="006C3B98">
        <w:t xml:space="preserve"> </w:t>
      </w:r>
      <w:r w:rsidR="00AB754B" w:rsidRPr="006C3B98">
        <w:t>affordability. Recent trends show that 46% of new</w:t>
      </w:r>
      <w:r w:rsidR="00AC3C5A">
        <w:t xml:space="preserve"> BEV</w:t>
      </w:r>
      <w:r w:rsidR="00AB754B" w:rsidRPr="006C3B98">
        <w:t xml:space="preserve"> acquisitions in 2024 were leases, reflecting a broader consumer shift toward financing options that minimize upfront costs (Experian, 2024). Recognizing this trend, the study examines both purchasing and leasing pathways to capture the range of financial strategies available to TNC drivers.</w:t>
      </w:r>
    </w:p>
    <w:p w14:paraId="327C7094" w14:textId="766EC3C5" w:rsidR="00095EB3" w:rsidRPr="000F4334" w:rsidRDefault="00095EB3" w:rsidP="00AB1361">
      <w:pPr>
        <w:pStyle w:val="Heading2"/>
      </w:pPr>
      <w:r w:rsidRPr="000F4334">
        <w:t>Model Assumptions</w:t>
      </w:r>
    </w:p>
    <w:p w14:paraId="2C111BA5" w14:textId="2C6570B8" w:rsidR="005443AC" w:rsidRDefault="00F7283D" w:rsidP="00CE16D2">
      <w:r>
        <w:t>The Affordability Tool</w:t>
      </w:r>
      <w:r w:rsidR="00EA5374">
        <w:t>,</w:t>
      </w:r>
      <w:r>
        <w:t xml:space="preserve"> as discussed above, requires three sets of assumptions</w:t>
      </w:r>
      <w:r w:rsidR="00EA5374">
        <w:t>:</w:t>
      </w:r>
      <w:r>
        <w:t xml:space="preserve"> </w:t>
      </w:r>
      <w:r w:rsidR="00646E0C">
        <w:t xml:space="preserve">1) </w:t>
      </w:r>
      <w:r>
        <w:t xml:space="preserve">assumptions related to </w:t>
      </w:r>
      <w:r w:rsidR="00F84BA4">
        <w:t>financing</w:t>
      </w:r>
      <w:r>
        <w:t xml:space="preserve">, </w:t>
      </w:r>
      <w:r w:rsidR="00646E0C">
        <w:t xml:space="preserve">2) </w:t>
      </w:r>
      <w:r>
        <w:t xml:space="preserve">assumptions regarding operational costs, and </w:t>
      </w:r>
      <w:r w:rsidR="00646E0C">
        <w:t xml:space="preserve">3) </w:t>
      </w:r>
      <w:r>
        <w:t xml:space="preserve">assumptions regarding household </w:t>
      </w:r>
      <w:r w:rsidR="009F746B">
        <w:t>demographic</w:t>
      </w:r>
      <w:r w:rsidR="00995C6C">
        <w:t>s</w:t>
      </w:r>
      <w:r>
        <w:t xml:space="preserve">. These assumptions are categorized and described in Table </w:t>
      </w:r>
      <w:r w:rsidR="00BD76A9">
        <w:t>1</w:t>
      </w:r>
      <w:r>
        <w:t xml:space="preserve"> and discussed further in the following section</w:t>
      </w:r>
      <w:r w:rsidR="00995C6C">
        <w:t>s</w:t>
      </w:r>
      <w:r>
        <w:t>.</w:t>
      </w:r>
    </w:p>
    <w:p w14:paraId="1E285047" w14:textId="01404F08" w:rsidR="004918EF" w:rsidRPr="00BD76A9" w:rsidRDefault="004918EF" w:rsidP="00F035F8">
      <w:pPr>
        <w:spacing w:after="0"/>
        <w:rPr>
          <w:sz w:val="16"/>
          <w:szCs w:val="16"/>
        </w:rPr>
      </w:pPr>
      <w:r w:rsidRPr="00BD76A9">
        <w:rPr>
          <w:sz w:val="16"/>
          <w:szCs w:val="16"/>
        </w:rPr>
        <w:t xml:space="preserve">Table </w:t>
      </w:r>
      <w:r w:rsidR="00BD76A9" w:rsidRPr="00BD76A9">
        <w:rPr>
          <w:sz w:val="16"/>
          <w:szCs w:val="16"/>
        </w:rPr>
        <w:t>1</w:t>
      </w:r>
    </w:p>
    <w:p w14:paraId="31D96BFE" w14:textId="4587AF13" w:rsidR="004918EF" w:rsidRPr="00F035F8" w:rsidRDefault="00FB3379" w:rsidP="00DF19EA">
      <w:pPr>
        <w:rPr>
          <w:b/>
          <w:sz w:val="28"/>
          <w:szCs w:val="28"/>
        </w:rPr>
      </w:pPr>
      <w:r w:rsidRPr="00F035F8">
        <w:rPr>
          <w:b/>
          <w:sz w:val="28"/>
          <w:szCs w:val="28"/>
        </w:rPr>
        <w:t>Financial Assumptions</w:t>
      </w:r>
    </w:p>
    <w:tbl>
      <w:tblPr>
        <w:tblStyle w:val="CSETable"/>
        <w:tblW w:w="9350" w:type="dxa"/>
        <w:tblLook w:val="04A0" w:firstRow="1" w:lastRow="0" w:firstColumn="1" w:lastColumn="0" w:noHBand="0" w:noVBand="1"/>
      </w:tblPr>
      <w:tblGrid>
        <w:gridCol w:w="2695"/>
        <w:gridCol w:w="3330"/>
        <w:gridCol w:w="3325"/>
      </w:tblGrid>
      <w:tr w:rsidR="00664F32" w:rsidRPr="000B455B" w14:paraId="07A9F155" w14:textId="75DC67D4" w:rsidTr="00AB1361">
        <w:trPr>
          <w:cnfStyle w:val="100000000000" w:firstRow="1" w:lastRow="0" w:firstColumn="0" w:lastColumn="0" w:oddVBand="0" w:evenVBand="0" w:oddHBand="0" w:evenHBand="0" w:firstRowFirstColumn="0" w:firstRowLastColumn="0" w:lastRowFirstColumn="0" w:lastRowLastColumn="0"/>
          <w:trHeight w:val="503"/>
        </w:trPr>
        <w:tc>
          <w:tcPr>
            <w:tcW w:w="2695" w:type="dxa"/>
          </w:tcPr>
          <w:p w14:paraId="6ADC8721" w14:textId="771FB29F" w:rsidR="00664F32" w:rsidRPr="00F035F8" w:rsidRDefault="003F637A" w:rsidP="00F035F8">
            <w:pPr>
              <w:rPr>
                <w:rStyle w:val="normaltextrun"/>
                <w:color w:val="FFFFFF"/>
                <w:szCs w:val="22"/>
              </w:rPr>
            </w:pPr>
            <w:r w:rsidRPr="00F035F8">
              <w:rPr>
                <w:rStyle w:val="normaltextrun"/>
                <w:color w:val="FFFFFF"/>
                <w:szCs w:val="22"/>
              </w:rPr>
              <w:t>Parameter</w:t>
            </w:r>
          </w:p>
        </w:tc>
        <w:tc>
          <w:tcPr>
            <w:tcW w:w="3330" w:type="dxa"/>
          </w:tcPr>
          <w:p w14:paraId="2938EB5C" w14:textId="3625B821" w:rsidR="00664F32" w:rsidRPr="00F035F8" w:rsidRDefault="00664F32" w:rsidP="00F035F8">
            <w:pPr>
              <w:rPr>
                <w:rStyle w:val="normaltextrun"/>
                <w:color w:val="FFFFFF"/>
                <w:szCs w:val="22"/>
              </w:rPr>
            </w:pPr>
            <w:r w:rsidRPr="00F035F8">
              <w:rPr>
                <w:rStyle w:val="normaltextrun"/>
                <w:color w:val="FFFFFF"/>
                <w:szCs w:val="22"/>
              </w:rPr>
              <w:t>Baseline Value</w:t>
            </w:r>
          </w:p>
        </w:tc>
        <w:tc>
          <w:tcPr>
            <w:tcW w:w="3325" w:type="dxa"/>
          </w:tcPr>
          <w:p w14:paraId="238823C8" w14:textId="4901260A" w:rsidR="00664F32" w:rsidRPr="00F035F8" w:rsidRDefault="0028522A" w:rsidP="00F035F8">
            <w:pPr>
              <w:rPr>
                <w:rStyle w:val="normaltextrun"/>
                <w:color w:val="FFFFFF"/>
                <w:szCs w:val="22"/>
              </w:rPr>
            </w:pPr>
            <w:r w:rsidRPr="00F035F8">
              <w:rPr>
                <w:rStyle w:val="normaltextrun"/>
                <w:color w:val="FFFFFF"/>
                <w:szCs w:val="22"/>
              </w:rPr>
              <w:t>Basis/Description</w:t>
            </w:r>
          </w:p>
        </w:tc>
      </w:tr>
      <w:tr w:rsidR="00AC0B58" w:rsidRPr="000F4334" w14:paraId="5940759C" w14:textId="77777777" w:rsidTr="004918EF">
        <w:tc>
          <w:tcPr>
            <w:tcW w:w="2695" w:type="dxa"/>
          </w:tcPr>
          <w:p w14:paraId="1BDD18B3" w14:textId="4A6CAAC1" w:rsidR="00AC0B58" w:rsidRDefault="00AC0B58" w:rsidP="00A56756">
            <w:pPr>
              <w:rPr>
                <w:b/>
              </w:rPr>
            </w:pPr>
            <w:r w:rsidRPr="000F4334">
              <w:t>Vehicle MSRP</w:t>
            </w:r>
          </w:p>
        </w:tc>
        <w:tc>
          <w:tcPr>
            <w:tcW w:w="3330" w:type="dxa"/>
          </w:tcPr>
          <w:p w14:paraId="45DF785E" w14:textId="77777777" w:rsidR="00AC0B58" w:rsidRPr="000D0F34" w:rsidRDefault="00AC0B58" w:rsidP="00A56756">
            <w:r>
              <w:t xml:space="preserve">BEV (new): </w:t>
            </w:r>
            <w:r w:rsidRPr="000D0F34">
              <w:t xml:space="preserve">$31,050 </w:t>
            </w:r>
          </w:p>
          <w:p w14:paraId="29198837" w14:textId="31903662" w:rsidR="00AC0B58" w:rsidRPr="000D0F34" w:rsidRDefault="00AC0B58" w:rsidP="00A56756">
            <w:r>
              <w:t xml:space="preserve">BEV (used): </w:t>
            </w:r>
            <w:r w:rsidRPr="000D0F34">
              <w:t xml:space="preserve">$25,400 </w:t>
            </w:r>
          </w:p>
          <w:p w14:paraId="0C093A16" w14:textId="538B6631" w:rsidR="00AC0B58" w:rsidRPr="000F4334" w:rsidRDefault="00AC0B58" w:rsidP="00A56756">
            <w:r>
              <w:t xml:space="preserve">ICEV (used): </w:t>
            </w:r>
            <w:r w:rsidRPr="000D0F34">
              <w:t xml:space="preserve">$11,380 </w:t>
            </w:r>
          </w:p>
        </w:tc>
        <w:tc>
          <w:tcPr>
            <w:tcW w:w="3325" w:type="dxa"/>
          </w:tcPr>
          <w:p w14:paraId="5906142A" w14:textId="679B7A90" w:rsidR="00AC0B58" w:rsidRDefault="00AC0B58" w:rsidP="00A56756">
            <w:pPr>
              <w:rPr>
                <w:b/>
              </w:rPr>
            </w:pPr>
            <w:r>
              <w:t xml:space="preserve">Based on 2024 </w:t>
            </w:r>
            <w:r w:rsidR="00E75334">
              <w:t xml:space="preserve">California </w:t>
            </w:r>
            <w:r>
              <w:t>specific IHS dataset</w:t>
            </w:r>
          </w:p>
        </w:tc>
      </w:tr>
      <w:tr w:rsidR="00AC0B58" w:rsidRPr="000F4334" w14:paraId="7933862D" w14:textId="2DE808EC" w:rsidTr="00AB1361">
        <w:trPr>
          <w:cnfStyle w:val="000000010000" w:firstRow="0" w:lastRow="0" w:firstColumn="0" w:lastColumn="0" w:oddVBand="0" w:evenVBand="0" w:oddHBand="0" w:evenHBand="1" w:firstRowFirstColumn="0" w:firstRowLastColumn="0" w:lastRowFirstColumn="0" w:lastRowLastColumn="0"/>
        </w:trPr>
        <w:tc>
          <w:tcPr>
            <w:tcW w:w="2695" w:type="dxa"/>
          </w:tcPr>
          <w:p w14:paraId="20EAFB02" w14:textId="404793D1" w:rsidR="00AC0B58" w:rsidRPr="000F4334" w:rsidRDefault="00AC0B58" w:rsidP="00AC0B58">
            <w:r w:rsidRPr="000F4334">
              <w:t>Down payment</w:t>
            </w:r>
          </w:p>
        </w:tc>
        <w:tc>
          <w:tcPr>
            <w:tcW w:w="3330" w:type="dxa"/>
          </w:tcPr>
          <w:p w14:paraId="71AC472D" w14:textId="410CD06D" w:rsidR="00AC0B58" w:rsidRPr="000F4334" w:rsidRDefault="00AC0B58" w:rsidP="00AC0B58">
            <w:r w:rsidRPr="000F4334">
              <w:t>10% of vehicle MSRP</w:t>
            </w:r>
          </w:p>
        </w:tc>
        <w:tc>
          <w:tcPr>
            <w:tcW w:w="3325" w:type="dxa"/>
          </w:tcPr>
          <w:p w14:paraId="39AB0234" w14:textId="70A9422A" w:rsidR="00AC0B58" w:rsidRPr="000F4334" w:rsidRDefault="00AC0B58" w:rsidP="00AC0B58">
            <w:r>
              <w:t>Adopted from the CPUC CMS proposed decision (CPUC, 2024)</w:t>
            </w:r>
          </w:p>
        </w:tc>
      </w:tr>
      <w:tr w:rsidR="00AC0B58" w:rsidRPr="000F4334" w14:paraId="3B01ADE2" w14:textId="047DE211" w:rsidTr="004918EF">
        <w:tc>
          <w:tcPr>
            <w:tcW w:w="2695" w:type="dxa"/>
          </w:tcPr>
          <w:p w14:paraId="48AF5DDD" w14:textId="57659C19" w:rsidR="00AC0B58" w:rsidRPr="000F4334" w:rsidRDefault="00AC0B58" w:rsidP="00AC0B58">
            <w:r w:rsidRPr="000F4334">
              <w:t xml:space="preserve">Loan term </w:t>
            </w:r>
          </w:p>
        </w:tc>
        <w:tc>
          <w:tcPr>
            <w:tcW w:w="3330" w:type="dxa"/>
          </w:tcPr>
          <w:p w14:paraId="70226271" w14:textId="77777777" w:rsidR="00AC0B58" w:rsidRDefault="00AC0B58" w:rsidP="00AC0B58">
            <w:r w:rsidRPr="008A7E15">
              <w:t>Purchase</w:t>
            </w:r>
            <w:r>
              <w:t xml:space="preserve">: </w:t>
            </w:r>
            <w:r w:rsidRPr="000F4334">
              <w:t>5 years</w:t>
            </w:r>
          </w:p>
          <w:p w14:paraId="0AB0C852" w14:textId="72277073" w:rsidR="00AC0B58" w:rsidRPr="000D0F34" w:rsidRDefault="00AC0B58" w:rsidP="00AC0B58">
            <w:r w:rsidRPr="008A7E15">
              <w:rPr>
                <w:b/>
              </w:rPr>
              <w:t>Lease</w:t>
            </w:r>
            <w:r>
              <w:rPr>
                <w:b/>
              </w:rPr>
              <w:t>:</w:t>
            </w:r>
            <w:r>
              <w:t xml:space="preserve"> 3 years</w:t>
            </w:r>
          </w:p>
        </w:tc>
        <w:tc>
          <w:tcPr>
            <w:tcW w:w="3325" w:type="dxa"/>
          </w:tcPr>
          <w:p w14:paraId="6C5651EE" w14:textId="6E11DF17" w:rsidR="00AC0B58" w:rsidRPr="000D0F34" w:rsidRDefault="00AC0B58" w:rsidP="00AC0B58">
            <w:r>
              <w:t xml:space="preserve">U.S. market typical financing and leasing periods. </w:t>
            </w:r>
          </w:p>
        </w:tc>
      </w:tr>
      <w:tr w:rsidR="00AC0B58" w:rsidRPr="000F4334" w14:paraId="784848F4" w14:textId="23F474D9" w:rsidTr="00AB1361">
        <w:trPr>
          <w:cnfStyle w:val="000000010000" w:firstRow="0" w:lastRow="0" w:firstColumn="0" w:lastColumn="0" w:oddVBand="0" w:evenVBand="0" w:oddHBand="0" w:evenHBand="1" w:firstRowFirstColumn="0" w:firstRowLastColumn="0" w:lastRowFirstColumn="0" w:lastRowLastColumn="0"/>
          <w:trHeight w:val="300"/>
        </w:trPr>
        <w:tc>
          <w:tcPr>
            <w:tcW w:w="2695" w:type="dxa"/>
          </w:tcPr>
          <w:p w14:paraId="50288788" w14:textId="1687F0C0" w:rsidR="00AC0B58" w:rsidRPr="000F4334" w:rsidRDefault="00AC0B58" w:rsidP="00AC0B58">
            <w:r w:rsidRPr="00F75679">
              <w:t xml:space="preserve">Annual percentage rate </w:t>
            </w:r>
            <w:r w:rsidR="00411780">
              <w:t>(APR)</w:t>
            </w:r>
          </w:p>
        </w:tc>
        <w:tc>
          <w:tcPr>
            <w:tcW w:w="3330" w:type="dxa"/>
          </w:tcPr>
          <w:p w14:paraId="3DE43EC1" w14:textId="016383C9" w:rsidR="00AC0B58" w:rsidRPr="000F4334" w:rsidRDefault="00AC0B58" w:rsidP="00AC0B58">
            <w:r>
              <w:t xml:space="preserve">Purchase: </w:t>
            </w:r>
            <w:r w:rsidR="00AD2567">
              <w:t>13.38</w:t>
            </w:r>
            <w:r w:rsidR="00B0382A">
              <w:t>%</w:t>
            </w:r>
            <w:r>
              <w:br/>
            </w:r>
            <w:r w:rsidR="00A47DFA">
              <w:t>Used</w:t>
            </w:r>
            <w:r>
              <w:t xml:space="preserve">: </w:t>
            </w:r>
            <w:r w:rsidR="00AD2567" w:rsidRPr="00AD2567">
              <w:t>18.90</w:t>
            </w:r>
            <w:r w:rsidR="00B0382A">
              <w:t>%</w:t>
            </w:r>
          </w:p>
        </w:tc>
        <w:tc>
          <w:tcPr>
            <w:tcW w:w="3325" w:type="dxa"/>
          </w:tcPr>
          <w:p w14:paraId="74336A3E" w14:textId="218736F0" w:rsidR="00AC0B58" w:rsidRPr="000F4334" w:rsidRDefault="00AC0B58" w:rsidP="00AC0B58">
            <w:r>
              <w:t>(</w:t>
            </w:r>
            <w:r w:rsidR="00A52AFD">
              <w:t xml:space="preserve">Bradley 2024; </w:t>
            </w:r>
            <w:r>
              <w:t>Edmunds, 2024; SoFi, 2024)</w:t>
            </w:r>
          </w:p>
        </w:tc>
      </w:tr>
      <w:tr w:rsidR="00AC0B58" w:rsidRPr="000F4334" w14:paraId="63C6E63D" w14:textId="77777777" w:rsidTr="004918EF">
        <w:trPr>
          <w:trHeight w:val="300"/>
        </w:trPr>
        <w:tc>
          <w:tcPr>
            <w:tcW w:w="9350" w:type="dxa"/>
            <w:gridSpan w:val="3"/>
          </w:tcPr>
          <w:p w14:paraId="62048DF5" w14:textId="3E739967" w:rsidR="00AC0B58" w:rsidRPr="000A222B" w:rsidRDefault="00AC0B58" w:rsidP="00F035F8">
            <w:r w:rsidRPr="000A222B">
              <w:t>Operational</w:t>
            </w:r>
          </w:p>
        </w:tc>
      </w:tr>
      <w:tr w:rsidR="00114B2C" w:rsidRPr="000F4334" w14:paraId="15968EE9" w14:textId="77777777" w:rsidTr="00AB1361">
        <w:trPr>
          <w:cnfStyle w:val="000000010000" w:firstRow="0" w:lastRow="0" w:firstColumn="0" w:lastColumn="0" w:oddVBand="0" w:evenVBand="0" w:oddHBand="0" w:evenHBand="1" w:firstRowFirstColumn="0" w:firstRowLastColumn="0" w:lastRowFirstColumn="0" w:lastRowLastColumn="0"/>
          <w:trHeight w:val="300"/>
        </w:trPr>
        <w:tc>
          <w:tcPr>
            <w:tcW w:w="2695" w:type="dxa"/>
          </w:tcPr>
          <w:p w14:paraId="5C42F943" w14:textId="3B76F545" w:rsidR="00114B2C" w:rsidRDefault="00114B2C" w:rsidP="00114B2C">
            <w:r>
              <w:t>Weekly TNC VMT</w:t>
            </w:r>
          </w:p>
        </w:tc>
        <w:tc>
          <w:tcPr>
            <w:tcW w:w="3330" w:type="dxa"/>
          </w:tcPr>
          <w:p w14:paraId="10616D1D" w14:textId="5DAC3ABF" w:rsidR="00114B2C" w:rsidRDefault="00114B2C" w:rsidP="00114B2C">
            <w:pPr>
              <w:rPr>
                <w:b/>
              </w:rPr>
            </w:pPr>
            <w:r>
              <w:t>900 miles</w:t>
            </w:r>
          </w:p>
        </w:tc>
        <w:tc>
          <w:tcPr>
            <w:tcW w:w="3325" w:type="dxa"/>
          </w:tcPr>
          <w:p w14:paraId="04A3A8FC" w14:textId="335693B2" w:rsidR="00114B2C" w:rsidRDefault="00114B2C" w:rsidP="00114B2C">
            <w:r>
              <w:t xml:space="preserve">See Appendix B </w:t>
            </w:r>
          </w:p>
        </w:tc>
      </w:tr>
      <w:tr w:rsidR="00114B2C" w:rsidRPr="000F4334" w14:paraId="32BAA195" w14:textId="77777777" w:rsidTr="004918EF">
        <w:trPr>
          <w:trHeight w:val="300"/>
        </w:trPr>
        <w:tc>
          <w:tcPr>
            <w:tcW w:w="2695" w:type="dxa"/>
          </w:tcPr>
          <w:p w14:paraId="3CABA1FB" w14:textId="1B6CD322" w:rsidR="00114B2C" w:rsidRDefault="00114B2C" w:rsidP="00114B2C">
            <w:r w:rsidRPr="000F4334">
              <w:t>Electricity rate or charging costs per kWh</w:t>
            </w:r>
          </w:p>
        </w:tc>
        <w:tc>
          <w:tcPr>
            <w:tcW w:w="3330" w:type="dxa"/>
          </w:tcPr>
          <w:p w14:paraId="1F71EA6F" w14:textId="38EC6D0F" w:rsidR="00114B2C" w:rsidRDefault="00114B2C" w:rsidP="00114B2C">
            <w:pPr>
              <w:rPr>
                <w:b/>
              </w:rPr>
            </w:pPr>
            <w:r w:rsidRPr="000F4334">
              <w:t>$0.40 (DC fast charging</w:t>
            </w:r>
            <w:r>
              <w:t>)</w:t>
            </w:r>
          </w:p>
        </w:tc>
        <w:tc>
          <w:tcPr>
            <w:tcW w:w="3325" w:type="dxa"/>
          </w:tcPr>
          <w:p w14:paraId="703B6C67" w14:textId="6120AAA5" w:rsidR="00114B2C" w:rsidRDefault="00114B2C" w:rsidP="00114B2C">
            <w:r>
              <w:t>D</w:t>
            </w:r>
            <w:r w:rsidRPr="65912BA0">
              <w:t>erived from recent market data on California charging costs (U.S. News, 2024).</w:t>
            </w:r>
          </w:p>
        </w:tc>
      </w:tr>
      <w:tr w:rsidR="00114B2C" w:rsidRPr="000F4334" w14:paraId="1F849401" w14:textId="77777777" w:rsidTr="00AB1361">
        <w:trPr>
          <w:cnfStyle w:val="000000010000" w:firstRow="0" w:lastRow="0" w:firstColumn="0" w:lastColumn="0" w:oddVBand="0" w:evenVBand="0" w:oddHBand="0" w:evenHBand="1" w:firstRowFirstColumn="0" w:firstRowLastColumn="0" w:lastRowFirstColumn="0" w:lastRowLastColumn="0"/>
          <w:trHeight w:val="300"/>
        </w:trPr>
        <w:tc>
          <w:tcPr>
            <w:tcW w:w="2695" w:type="dxa"/>
          </w:tcPr>
          <w:p w14:paraId="33E80811" w14:textId="3D3F5FBF" w:rsidR="00114B2C" w:rsidRDefault="00114B2C" w:rsidP="00114B2C">
            <w:r w:rsidRPr="00936CB9">
              <w:t xml:space="preserve">Fuel costs per gallon </w:t>
            </w:r>
          </w:p>
        </w:tc>
        <w:tc>
          <w:tcPr>
            <w:tcW w:w="3330" w:type="dxa"/>
          </w:tcPr>
          <w:p w14:paraId="678A516C" w14:textId="4348FA21" w:rsidR="00114B2C" w:rsidRDefault="00114B2C" w:rsidP="00114B2C">
            <w:pPr>
              <w:rPr>
                <w:b/>
              </w:rPr>
            </w:pPr>
            <w:r w:rsidRPr="000F4334">
              <w:t>$4.3</w:t>
            </w:r>
            <w:r>
              <w:t>5</w:t>
            </w:r>
          </w:p>
        </w:tc>
        <w:tc>
          <w:tcPr>
            <w:tcW w:w="3325" w:type="dxa"/>
          </w:tcPr>
          <w:p w14:paraId="40628B3E" w14:textId="61B0925D" w:rsidR="00114B2C" w:rsidRDefault="00114B2C" w:rsidP="00114B2C">
            <w:r w:rsidRPr="00936CB9">
              <w:t>(Auto Club of Southern California, 2024)</w:t>
            </w:r>
          </w:p>
        </w:tc>
      </w:tr>
      <w:tr w:rsidR="00114B2C" w:rsidRPr="000F4334" w14:paraId="29AE38B4" w14:textId="77777777" w:rsidTr="004918EF">
        <w:trPr>
          <w:trHeight w:val="300"/>
        </w:trPr>
        <w:tc>
          <w:tcPr>
            <w:tcW w:w="2695" w:type="dxa"/>
          </w:tcPr>
          <w:p w14:paraId="7FAC2F7F" w14:textId="4DEBD379" w:rsidR="00114B2C" w:rsidRDefault="00114B2C" w:rsidP="00114B2C">
            <w:r w:rsidRPr="005933B8">
              <w:t>EPA fuel economy (kWh/mile or gal/mile)</w:t>
            </w:r>
          </w:p>
        </w:tc>
        <w:tc>
          <w:tcPr>
            <w:tcW w:w="3330" w:type="dxa"/>
          </w:tcPr>
          <w:p w14:paraId="6B1CB30E" w14:textId="77777777" w:rsidR="00114B2C" w:rsidRDefault="00114B2C" w:rsidP="00114B2C">
            <w:r>
              <w:rPr>
                <w:b/>
              </w:rPr>
              <w:t xml:space="preserve">BEV: </w:t>
            </w:r>
            <w:r w:rsidRPr="3AA71E57">
              <w:t>0.26</w:t>
            </w:r>
            <w:r>
              <w:t>kWh/mile</w:t>
            </w:r>
          </w:p>
          <w:p w14:paraId="0BA70C82" w14:textId="7BF55DFF" w:rsidR="00114B2C" w:rsidRDefault="00114B2C" w:rsidP="00114B2C">
            <w:pPr>
              <w:rPr>
                <w:b/>
              </w:rPr>
            </w:pPr>
            <w:r>
              <w:rPr>
                <w:b/>
              </w:rPr>
              <w:t>ICEV</w:t>
            </w:r>
            <w:r w:rsidRPr="00995C6C">
              <w:t>:</w:t>
            </w:r>
            <w:r>
              <w:rPr>
                <w:b/>
              </w:rPr>
              <w:t xml:space="preserve"> </w:t>
            </w:r>
            <w:r>
              <w:t>0.0</w:t>
            </w:r>
            <w:r w:rsidR="00E4530A">
              <w:t>2</w:t>
            </w:r>
            <w:r>
              <w:t xml:space="preserve"> gal/mile</w:t>
            </w:r>
          </w:p>
        </w:tc>
        <w:tc>
          <w:tcPr>
            <w:tcW w:w="3325" w:type="dxa"/>
          </w:tcPr>
          <w:p w14:paraId="229783F6" w14:textId="7F64BD64" w:rsidR="00114B2C" w:rsidRDefault="00114B2C" w:rsidP="00114B2C">
            <w:r>
              <w:t xml:space="preserve">EPA fuel economy </w:t>
            </w:r>
            <w:r w:rsidRPr="000F4334">
              <w:t>(U.S. Department of Energy, 2024)</w:t>
            </w:r>
          </w:p>
        </w:tc>
      </w:tr>
      <w:tr w:rsidR="00114B2C" w:rsidRPr="000F4334" w14:paraId="5CA152B5" w14:textId="1F457274" w:rsidTr="00AB1361">
        <w:trPr>
          <w:cnfStyle w:val="000000010000" w:firstRow="0" w:lastRow="0" w:firstColumn="0" w:lastColumn="0" w:oddVBand="0" w:evenVBand="0" w:oddHBand="0" w:evenHBand="1" w:firstRowFirstColumn="0" w:firstRowLastColumn="0" w:lastRowFirstColumn="0" w:lastRowLastColumn="0"/>
          <w:trHeight w:val="300"/>
        </w:trPr>
        <w:tc>
          <w:tcPr>
            <w:tcW w:w="2695" w:type="dxa"/>
          </w:tcPr>
          <w:p w14:paraId="5503CC65" w14:textId="3F493938" w:rsidR="00114B2C" w:rsidRPr="000F4334" w:rsidRDefault="00114B2C" w:rsidP="00114B2C">
            <w:r w:rsidRPr="000F4334">
              <w:t xml:space="preserve">Vehicle </w:t>
            </w:r>
            <w:r>
              <w:t>m</w:t>
            </w:r>
            <w:r w:rsidRPr="000F4334">
              <w:t>aintenance per mile</w:t>
            </w:r>
          </w:p>
        </w:tc>
        <w:tc>
          <w:tcPr>
            <w:tcW w:w="3330" w:type="dxa"/>
          </w:tcPr>
          <w:p w14:paraId="679F0FD7" w14:textId="77777777" w:rsidR="00114B2C" w:rsidRDefault="00114B2C" w:rsidP="00114B2C">
            <w:r w:rsidRPr="00995C6C">
              <w:rPr>
                <w:b/>
              </w:rPr>
              <w:t>BEV</w:t>
            </w:r>
            <w:r>
              <w:rPr>
                <w:b/>
              </w:rPr>
              <w:t xml:space="preserve">: </w:t>
            </w:r>
            <w:r w:rsidRPr="000F4334">
              <w:t>$0.06</w:t>
            </w:r>
          </w:p>
          <w:p w14:paraId="0DC5141D" w14:textId="1490E375" w:rsidR="00114B2C" w:rsidRPr="000F4334" w:rsidRDefault="00114B2C" w:rsidP="00114B2C">
            <w:r w:rsidRPr="00995C6C">
              <w:rPr>
                <w:b/>
              </w:rPr>
              <w:t>ICEV</w:t>
            </w:r>
            <w:r>
              <w:t>:</w:t>
            </w:r>
            <w:r w:rsidRPr="000F4334">
              <w:t xml:space="preserve"> </w:t>
            </w:r>
            <w:r>
              <w:t>$</w:t>
            </w:r>
            <w:r w:rsidRPr="000F4334">
              <w:t xml:space="preserve">0.10 </w:t>
            </w:r>
          </w:p>
        </w:tc>
        <w:tc>
          <w:tcPr>
            <w:tcW w:w="3325" w:type="dxa"/>
          </w:tcPr>
          <w:p w14:paraId="46447E1E" w14:textId="5D127255" w:rsidR="00114B2C" w:rsidRPr="000F4334" w:rsidRDefault="00114B2C" w:rsidP="00114B2C">
            <w:r>
              <w:t>Adopted from a comprehensive analysis study of total cost of ownership for vehicles of different size, class, and powertrains (</w:t>
            </w:r>
            <w:r w:rsidRPr="000F4334">
              <w:t>Burnham et al.</w:t>
            </w:r>
            <w:r>
              <w:t xml:space="preserve">, </w:t>
            </w:r>
            <w:r w:rsidRPr="000F4334">
              <w:t>2021)</w:t>
            </w:r>
          </w:p>
        </w:tc>
      </w:tr>
      <w:tr w:rsidR="003A1556" w:rsidRPr="000F4334" w14:paraId="1B4260B0" w14:textId="77777777" w:rsidTr="004918EF">
        <w:trPr>
          <w:trHeight w:val="300"/>
        </w:trPr>
        <w:tc>
          <w:tcPr>
            <w:tcW w:w="2695" w:type="dxa"/>
          </w:tcPr>
          <w:p w14:paraId="3BBF0C10" w14:textId="4BFBDDD4" w:rsidR="003A1556" w:rsidRPr="000F4334" w:rsidRDefault="003A1556" w:rsidP="003A1556">
            <w:r>
              <w:t>Insurance costs per month</w:t>
            </w:r>
          </w:p>
        </w:tc>
        <w:tc>
          <w:tcPr>
            <w:tcW w:w="3330" w:type="dxa"/>
          </w:tcPr>
          <w:p w14:paraId="2B3E8540" w14:textId="1879DC2B" w:rsidR="003A1556" w:rsidRPr="00995C6C" w:rsidRDefault="003A1556" w:rsidP="003A1556">
            <w:r>
              <w:t xml:space="preserve">BEV: </w:t>
            </w:r>
            <w:r w:rsidRPr="000F4334">
              <w:t xml:space="preserve">$337 </w:t>
            </w:r>
            <w:r>
              <w:br/>
              <w:t xml:space="preserve">ICEV: </w:t>
            </w:r>
            <w:r w:rsidRPr="000F4334">
              <w:t>$281</w:t>
            </w:r>
          </w:p>
        </w:tc>
        <w:tc>
          <w:tcPr>
            <w:tcW w:w="3325" w:type="dxa"/>
          </w:tcPr>
          <w:p w14:paraId="188AAE03" w14:textId="16002268" w:rsidR="003A1556" w:rsidRDefault="003A1556" w:rsidP="003A1556">
            <w:r>
              <w:t xml:space="preserve"> 2024 insurance National averages (Timmons, 2024)</w:t>
            </w:r>
          </w:p>
        </w:tc>
      </w:tr>
      <w:tr w:rsidR="00114B2C" w:rsidRPr="000F4334" w14:paraId="47A485D0" w14:textId="0E7AE5A2" w:rsidTr="00AB1361">
        <w:trPr>
          <w:cnfStyle w:val="000000010000" w:firstRow="0" w:lastRow="0" w:firstColumn="0" w:lastColumn="0" w:oddVBand="0" w:evenVBand="0" w:oddHBand="0" w:evenHBand="1" w:firstRowFirstColumn="0" w:firstRowLastColumn="0" w:lastRowFirstColumn="0" w:lastRowLastColumn="0"/>
          <w:trHeight w:val="37"/>
        </w:trPr>
        <w:tc>
          <w:tcPr>
            <w:tcW w:w="2695" w:type="dxa"/>
          </w:tcPr>
          <w:p w14:paraId="16A8EC3D" w14:textId="7724F295" w:rsidR="00114B2C" w:rsidRPr="000F4334" w:rsidRDefault="00114B2C" w:rsidP="00114B2C">
            <w:r w:rsidRPr="000F4334">
              <w:lastRenderedPageBreak/>
              <w:t xml:space="preserve">TNC </w:t>
            </w:r>
            <w:r>
              <w:t>w</w:t>
            </w:r>
            <w:r w:rsidRPr="000F4334">
              <w:t>ages per mile</w:t>
            </w:r>
          </w:p>
        </w:tc>
        <w:tc>
          <w:tcPr>
            <w:tcW w:w="3330" w:type="dxa"/>
          </w:tcPr>
          <w:p w14:paraId="697BA637" w14:textId="3211E88C" w:rsidR="00114B2C" w:rsidRPr="000F4334" w:rsidRDefault="00114B2C" w:rsidP="00114B2C">
            <w:r w:rsidRPr="000F4334">
              <w:t>$1.31</w:t>
            </w:r>
          </w:p>
        </w:tc>
        <w:tc>
          <w:tcPr>
            <w:tcW w:w="3325" w:type="dxa"/>
          </w:tcPr>
          <w:p w14:paraId="1BC83D50" w14:textId="0F8A32A9" w:rsidR="00114B2C" w:rsidRPr="000F4334" w:rsidRDefault="00114B2C" w:rsidP="00114B2C">
            <w:r>
              <w:t xml:space="preserve">Reported rate of Los Angeles Uber Drivers including a 50% tip </w:t>
            </w:r>
            <w:r w:rsidRPr="000F4334">
              <w:t xml:space="preserve">(Stilt, 2024; The Rideshare </w:t>
            </w:r>
            <w:r w:rsidRPr="0061071C">
              <w:t>Guy, 2024)</w:t>
            </w:r>
          </w:p>
        </w:tc>
      </w:tr>
      <w:tr w:rsidR="00114B2C" w:rsidRPr="000F4334" w14:paraId="52D8D298" w14:textId="00B6E4FC" w:rsidTr="004918EF">
        <w:trPr>
          <w:trHeight w:val="300"/>
        </w:trPr>
        <w:tc>
          <w:tcPr>
            <w:tcW w:w="2695" w:type="dxa"/>
          </w:tcPr>
          <w:p w14:paraId="69EB458B" w14:textId="5F7B24C7" w:rsidR="00114B2C" w:rsidRPr="000F4334" w:rsidRDefault="00114B2C" w:rsidP="00114B2C">
            <w:r w:rsidRPr="000F4334">
              <w:t xml:space="preserve">Billable TNC </w:t>
            </w:r>
            <w:r>
              <w:t>m</w:t>
            </w:r>
            <w:r w:rsidRPr="000F4334">
              <w:t>iles</w:t>
            </w:r>
          </w:p>
        </w:tc>
        <w:tc>
          <w:tcPr>
            <w:tcW w:w="3330" w:type="dxa"/>
          </w:tcPr>
          <w:p w14:paraId="01D7E780" w14:textId="4FB7689E" w:rsidR="00114B2C" w:rsidRPr="000F4334" w:rsidRDefault="00114B2C" w:rsidP="00114B2C">
            <w:r>
              <w:t>6</w:t>
            </w:r>
            <w:r w:rsidRPr="000F4334">
              <w:t>0% of total VMT</w:t>
            </w:r>
          </w:p>
        </w:tc>
        <w:tc>
          <w:tcPr>
            <w:tcW w:w="3325" w:type="dxa"/>
          </w:tcPr>
          <w:p w14:paraId="037B42B6" w14:textId="12976555" w:rsidR="00114B2C" w:rsidRPr="000F4334" w:rsidRDefault="00114B2C" w:rsidP="00114B2C">
            <w:r>
              <w:t>Mileage assumed when a TNC driver is driving a passenger in the vehicle (</w:t>
            </w:r>
            <w:r w:rsidRPr="0061071C">
              <w:t>CARB, 2021</w:t>
            </w:r>
            <w:r>
              <w:t xml:space="preserve">; </w:t>
            </w:r>
            <w:r w:rsidRPr="0061071C">
              <w:t>Fehr &amp; Peers, 2019</w:t>
            </w:r>
            <w:r>
              <w:t>)</w:t>
            </w:r>
          </w:p>
        </w:tc>
      </w:tr>
      <w:tr w:rsidR="00114B2C" w:rsidRPr="000F4334" w14:paraId="0349E881" w14:textId="77777777" w:rsidTr="00AB1361">
        <w:trPr>
          <w:cnfStyle w:val="000000010000" w:firstRow="0" w:lastRow="0" w:firstColumn="0" w:lastColumn="0" w:oddVBand="0" w:evenVBand="0" w:oddHBand="0" w:evenHBand="1" w:firstRowFirstColumn="0" w:firstRowLastColumn="0" w:lastRowFirstColumn="0" w:lastRowLastColumn="0"/>
          <w:trHeight w:val="300"/>
        </w:trPr>
        <w:tc>
          <w:tcPr>
            <w:tcW w:w="9350" w:type="dxa"/>
            <w:gridSpan w:val="3"/>
          </w:tcPr>
          <w:p w14:paraId="52759109" w14:textId="3D66E21A" w:rsidR="00114B2C" w:rsidRPr="000A222B" w:rsidRDefault="00114B2C" w:rsidP="00F035F8">
            <w:r w:rsidRPr="000A222B">
              <w:t>Demographics</w:t>
            </w:r>
          </w:p>
        </w:tc>
      </w:tr>
      <w:tr w:rsidR="00114B2C" w:rsidRPr="000F4334" w14:paraId="7709D4D9" w14:textId="77777777" w:rsidTr="004918EF">
        <w:trPr>
          <w:trHeight w:val="300"/>
        </w:trPr>
        <w:tc>
          <w:tcPr>
            <w:tcW w:w="2695" w:type="dxa"/>
          </w:tcPr>
          <w:p w14:paraId="17B5F63B" w14:textId="3E2B7550" w:rsidR="00114B2C" w:rsidRPr="000F4334" w:rsidRDefault="00114B2C" w:rsidP="00114B2C">
            <w:r>
              <w:t>Household income</w:t>
            </w:r>
          </w:p>
        </w:tc>
        <w:tc>
          <w:tcPr>
            <w:tcW w:w="3330" w:type="dxa"/>
          </w:tcPr>
          <w:p w14:paraId="3AB3F3D9" w14:textId="1D5EE1C9" w:rsidR="00114B2C" w:rsidRDefault="00114B2C" w:rsidP="00114B2C">
            <w:r>
              <w:t>$50,000</w:t>
            </w:r>
          </w:p>
        </w:tc>
        <w:tc>
          <w:tcPr>
            <w:tcW w:w="3325" w:type="dxa"/>
          </w:tcPr>
          <w:p w14:paraId="249EB170" w14:textId="6B4A4398" w:rsidR="00114B2C" w:rsidRPr="3AA71E57" w:rsidRDefault="00114B2C" w:rsidP="00114B2C">
            <w:r>
              <w:t>Adopted from CVRP 2020-23 consumer survey (see Appendix A)</w:t>
            </w:r>
          </w:p>
        </w:tc>
      </w:tr>
      <w:tr w:rsidR="00114B2C" w:rsidRPr="000F4334" w14:paraId="47737EC9" w14:textId="77777777" w:rsidTr="00AB1361">
        <w:trPr>
          <w:cnfStyle w:val="000000010000" w:firstRow="0" w:lastRow="0" w:firstColumn="0" w:lastColumn="0" w:oddVBand="0" w:evenVBand="0" w:oddHBand="0" w:evenHBand="1" w:firstRowFirstColumn="0" w:firstRowLastColumn="0" w:lastRowFirstColumn="0" w:lastRowLastColumn="0"/>
          <w:trHeight w:val="300"/>
        </w:trPr>
        <w:tc>
          <w:tcPr>
            <w:tcW w:w="2695" w:type="dxa"/>
          </w:tcPr>
          <w:p w14:paraId="6101F098" w14:textId="541099CC" w:rsidR="00114B2C" w:rsidRPr="000F4334" w:rsidRDefault="00114B2C" w:rsidP="00114B2C">
            <w:r>
              <w:t>Household size</w:t>
            </w:r>
          </w:p>
        </w:tc>
        <w:tc>
          <w:tcPr>
            <w:tcW w:w="3330" w:type="dxa"/>
          </w:tcPr>
          <w:p w14:paraId="2277E00C" w14:textId="127A18EF" w:rsidR="00114B2C" w:rsidRDefault="00114B2C" w:rsidP="00114B2C">
            <w:r>
              <w:t>4</w:t>
            </w:r>
          </w:p>
        </w:tc>
        <w:tc>
          <w:tcPr>
            <w:tcW w:w="3325" w:type="dxa"/>
          </w:tcPr>
          <w:p w14:paraId="6BDAE441" w14:textId="74278603" w:rsidR="00114B2C" w:rsidRPr="3AA71E57" w:rsidRDefault="00114B2C" w:rsidP="00114B2C">
            <w:r>
              <w:t>Adopted from CVRP 2020-23 consumer survey (see Appendix A)</w:t>
            </w:r>
          </w:p>
        </w:tc>
      </w:tr>
    </w:tbl>
    <w:p w14:paraId="4976BDD8" w14:textId="7C1066C8" w:rsidR="00B71565" w:rsidRPr="004A63BD" w:rsidRDefault="00FF7D7F" w:rsidP="00AB1361">
      <w:pPr>
        <w:rPr>
          <w:sz w:val="16"/>
          <w:szCs w:val="16"/>
        </w:rPr>
      </w:pPr>
      <w:r w:rsidRPr="00AB1361">
        <w:rPr>
          <w:sz w:val="16"/>
          <w:szCs w:val="16"/>
        </w:rPr>
        <w:t>Notes</w:t>
      </w:r>
      <w:r w:rsidR="003E3CDD" w:rsidRPr="00AB1361">
        <w:rPr>
          <w:sz w:val="16"/>
          <w:szCs w:val="16"/>
        </w:rPr>
        <w:t>:</w:t>
      </w:r>
      <w:r w:rsidR="00B71565" w:rsidRPr="00AB1361">
        <w:rPr>
          <w:sz w:val="16"/>
          <w:szCs w:val="16"/>
        </w:rPr>
        <w:t xml:space="preserve"> Baseline values for vehicle financing and operational costs and household demographics model parameters used in monthly BEV and ICEV cost analysis.</w:t>
      </w:r>
    </w:p>
    <w:p w14:paraId="1EC7420F" w14:textId="42797B29" w:rsidR="00F03CB3" w:rsidRPr="000F4334" w:rsidRDefault="00F03CB3" w:rsidP="002B5A9B">
      <w:pPr>
        <w:pStyle w:val="Heading3"/>
      </w:pPr>
      <w:r w:rsidRPr="000F4334">
        <w:t>F</w:t>
      </w:r>
      <w:r w:rsidR="00912DC1">
        <w:t>inan</w:t>
      </w:r>
      <w:r w:rsidR="00E73638">
        <w:t>cing</w:t>
      </w:r>
      <w:r w:rsidRPr="000F4334">
        <w:t xml:space="preserve"> </w:t>
      </w:r>
      <w:r w:rsidR="00E73638">
        <w:t>Costs</w:t>
      </w:r>
      <w:r w:rsidRPr="000F4334">
        <w:t xml:space="preserve"> </w:t>
      </w:r>
      <w:r w:rsidR="00332CC0" w:rsidRPr="000F4334">
        <w:t>I</w:t>
      </w:r>
      <w:r w:rsidRPr="000F4334">
        <w:t>nputs</w:t>
      </w:r>
    </w:p>
    <w:p w14:paraId="7B5A6C0C" w14:textId="64BB4F16" w:rsidR="00333092" w:rsidRDefault="00333092" w:rsidP="00D01A21">
      <w:r w:rsidRPr="00333092">
        <w:t>The fi</w:t>
      </w:r>
      <w:r w:rsidR="00383C42">
        <w:t>nancing costs</w:t>
      </w:r>
      <w:r w:rsidR="00660305">
        <w:t xml:space="preserve"> are comprised of </w:t>
      </w:r>
      <w:r w:rsidR="00AC0B58">
        <w:t>four</w:t>
      </w:r>
      <w:r w:rsidR="00660305">
        <w:t xml:space="preserve"> main </w:t>
      </w:r>
      <w:r w:rsidR="00617166">
        <w:t>inputs:</w:t>
      </w:r>
      <w:r w:rsidR="00660305">
        <w:t xml:space="preserve"> </w:t>
      </w:r>
      <w:r w:rsidR="00646E0C">
        <w:t xml:space="preserve">vehicle </w:t>
      </w:r>
      <w:r w:rsidR="00660305">
        <w:t>MSRP, down payment</w:t>
      </w:r>
      <w:r w:rsidR="00AC0B58">
        <w:t xml:space="preserve">, </w:t>
      </w:r>
      <w:r w:rsidR="00660305">
        <w:t>financing term</w:t>
      </w:r>
      <w:r w:rsidR="00AC0B58">
        <w:t>, and APR</w:t>
      </w:r>
      <w:r w:rsidR="00660305">
        <w:t xml:space="preserve">. First, and most importantly, the MSRP of the vehicle </w:t>
      </w:r>
      <w:r w:rsidR="00546DB7">
        <w:t xml:space="preserve">was determined using </w:t>
      </w:r>
      <w:r w:rsidR="008A7E15">
        <w:t>2024 IHS Markit data sets of actual purchases</w:t>
      </w:r>
      <w:r w:rsidR="004C365B">
        <w:t xml:space="preserve"> in California</w:t>
      </w:r>
      <w:r w:rsidR="00845468">
        <w:t>, filtered to likely TNC drivers</w:t>
      </w:r>
      <w:r w:rsidR="00FF42B1">
        <w:t xml:space="preserve"> with limited purchasing power</w:t>
      </w:r>
      <w:r w:rsidR="00845468">
        <w:t>,</w:t>
      </w:r>
      <w:r w:rsidR="00FF42B1">
        <w:t xml:space="preserve"> resulting </w:t>
      </w:r>
      <w:r w:rsidR="00845468">
        <w:t>in a lower BEV price for this segment than the average stated above (</w:t>
      </w:r>
      <w:r w:rsidR="00AB1CCA" w:rsidRPr="00D25FDD">
        <w:t>$</w:t>
      </w:r>
      <w:r w:rsidR="00AB1CCA">
        <w:t>58,124 compared to $31,000)</w:t>
      </w:r>
      <w:r w:rsidR="008A7E15">
        <w:t xml:space="preserve">. This data was filtered </w:t>
      </w:r>
      <w:r w:rsidR="00646E0C">
        <w:t>for</w:t>
      </w:r>
      <w:r w:rsidR="008A7E15">
        <w:t xml:space="preserve"> </w:t>
      </w:r>
      <w:r w:rsidR="00777DD9">
        <w:t>purchasers with an income at or below 400%</w:t>
      </w:r>
      <w:r w:rsidR="00CF147D">
        <w:t xml:space="preserve"> </w:t>
      </w:r>
      <w:r w:rsidR="00777DD9">
        <w:t>of the Federal Poverty L</w:t>
      </w:r>
      <w:r w:rsidR="00305323">
        <w:t>evel</w:t>
      </w:r>
      <w:r w:rsidR="00777DD9">
        <w:t xml:space="preserve"> (FPL). Next, representative vehicles were selected</w:t>
      </w:r>
      <w:r w:rsidR="001D6951">
        <w:t>:</w:t>
      </w:r>
      <w:r w:rsidR="00CF147D">
        <w:t xml:space="preserve"> Tesla Model 3 and Model Y for BEVs and Toyota Prius for ICEVs, </w:t>
      </w:r>
      <w:r w:rsidR="001D6951">
        <w:t xml:space="preserve">because </w:t>
      </w:r>
      <w:r w:rsidR="00CF147D">
        <w:t xml:space="preserve">these represented the most used vehicles </w:t>
      </w:r>
      <w:r w:rsidR="001D6951">
        <w:t xml:space="preserve">operated </w:t>
      </w:r>
      <w:r w:rsidR="00CF147D">
        <w:t xml:space="preserve">by TNC drivers. The IHS dataset includes purchase prices for new vehicles, but to calculate the used BEV and ICEV prices, </w:t>
      </w:r>
      <w:r w:rsidR="00771AA9">
        <w:t xml:space="preserve">we employed </w:t>
      </w:r>
      <w:r w:rsidR="00501004">
        <w:t>Kelley Blue Book Fair Listing Price</w:t>
      </w:r>
      <w:r w:rsidR="00771AA9">
        <w:t>,</w:t>
      </w:r>
      <w:r w:rsidR="00501004">
        <w:t xml:space="preserve"> averaged across representative ZIP codes, age distr</w:t>
      </w:r>
      <w:r w:rsidR="00771AA9">
        <w:t>ibution</w:t>
      </w:r>
      <w:r w:rsidR="001D6951">
        <w:t>,</w:t>
      </w:r>
      <w:r w:rsidR="00771AA9">
        <w:t xml:space="preserve"> </w:t>
      </w:r>
      <w:r w:rsidR="008F67F4">
        <w:t>and sales distribution.</w:t>
      </w:r>
      <w:r w:rsidR="00E36DD7">
        <w:t xml:space="preserve"> </w:t>
      </w:r>
      <w:r w:rsidR="003A3A9A">
        <w:t xml:space="preserve">For each purchase type we added the California sales tax (9%) to the </w:t>
      </w:r>
      <w:r w:rsidR="00230D1D">
        <w:t xml:space="preserve">MSRP to determine the </w:t>
      </w:r>
      <w:r w:rsidR="003A3A9A">
        <w:t>final purchase price.</w:t>
      </w:r>
    </w:p>
    <w:p w14:paraId="1D38EEDB" w14:textId="5CDB7416" w:rsidR="008016D1" w:rsidRDefault="00C31DE3" w:rsidP="007A5143">
      <w:r>
        <w:t>Ne</w:t>
      </w:r>
      <w:r w:rsidR="00D96ECD">
        <w:t>x</w:t>
      </w:r>
      <w:r>
        <w:t xml:space="preserve">t, </w:t>
      </w:r>
      <w:r w:rsidR="00D96ECD">
        <w:t>though financial advisors r</w:t>
      </w:r>
      <w:r w:rsidR="40D31A5B" w:rsidRPr="000F4334">
        <w:t xml:space="preserve">ecommend a 20% </w:t>
      </w:r>
      <w:r w:rsidR="5A3ABAEC" w:rsidRPr="000F4334">
        <w:t>down</w:t>
      </w:r>
      <w:r w:rsidR="00344028">
        <w:t xml:space="preserve"> </w:t>
      </w:r>
      <w:r w:rsidR="5A3ABAEC" w:rsidRPr="000F4334">
        <w:t>payment</w:t>
      </w:r>
      <w:r w:rsidR="27891E88" w:rsidRPr="000F4334">
        <w:t xml:space="preserve"> (Bradley &amp; Woock, 2024)</w:t>
      </w:r>
      <w:r w:rsidR="763EB78B" w:rsidRPr="000F4334">
        <w:t>,</w:t>
      </w:r>
      <w:r w:rsidR="5A3ABAEC" w:rsidRPr="000F4334">
        <w:t xml:space="preserve"> </w:t>
      </w:r>
      <w:r w:rsidR="007A5143">
        <w:t xml:space="preserve">we employ a 10% down payment, </w:t>
      </w:r>
      <w:r w:rsidR="00AB4AB9">
        <w:t>to</w:t>
      </w:r>
      <w:r w:rsidR="007A5143">
        <w:t xml:space="preserve"> </w:t>
      </w:r>
      <w:r w:rsidR="003C50A7" w:rsidRPr="000F4334">
        <w:t>align</w:t>
      </w:r>
      <w:r w:rsidR="17C8909A" w:rsidRPr="000F4334">
        <w:t xml:space="preserve"> with </w:t>
      </w:r>
      <w:r w:rsidR="60C92EE0" w:rsidRPr="000F4334">
        <w:t>the CPUC recommendations to enhance vehicle financing accessibility for low-</w:t>
      </w:r>
      <w:r w:rsidR="00CE3423">
        <w:t xml:space="preserve"> </w:t>
      </w:r>
      <w:r w:rsidR="60C92EE0" w:rsidRPr="000F4334">
        <w:t>and</w:t>
      </w:r>
      <w:r w:rsidR="00CE3423">
        <w:t xml:space="preserve"> </w:t>
      </w:r>
      <w:r w:rsidR="60C92EE0" w:rsidRPr="000F4334">
        <w:t>moderate-income indi</w:t>
      </w:r>
      <w:r w:rsidR="39E35B0E" w:rsidRPr="000F4334">
        <w:t>viduals</w:t>
      </w:r>
      <w:r w:rsidR="2AAE286B" w:rsidRPr="000F4334">
        <w:t xml:space="preserve"> (CPUC,</w:t>
      </w:r>
      <w:r w:rsidR="00BB08BA">
        <w:t xml:space="preserve"> </w:t>
      </w:r>
      <w:r w:rsidR="2AAE286B" w:rsidRPr="000F4334">
        <w:t>2024)</w:t>
      </w:r>
      <w:r w:rsidR="39E35B0E" w:rsidRPr="000F4334">
        <w:t>.</w:t>
      </w:r>
    </w:p>
    <w:p w14:paraId="5145FEA1" w14:textId="155128A6" w:rsidR="00AC74FB" w:rsidRPr="00AC74FB" w:rsidRDefault="00AC0B58" w:rsidP="004F5D97">
      <w:r>
        <w:t>W</w:t>
      </w:r>
      <w:r w:rsidR="004F5D97">
        <w:t xml:space="preserve">e </w:t>
      </w:r>
      <w:r w:rsidR="00AC74FB">
        <w:t xml:space="preserve">assume a </w:t>
      </w:r>
      <w:r w:rsidR="001D6951">
        <w:t>5</w:t>
      </w:r>
      <w:r w:rsidR="00AC74FB">
        <w:t xml:space="preserve">-year loan term (60 months) to limit the accrual of interest over time while maintaining monthly payment affordability. </w:t>
      </w:r>
      <w:r w:rsidR="004F5D97">
        <w:t>Likewise</w:t>
      </w:r>
      <w:r w:rsidR="00A52AFD">
        <w:t>,</w:t>
      </w:r>
      <w:r w:rsidR="004F5D97">
        <w:t xml:space="preserve"> this corresponds to market realities where,</w:t>
      </w:r>
      <w:r w:rsidR="00AC74FB">
        <w:t xml:space="preserve"> as of Q1 2024, the average loan term for financing a new vehicle was </w:t>
      </w:r>
      <w:bookmarkStart w:id="0" w:name="_Int_RCtgY56d"/>
      <w:r w:rsidR="00AC74FB">
        <w:t>68.3 months</w:t>
      </w:r>
      <w:bookmarkEnd w:id="0"/>
      <w:r w:rsidR="00AC74FB">
        <w:t xml:space="preserve">, and for a used vehicle 69.7 months (Edmunds, 2024). For leasing, we assume a </w:t>
      </w:r>
      <w:r w:rsidR="001D6951">
        <w:t>3</w:t>
      </w:r>
      <w:r w:rsidR="00AC74FB">
        <w:t>-year term (36 months), which reflects the most common leasing period in the U.S. market.</w:t>
      </w:r>
    </w:p>
    <w:p w14:paraId="61BAB626" w14:textId="1F4D037A" w:rsidR="00957F7F" w:rsidRDefault="001D6951" w:rsidP="002F444A">
      <w:r>
        <w:t>Finally</w:t>
      </w:r>
      <w:r w:rsidR="00AC0B58" w:rsidRPr="00411780">
        <w:t>,</w:t>
      </w:r>
      <w:r w:rsidR="00AC0B58">
        <w:rPr>
          <w:b/>
        </w:rPr>
        <w:t xml:space="preserve"> </w:t>
      </w:r>
      <w:r w:rsidR="00AC0B58" w:rsidRPr="005108E7">
        <w:t xml:space="preserve">the average annual percentage rate (APR) for new vehicles was 7.3% </w:t>
      </w:r>
      <w:r w:rsidR="00BB4661">
        <w:t>in 2024</w:t>
      </w:r>
      <w:r w:rsidR="003A3A9A">
        <w:t xml:space="preserve"> </w:t>
      </w:r>
      <w:r w:rsidR="00AC0B58" w:rsidRPr="005108E7">
        <w:t xml:space="preserve">(Edmunds, 2024). However, this rate primarily reflects borrowers with </w:t>
      </w:r>
      <w:r w:rsidR="00AC0B58">
        <w:t>good to great credit scores</w:t>
      </w:r>
      <w:r w:rsidR="00AC0B58" w:rsidRPr="005108E7">
        <w:t xml:space="preserve">. </w:t>
      </w:r>
      <w:r w:rsidR="00957F7F">
        <w:t>For low-income individuals</w:t>
      </w:r>
      <w:r w:rsidR="00FB55E3">
        <w:t xml:space="preserve"> who tend to have lower credit scores, the APR is typically higher </w:t>
      </w:r>
      <w:r w:rsidR="00FB55E3" w:rsidRPr="005108E7">
        <w:t>(SoFi, 2024)</w:t>
      </w:r>
      <w:r w:rsidR="00FB55E3">
        <w:t xml:space="preserve">. Based on </w:t>
      </w:r>
      <w:r w:rsidR="001F45ED">
        <w:t xml:space="preserve">Bradley </w:t>
      </w:r>
      <w:r w:rsidR="00A52AFD">
        <w:t>(</w:t>
      </w:r>
      <w:r w:rsidR="001F45ED">
        <w:t>2024</w:t>
      </w:r>
      <w:r w:rsidR="00FB55E3">
        <w:t>)</w:t>
      </w:r>
      <w:r w:rsidR="007F2638">
        <w:t xml:space="preserve"> a typical </w:t>
      </w:r>
      <w:r w:rsidR="001328F9">
        <w:t xml:space="preserve">subprime credit score would </w:t>
      </w:r>
      <w:r w:rsidR="00E078BC">
        <w:t xml:space="preserve">be able to </w:t>
      </w:r>
      <w:r w:rsidR="00C40A1E">
        <w:t>finance a new purchase with an APR of 13.38%</w:t>
      </w:r>
      <w:r w:rsidR="00844E1D">
        <w:t xml:space="preserve"> an</w:t>
      </w:r>
      <w:r w:rsidR="005559EA">
        <w:t>d</w:t>
      </w:r>
      <w:r w:rsidR="00F443E2">
        <w:t xml:space="preserve"> </w:t>
      </w:r>
      <w:r w:rsidR="005409A6">
        <w:t>a used purchase with an APR of 1</w:t>
      </w:r>
      <w:r w:rsidR="00E04DCA">
        <w:t>8.90%.</w:t>
      </w:r>
    </w:p>
    <w:p w14:paraId="4FA1841B" w14:textId="7B20000C" w:rsidR="00616225" w:rsidRDefault="00912DC1" w:rsidP="002B5A9B">
      <w:pPr>
        <w:pStyle w:val="Heading3"/>
      </w:pPr>
      <w:r>
        <w:t>Operational</w:t>
      </w:r>
      <w:r w:rsidR="34FF6CE7" w:rsidRPr="000F4334">
        <w:t xml:space="preserve"> </w:t>
      </w:r>
      <w:r w:rsidR="00E73638">
        <w:t>Costs</w:t>
      </w:r>
      <w:r w:rsidR="00E73638" w:rsidRPr="000F4334">
        <w:t xml:space="preserve"> </w:t>
      </w:r>
      <w:r w:rsidR="5258F6EB" w:rsidRPr="000F4334">
        <w:t>I</w:t>
      </w:r>
      <w:r w:rsidR="21501198" w:rsidRPr="000F4334">
        <w:t>nputs</w:t>
      </w:r>
      <w:r w:rsidR="34FF6CE7" w:rsidRPr="000F4334">
        <w:t xml:space="preserve"> Per Mile</w:t>
      </w:r>
    </w:p>
    <w:p w14:paraId="49F7118B" w14:textId="00D5E2A7" w:rsidR="000275C4" w:rsidRDefault="000275C4" w:rsidP="000275C4">
      <w:r>
        <w:t xml:space="preserve">Beyond the capital cost of purchasing </w:t>
      </w:r>
      <w:r w:rsidR="001D6951">
        <w:t xml:space="preserve">a </w:t>
      </w:r>
      <w:r>
        <w:t xml:space="preserve">vehicle, there are many considerations to calculate the monthly operational cost of driving </w:t>
      </w:r>
      <w:r w:rsidR="001D6951">
        <w:t>it</w:t>
      </w:r>
      <w:r>
        <w:t xml:space="preserve">. </w:t>
      </w:r>
      <w:r w:rsidR="003A1556">
        <w:t xml:space="preserve">First, is the operational cost of </w:t>
      </w:r>
      <w:r w:rsidR="00E42B5C">
        <w:t xml:space="preserve">fueling and maintaining the vehicle. The primary assumption that affects </w:t>
      </w:r>
      <w:r w:rsidR="001D6951">
        <w:t>both</w:t>
      </w:r>
      <w:r w:rsidR="00E42B5C">
        <w:t xml:space="preserve"> metrics is the assumed miles driven </w:t>
      </w:r>
      <w:r w:rsidR="003C1A7E">
        <w:t xml:space="preserve">per week. Based on </w:t>
      </w:r>
      <w:r w:rsidR="00EE723B">
        <w:t>an average distribution of trip types</w:t>
      </w:r>
      <w:r w:rsidR="00816F2D">
        <w:t xml:space="preserve"> (e.g.</w:t>
      </w:r>
      <w:r w:rsidR="001D6951">
        <w:t>,</w:t>
      </w:r>
      <w:r w:rsidR="00816F2D">
        <w:t xml:space="preserve"> urban, suburban</w:t>
      </w:r>
      <w:r w:rsidR="001D6951">
        <w:t>,</w:t>
      </w:r>
      <w:r w:rsidR="00816F2D">
        <w:t xml:space="preserve"> or airport trips </w:t>
      </w:r>
      <w:r w:rsidR="001D6951">
        <w:t>[</w:t>
      </w:r>
      <w:r w:rsidR="00816F2D">
        <w:t>see Wenzel, 2024</w:t>
      </w:r>
      <w:r w:rsidR="001D6951">
        <w:t>]</w:t>
      </w:r>
      <w:r w:rsidR="00816F2D">
        <w:t>)</w:t>
      </w:r>
      <w:r w:rsidR="00EE723B">
        <w:t xml:space="preserve">, </w:t>
      </w:r>
      <w:r w:rsidR="00241B3A">
        <w:t>we assume 10 mil</w:t>
      </w:r>
      <w:r w:rsidR="00816F2D">
        <w:t>es per trip</w:t>
      </w:r>
      <w:r w:rsidR="008D6980">
        <w:t xml:space="preserve">, which translates </w:t>
      </w:r>
      <w:r w:rsidR="008D6980">
        <w:lastRenderedPageBreak/>
        <w:t xml:space="preserve">to about 900 miles per </w:t>
      </w:r>
      <w:r w:rsidR="00B149E6">
        <w:t>week,</w:t>
      </w:r>
      <w:r w:rsidR="0055627C">
        <w:t xml:space="preserve"> assuming 45,000 trips per year (which is required to </w:t>
      </w:r>
      <w:r w:rsidR="00612AD0">
        <w:t>qualify for the current TNC incentive</w:t>
      </w:r>
      <w:r w:rsidR="008F16FC">
        <w:t xml:space="preserve"> under the </w:t>
      </w:r>
      <w:r w:rsidR="009E4FAE">
        <w:t xml:space="preserve">CPUC </w:t>
      </w:r>
      <w:r w:rsidR="008F16FC">
        <w:t>Driver Assistance Program</w:t>
      </w:r>
      <w:r w:rsidR="00D31954">
        <w:t xml:space="preserve"> </w:t>
      </w:r>
      <w:r w:rsidR="001D6951">
        <w:t>[</w:t>
      </w:r>
      <w:r w:rsidR="00D31954">
        <w:t>DAP</w:t>
      </w:r>
      <w:r w:rsidR="001D6951">
        <w:t>]</w:t>
      </w:r>
      <w:r w:rsidR="00612AD0">
        <w:t>)</w:t>
      </w:r>
      <w:r w:rsidR="008D6980">
        <w:t>.</w:t>
      </w:r>
      <w:r w:rsidR="00573DF8">
        <w:t xml:space="preserve"> </w:t>
      </w:r>
    </w:p>
    <w:p w14:paraId="6D8E05F3" w14:textId="2864C41C" w:rsidR="00500F9F" w:rsidRDefault="00500F9F" w:rsidP="000275C4">
      <w:r>
        <w:t xml:space="preserve">However, since these miles </w:t>
      </w:r>
      <w:r w:rsidR="00415FE6">
        <w:t>include both billable and nonbillabl</w:t>
      </w:r>
      <w:r w:rsidR="00BD42D6">
        <w:t xml:space="preserve">e miles associated with working </w:t>
      </w:r>
      <w:r w:rsidR="00AA29A4">
        <w:t xml:space="preserve">as a TNC driver, </w:t>
      </w:r>
      <w:r w:rsidR="009A3D57">
        <w:t>o</w:t>
      </w:r>
      <w:r w:rsidR="00415FE6">
        <w:t xml:space="preserve">nly a portion </w:t>
      </w:r>
      <w:r w:rsidR="00AA29A4">
        <w:t xml:space="preserve">of the cost of operation will be </w:t>
      </w:r>
      <w:r w:rsidR="004D1CCD">
        <w:t>offset</w:t>
      </w:r>
      <w:r w:rsidR="00AA29A4">
        <w:t xml:space="preserve"> by the </w:t>
      </w:r>
      <w:r w:rsidR="000A4544">
        <w:t>wages received by the driver</w:t>
      </w:r>
      <w:r w:rsidR="00E417D8">
        <w:t xml:space="preserve"> (the remaining miles are unbillable)</w:t>
      </w:r>
      <w:r w:rsidR="000A4544">
        <w:t>. This in turn depends</w:t>
      </w:r>
      <w:r w:rsidR="00DF6717">
        <w:t xml:space="preserve"> on the proportion of billable miles and the wages received per mile. Based on </w:t>
      </w:r>
      <w:r w:rsidR="006405FC">
        <w:t>two studie</w:t>
      </w:r>
      <w:r w:rsidR="009C10C1">
        <w:t xml:space="preserve">s </w:t>
      </w:r>
      <w:r w:rsidR="00E20718">
        <w:t xml:space="preserve">analyzing usage national and </w:t>
      </w:r>
      <w:r w:rsidR="00644F20">
        <w:t xml:space="preserve">usage </w:t>
      </w:r>
      <w:r w:rsidR="00956ABE">
        <w:t xml:space="preserve">in </w:t>
      </w:r>
      <w:r w:rsidR="00E20718" w:rsidRPr="003D6925">
        <w:t>California</w:t>
      </w:r>
      <w:r w:rsidR="00956ABE" w:rsidRPr="003D6925">
        <w:t xml:space="preserve"> (</w:t>
      </w:r>
      <w:r w:rsidR="003D6925">
        <w:t>CARB, 2021</w:t>
      </w:r>
      <w:r w:rsidR="008A36C7">
        <w:t xml:space="preserve">; </w:t>
      </w:r>
      <w:r w:rsidR="00956ABE">
        <w:t>Fehr &amp; Peers, 2019</w:t>
      </w:r>
      <w:r w:rsidR="004D1CCD" w:rsidRPr="003D6925">
        <w:t>)</w:t>
      </w:r>
      <w:r w:rsidR="00E20718" w:rsidRPr="003D6925">
        <w:t>, billable miles ranged from around 54% to 62%, thus we use 60% in this study.</w:t>
      </w:r>
      <w:r w:rsidR="004D1CCD" w:rsidRPr="003D6925">
        <w:t xml:space="preserve"> The </w:t>
      </w:r>
      <w:r w:rsidR="00496E5E" w:rsidRPr="003D6925">
        <w:t xml:space="preserve">TNC wage used per mile was based on recent </w:t>
      </w:r>
      <w:r w:rsidR="00644F20" w:rsidRPr="003D6925">
        <w:t xml:space="preserve">studies </w:t>
      </w:r>
      <w:r w:rsidR="00496E5E" w:rsidRPr="003D6925">
        <w:t xml:space="preserve">of Uber drivers in Los Angeles </w:t>
      </w:r>
      <w:r w:rsidR="00A002D5" w:rsidRPr="003D6925">
        <w:t xml:space="preserve">(Stilt, 2024; The Rideshare Guy, 2024), which resulted in </w:t>
      </w:r>
      <w:r w:rsidR="00BD095F" w:rsidRPr="003D6925">
        <w:t xml:space="preserve">a base wage of </w:t>
      </w:r>
      <w:r w:rsidR="00A002D5" w:rsidRPr="003D6925">
        <w:t xml:space="preserve">$0.87 per mile, </w:t>
      </w:r>
      <w:r w:rsidR="00867061" w:rsidRPr="003D6925">
        <w:t xml:space="preserve">plus </w:t>
      </w:r>
      <w:r w:rsidR="00A002D5" w:rsidRPr="003D6925">
        <w:t xml:space="preserve">a 50% bonus </w:t>
      </w:r>
      <w:r w:rsidR="00867061" w:rsidRPr="003D6925">
        <w:t xml:space="preserve">due to </w:t>
      </w:r>
      <w:r w:rsidR="00A002D5" w:rsidRPr="003D6925">
        <w:t xml:space="preserve">tips and surge pricing </w:t>
      </w:r>
      <w:r w:rsidR="00867061" w:rsidRPr="003D6925">
        <w:t>(GB Times, 2024).</w:t>
      </w:r>
    </w:p>
    <w:p w14:paraId="763794C6" w14:textId="5A8091A4" w:rsidR="00E143B7" w:rsidRDefault="00500F9F" w:rsidP="000275C4">
      <w:r>
        <w:t>Next</w:t>
      </w:r>
      <w:r w:rsidR="008D6980">
        <w:t xml:space="preserve">, the average fuel cost is calculated based on </w:t>
      </w:r>
      <w:r w:rsidR="00150EFF">
        <w:t xml:space="preserve">average </w:t>
      </w:r>
      <w:r w:rsidR="008D6980">
        <w:t>EPA efficiency</w:t>
      </w:r>
      <w:r w:rsidR="00150EFF">
        <w:t xml:space="preserve"> metrics </w:t>
      </w:r>
      <w:r w:rsidR="006F206C" w:rsidRPr="000F4334">
        <w:t>obtained from fueleconomy.gov (U.S. Department of Energy, 2024).</w:t>
      </w:r>
      <w:r w:rsidR="00ED713A">
        <w:t xml:space="preserve"> This was then </w:t>
      </w:r>
      <w:r w:rsidR="0071363F">
        <w:t>multiplied</w:t>
      </w:r>
      <w:r w:rsidR="003F1BD6">
        <w:t xml:space="preserve"> by the charging costs and gasoline costs for BEVs and ICEVs. </w:t>
      </w:r>
      <w:r w:rsidR="008C30A2">
        <w:t xml:space="preserve">One may note that this study uses relatively higher electricity costs (as compared to home electricity costs), but this is a result of </w:t>
      </w:r>
      <w:r w:rsidR="0071363F">
        <w:t xml:space="preserve">higher utilization of public </w:t>
      </w:r>
      <w:r w:rsidR="00E143B7">
        <w:t>chargers</w:t>
      </w:r>
      <w:r w:rsidR="002859AE">
        <w:t xml:space="preserve"> and is based on CVRP Consumer Survey data </w:t>
      </w:r>
      <w:r w:rsidR="00644F20">
        <w:t>(</w:t>
      </w:r>
      <w:r w:rsidR="002859AE">
        <w:t>see Appendix A</w:t>
      </w:r>
      <w:r w:rsidR="00644F20">
        <w:t>)</w:t>
      </w:r>
      <w:r w:rsidR="002859AE">
        <w:t xml:space="preserve">. </w:t>
      </w:r>
      <w:r w:rsidR="002E53AF">
        <w:t xml:space="preserve">This study assumes 100% of charging comes from public </w:t>
      </w:r>
      <w:r w:rsidR="0098644B">
        <w:t xml:space="preserve">DC fast charging </w:t>
      </w:r>
      <w:r w:rsidR="008368F1">
        <w:t xml:space="preserve">stations </w:t>
      </w:r>
      <w:proofErr w:type="gramStart"/>
      <w:r w:rsidR="002E53AF">
        <w:t>in order to</w:t>
      </w:r>
      <w:proofErr w:type="gramEnd"/>
      <w:r w:rsidR="002E53AF">
        <w:t xml:space="preserve"> be conservative </w:t>
      </w:r>
      <w:r w:rsidR="008368F1">
        <w:t xml:space="preserve">while </w:t>
      </w:r>
      <w:r w:rsidR="002E53AF">
        <w:t>assuming TNC drivers will need to charge fast</w:t>
      </w:r>
      <w:r w:rsidR="00AA751F">
        <w:t>. H</w:t>
      </w:r>
      <w:r w:rsidR="00A5769D">
        <w:t xml:space="preserve">owever, </w:t>
      </w:r>
      <w:r w:rsidR="00F159A9">
        <w:t xml:space="preserve">TNC drivers who </w:t>
      </w:r>
      <w:r w:rsidR="00644F20">
        <w:t>can</w:t>
      </w:r>
      <w:r w:rsidR="00F159A9">
        <w:t xml:space="preserve"> charge at level 2 </w:t>
      </w:r>
      <w:r w:rsidR="00E6486F">
        <w:t xml:space="preserve">stations </w:t>
      </w:r>
      <w:r w:rsidR="007141B0">
        <w:t xml:space="preserve">may experience </w:t>
      </w:r>
      <w:r w:rsidR="0054688C">
        <w:t>lower monthly refueling costs than</w:t>
      </w:r>
      <w:r w:rsidR="0057168C">
        <w:t xml:space="preserve"> those estimated in this study</w:t>
      </w:r>
      <w:r w:rsidR="004F07D0">
        <w:t>.</w:t>
      </w:r>
    </w:p>
    <w:p w14:paraId="673D3234" w14:textId="1785CC4C" w:rsidR="00842781" w:rsidRPr="00A4137F" w:rsidRDefault="00867061" w:rsidP="00842781">
      <w:pPr>
        <w:rPr>
          <w:b/>
          <w:highlight w:val="yellow"/>
        </w:rPr>
      </w:pPr>
      <w:r>
        <w:t>The vehicle maintenance cost per mile was ada</w:t>
      </w:r>
      <w:r w:rsidR="00BD095F">
        <w:t>p</w:t>
      </w:r>
      <w:r>
        <w:t xml:space="preserve">ted from a comprehensive </w:t>
      </w:r>
      <w:r w:rsidR="00E2554C">
        <w:t xml:space="preserve">analysis </w:t>
      </w:r>
      <w:r w:rsidR="00C35D84">
        <w:t xml:space="preserve">of </w:t>
      </w:r>
      <w:r w:rsidR="00E2554C">
        <w:t xml:space="preserve">all vehicle types, using a national average for service costs </w:t>
      </w:r>
      <w:r w:rsidR="00C35D84">
        <w:t>and multiple data sources (</w:t>
      </w:r>
      <w:r w:rsidR="00C35D84" w:rsidRPr="000F4334">
        <w:t>Burnham et al.</w:t>
      </w:r>
      <w:r w:rsidR="00C35D84">
        <w:t xml:space="preserve">, </w:t>
      </w:r>
      <w:r w:rsidR="00C35D84" w:rsidRPr="000F4334">
        <w:t>2021)</w:t>
      </w:r>
      <w:r w:rsidR="00C35D84">
        <w:t xml:space="preserve">. </w:t>
      </w:r>
      <w:r w:rsidR="00AF18D1">
        <w:t xml:space="preserve">Similarly, insurance cost was </w:t>
      </w:r>
      <w:r w:rsidR="00842781">
        <w:t xml:space="preserve">based on national averages for each vehicle type </w:t>
      </w:r>
      <w:r w:rsidR="00842781" w:rsidRPr="00EB1CB6">
        <w:t>(Timmons, 2024). It is important to note that actual insurance rates may vary by model, location, and driver profile.</w:t>
      </w:r>
    </w:p>
    <w:p w14:paraId="1D1E6B5C" w14:textId="0240E815" w:rsidR="00A4137F" w:rsidRDefault="00D33ADB" w:rsidP="00DC04A1">
      <w:pPr>
        <w:pStyle w:val="Heading3"/>
      </w:pPr>
      <w:r>
        <w:t>D</w:t>
      </w:r>
      <w:r w:rsidR="00CA73D5">
        <w:t>emographics</w:t>
      </w:r>
    </w:p>
    <w:p w14:paraId="44C6F84D" w14:textId="4D2C6115" w:rsidR="00CA73D5" w:rsidRPr="001E72A7" w:rsidRDefault="00A957E4" w:rsidP="002303A6">
      <w:pPr>
        <w:rPr>
          <w:strike/>
        </w:rPr>
      </w:pPr>
      <w:r>
        <w:t xml:space="preserve">To calculate the affordability threshold described above, where </w:t>
      </w:r>
      <w:r w:rsidR="003C0C45">
        <w:t xml:space="preserve">transportation-related costs should not exceed </w:t>
      </w:r>
      <w:r w:rsidR="00B24228">
        <w:t>15% of annual income</w:t>
      </w:r>
      <w:r w:rsidR="00CB6013">
        <w:t>, two key assumptions are necessary</w:t>
      </w:r>
      <w:r w:rsidR="00644F20">
        <w:t>—</w:t>
      </w:r>
      <w:r w:rsidR="00CB6013">
        <w:t xml:space="preserve">household size and household income. </w:t>
      </w:r>
      <w:r w:rsidR="005859E9">
        <w:t>Based on the CVRP Consumer Survey (see Appendix A)</w:t>
      </w:r>
      <w:r w:rsidR="003564EB">
        <w:t xml:space="preserve">, the most frequently </w:t>
      </w:r>
      <w:r w:rsidR="003564EB" w:rsidRPr="000F4334">
        <w:t xml:space="preserve">reported household size for </w:t>
      </w:r>
      <w:r w:rsidR="003564EB" w:rsidRPr="001E72A7">
        <w:t>participants using their vehicles for TNC driving was four</w:t>
      </w:r>
      <w:r w:rsidR="003564EB">
        <w:t xml:space="preserve">. </w:t>
      </w:r>
      <w:r w:rsidR="003C7120">
        <w:t>Likewise</w:t>
      </w:r>
      <w:r w:rsidR="0074474D">
        <w:t xml:space="preserve">, the most frequently selected income range was $50,000 to $74,999. </w:t>
      </w:r>
      <w:proofErr w:type="gramStart"/>
      <w:r w:rsidR="0074474D">
        <w:t>In order to</w:t>
      </w:r>
      <w:proofErr w:type="gramEnd"/>
      <w:r w:rsidR="0074474D">
        <w:t xml:space="preserve"> be </w:t>
      </w:r>
      <w:r w:rsidR="001801F6">
        <w:t>conservative</w:t>
      </w:r>
      <w:r w:rsidR="002303A6">
        <w:t xml:space="preserve">, as well as align with FPL thresholds, this study uses </w:t>
      </w:r>
      <w:r w:rsidR="00CA73D5" w:rsidRPr="001E72A7">
        <w:t>$50,000 as a starting family income</w:t>
      </w:r>
      <w:r w:rsidR="00CA73D5">
        <w:t>.</w:t>
      </w:r>
    </w:p>
    <w:p w14:paraId="203084CE" w14:textId="6C722E30" w:rsidR="00DF6DEB" w:rsidRDefault="00CA73D5" w:rsidP="00DF6DEB">
      <w:r w:rsidRPr="00AA7C55">
        <w:t xml:space="preserve">To account for differences in household purchasing power, </w:t>
      </w:r>
      <w:r w:rsidRPr="001E72A7">
        <w:t xml:space="preserve">we adjust the baseline household income </w:t>
      </w:r>
      <w:r w:rsidR="007E1FC2">
        <w:t>by dividing by</w:t>
      </w:r>
      <w:r w:rsidR="007E1FC2" w:rsidRPr="001E72A7">
        <w:t xml:space="preserve"> </w:t>
      </w:r>
      <w:r w:rsidRPr="001E72A7">
        <w:t>the square root of household size</w:t>
      </w:r>
      <w:r w:rsidRPr="00261094">
        <w:t>.</w:t>
      </w:r>
      <w:r w:rsidRPr="00AA7C55">
        <w:t xml:space="preserve"> This adjustment, while often used to reflect economies of scale, is applied here to reflect the greater income burden that larger households may face when only one or two members contribute to household income (Garner et al., 2020). Applying this adjustment ensures that our affordability threshold (15% of adjusted monthly income) provides a more accurate comparison of financial burden across households of different sizes, rather than assuming all household income is fully available for vehicle expenses.</w:t>
      </w:r>
    </w:p>
    <w:p w14:paraId="03AB498E" w14:textId="0411C04E" w:rsidR="6BF183A4" w:rsidRDefault="2F264AE2" w:rsidP="007C0ED4">
      <w:pPr>
        <w:pStyle w:val="Heading1"/>
      </w:pPr>
      <w:r w:rsidRPr="000F4334">
        <w:t>Results</w:t>
      </w:r>
    </w:p>
    <w:p w14:paraId="67F7414C" w14:textId="7E011BA5" w:rsidR="00877E06" w:rsidRDefault="00877E06" w:rsidP="00877E06">
      <w:r>
        <w:t xml:space="preserve">The results of </w:t>
      </w:r>
      <w:r w:rsidR="00A64C20">
        <w:t xml:space="preserve">the Affordability Tool </w:t>
      </w:r>
      <w:r>
        <w:t xml:space="preserve">analysis are presented in Figure </w:t>
      </w:r>
      <w:r w:rsidR="00F25F7B">
        <w:t>1</w:t>
      </w:r>
      <w:r>
        <w:t>.</w:t>
      </w:r>
      <w:r w:rsidR="00B364CE">
        <w:t xml:space="preserve"> </w:t>
      </w:r>
      <w:r w:rsidR="00644F20">
        <w:t xml:space="preserve">The </w:t>
      </w:r>
      <w:r w:rsidR="00F25F7B">
        <w:t xml:space="preserve">figure </w:t>
      </w:r>
      <w:r w:rsidR="0035595A">
        <w:t>show</w:t>
      </w:r>
      <w:r w:rsidR="00F25F7B">
        <w:t>s</w:t>
      </w:r>
      <w:r w:rsidR="00B364CE">
        <w:t xml:space="preserve"> the </w:t>
      </w:r>
      <w:r w:rsidR="005B4CE5">
        <w:t>expense ratio</w:t>
      </w:r>
      <w:r w:rsidR="00A64C20">
        <w:t xml:space="preserve"> </w:t>
      </w:r>
      <w:r w:rsidR="008E2C9E">
        <w:t>(</w:t>
      </w:r>
      <w:r w:rsidR="005B4CE5">
        <w:t>total monthly vehicle costs divided by total monthly income</w:t>
      </w:r>
      <w:r w:rsidR="008E2C9E">
        <w:t>)</w:t>
      </w:r>
      <w:r w:rsidR="00A64C20">
        <w:t xml:space="preserve"> </w:t>
      </w:r>
      <w:r w:rsidR="00B364CE">
        <w:t xml:space="preserve">of different vehicle </w:t>
      </w:r>
      <w:r w:rsidR="0035595A">
        <w:t>configurations (BEV</w:t>
      </w:r>
      <w:r w:rsidR="00A64C20">
        <w:t>/</w:t>
      </w:r>
      <w:r w:rsidR="0035595A">
        <w:t>ICEV, new</w:t>
      </w:r>
      <w:r w:rsidR="00A64C20">
        <w:t>/</w:t>
      </w:r>
      <w:r w:rsidR="0035595A">
        <w:t>used) and purchase type (</w:t>
      </w:r>
      <w:r w:rsidR="00F25F7B">
        <w:t>purchased new, purchased used, and</w:t>
      </w:r>
      <w:r w:rsidR="00CD6D8F">
        <w:t xml:space="preserve"> </w:t>
      </w:r>
      <w:r w:rsidR="00644F20">
        <w:t>l</w:t>
      </w:r>
      <w:r w:rsidR="00CD6D8F">
        <w:t xml:space="preserve">easing), depending on the level of incentive made available. The </w:t>
      </w:r>
      <w:r w:rsidR="00B40B40">
        <w:t xml:space="preserve">expense ratios of the </w:t>
      </w:r>
      <w:r w:rsidR="00CD6D8F">
        <w:t xml:space="preserve">BEV options </w:t>
      </w:r>
      <w:r w:rsidR="00A16415">
        <w:t xml:space="preserve">decrease </w:t>
      </w:r>
      <w:r w:rsidR="00E37C08">
        <w:t xml:space="preserve">as the incentive increases. </w:t>
      </w:r>
      <w:r w:rsidR="00716503">
        <w:t xml:space="preserve">The points where </w:t>
      </w:r>
      <w:r w:rsidR="00504C4C">
        <w:t xml:space="preserve">the BEV options cross the </w:t>
      </w:r>
      <w:r w:rsidR="00376161">
        <w:t>gray</w:t>
      </w:r>
      <w:r w:rsidR="00FA0CBD">
        <w:t xml:space="preserve"> </w:t>
      </w:r>
      <w:r w:rsidR="00FC4C43">
        <w:t xml:space="preserve">lines </w:t>
      </w:r>
      <w:r w:rsidR="00FA0CBD">
        <w:t>can be interpreted as the adoption point</w:t>
      </w:r>
      <w:r w:rsidR="00644F20">
        <w:t>—</w:t>
      </w:r>
      <w:r w:rsidR="00B435C9">
        <w:t xml:space="preserve">meaning at that incentive, the monthly cost of the BEV is the same </w:t>
      </w:r>
      <w:r w:rsidR="00FC4C43">
        <w:t xml:space="preserve">or lower </w:t>
      </w:r>
      <w:r w:rsidR="00B435C9">
        <w:t xml:space="preserve">as the </w:t>
      </w:r>
      <w:r w:rsidR="00FC4C43">
        <w:t xml:space="preserve">monthly cost of </w:t>
      </w:r>
      <w:r w:rsidR="00431F69">
        <w:t xml:space="preserve">buying a used </w:t>
      </w:r>
      <w:r w:rsidR="00B435C9">
        <w:t xml:space="preserve">ICEV. </w:t>
      </w:r>
      <w:r w:rsidR="00031BEF">
        <w:t xml:space="preserve">The higher standard of affordability is </w:t>
      </w:r>
      <w:r w:rsidR="00031BEF">
        <w:lastRenderedPageBreak/>
        <w:t>represented by t</w:t>
      </w:r>
      <w:r w:rsidR="006179AB">
        <w:t xml:space="preserve">he dotted </w:t>
      </w:r>
      <w:r w:rsidR="00002A34">
        <w:t>purple</w:t>
      </w:r>
      <w:r w:rsidR="006179AB">
        <w:t xml:space="preserve"> line represents the 15% threshold</w:t>
      </w:r>
      <w:r w:rsidR="00FC4C43">
        <w:t xml:space="preserve">, and the affordability threshold can be seen where </w:t>
      </w:r>
      <w:r w:rsidR="00375FB7">
        <w:t xml:space="preserve">each </w:t>
      </w:r>
      <w:r w:rsidR="00114F10">
        <w:t>ratio line</w:t>
      </w:r>
      <w:r w:rsidR="00FC4C43">
        <w:t xml:space="preserve"> cross</w:t>
      </w:r>
      <w:r w:rsidR="00114F10">
        <w:t>es</w:t>
      </w:r>
      <w:r w:rsidR="00FC4C43">
        <w:t xml:space="preserve"> it.</w:t>
      </w:r>
    </w:p>
    <w:p w14:paraId="18B71CB7" w14:textId="76B37C78" w:rsidR="003C3CE9" w:rsidRDefault="003C3CE9" w:rsidP="00877E06">
      <w:r>
        <w:t>For the purchased new and used BEVs (blue and green lines in Figure 1), one may note that the slope changes</w:t>
      </w:r>
      <w:r w:rsidR="00737685">
        <w:t xml:space="preserve">. This is the point at which the incentive covers the entire cost </w:t>
      </w:r>
      <w:r w:rsidR="009516BF">
        <w:t xml:space="preserve">of the vehicle and </w:t>
      </w:r>
      <w:r w:rsidR="00E52578">
        <w:t xml:space="preserve">the remaining </w:t>
      </w:r>
      <w:r w:rsidR="009516BF">
        <w:t xml:space="preserve">incentive is </w:t>
      </w:r>
      <w:r w:rsidR="009D3D73">
        <w:t xml:space="preserve">amortized over five years </w:t>
      </w:r>
      <w:r w:rsidR="009516BF">
        <w:t>to offset the monthly operational cost</w:t>
      </w:r>
      <w:r w:rsidR="007038F6">
        <w:t xml:space="preserve">. The slope is higher before this point because </w:t>
      </w:r>
      <w:r w:rsidR="002F71DC">
        <w:t xml:space="preserve">each incentive dollar </w:t>
      </w:r>
      <w:r w:rsidR="003A273A">
        <w:t xml:space="preserve">reduces both the principal cost as well as the cost of financing, leading to increased savings. </w:t>
      </w:r>
      <w:r w:rsidR="00560FD3">
        <w:t>For example</w:t>
      </w:r>
      <w:r w:rsidR="00A1284A">
        <w:t xml:space="preserve">, </w:t>
      </w:r>
      <w:r w:rsidR="008C05DE">
        <w:t xml:space="preserve">in the case of purchasing a new BEV, </w:t>
      </w:r>
      <w:r w:rsidR="00646029">
        <w:t>a $5,000 incentive increase before this inflection point would decrease mo</w:t>
      </w:r>
      <w:r w:rsidR="008C05DE">
        <w:t>nthly costs by approximately $120, whereas th</w:t>
      </w:r>
      <w:r w:rsidR="00963A3C">
        <w:t>e same incentive increase would decrease monthly costs by</w:t>
      </w:r>
      <w:r w:rsidR="008C05DE">
        <w:t xml:space="preserve"> $83.33 after this inflection point. </w:t>
      </w:r>
    </w:p>
    <w:p w14:paraId="630137DF" w14:textId="36268694" w:rsidR="00BC34AE" w:rsidRPr="00321663" w:rsidRDefault="00F309B1" w:rsidP="00CF798C">
      <w:pPr>
        <w:pStyle w:val="Caption"/>
        <w:keepNext/>
        <w:spacing w:after="0"/>
        <w:rPr>
          <w:i/>
        </w:rPr>
      </w:pPr>
      <w:bookmarkStart w:id="1" w:name="_Ref218598400"/>
      <w:r w:rsidRPr="00321663">
        <w:t xml:space="preserve">Figure </w:t>
      </w:r>
      <w:r>
        <w:fldChar w:fldCharType="begin"/>
      </w:r>
      <w:r w:rsidRPr="00321663">
        <w:instrText xml:space="preserve"> SEQ Figure \* ARABIC </w:instrText>
      </w:r>
      <w:r>
        <w:fldChar w:fldCharType="separate"/>
      </w:r>
      <w:r w:rsidR="003E5E9B">
        <w:rPr>
          <w:noProof/>
        </w:rPr>
        <w:t>1</w:t>
      </w:r>
      <w:r>
        <w:fldChar w:fldCharType="end"/>
      </w:r>
      <w:bookmarkEnd w:id="1"/>
    </w:p>
    <w:p w14:paraId="482033C9" w14:textId="171D8843" w:rsidR="00F309B1" w:rsidRPr="00321663" w:rsidRDefault="00F309B1" w:rsidP="00BC34AE">
      <w:pPr>
        <w:pStyle w:val="Caption"/>
        <w:keepNext/>
        <w:rPr>
          <w:b/>
          <w:i/>
          <w:sz w:val="28"/>
          <w:szCs w:val="28"/>
        </w:rPr>
      </w:pPr>
      <w:r w:rsidRPr="00321663">
        <w:rPr>
          <w:b/>
          <w:sz w:val="28"/>
          <w:szCs w:val="28"/>
        </w:rPr>
        <w:t>Expense Ratio for each BEV Acquisition as a Function of Incentive Amount</w:t>
      </w:r>
    </w:p>
    <w:p w14:paraId="1ECCFDEC" w14:textId="3E9AB36D" w:rsidR="00E01485" w:rsidRDefault="004216C7" w:rsidP="00E01485">
      <w:r>
        <w:rPr>
          <w:noProof/>
        </w:rPr>
        <w:drawing>
          <wp:inline distT="0" distB="0" distL="0" distR="0" wp14:anchorId="2ABEF9C6" wp14:editId="18A0CFF5">
            <wp:extent cx="5943600" cy="3239135"/>
            <wp:effectExtent l="0" t="0" r="0" b="0"/>
            <wp:docPr id="631109147"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09147" name="Picture 1" descr="A graph of different colored lines&#10;&#10;AI-generated content may be incorrect."/>
                    <pic:cNvPicPr/>
                  </pic:nvPicPr>
                  <pic:blipFill>
                    <a:blip r:embed="rId11"/>
                    <a:stretch>
                      <a:fillRect/>
                    </a:stretch>
                  </pic:blipFill>
                  <pic:spPr>
                    <a:xfrm>
                      <a:off x="0" y="0"/>
                      <a:ext cx="5943600" cy="3239135"/>
                    </a:xfrm>
                    <a:prstGeom prst="rect">
                      <a:avLst/>
                    </a:prstGeom>
                  </pic:spPr>
                </pic:pic>
              </a:graphicData>
            </a:graphic>
          </wp:inline>
        </w:drawing>
      </w:r>
    </w:p>
    <w:p w14:paraId="14F0C278" w14:textId="77777777" w:rsidR="00877B08" w:rsidRDefault="00877B08" w:rsidP="00124E8D">
      <w:pPr>
        <w:spacing w:after="0"/>
        <w:rPr>
          <w:sz w:val="18"/>
          <w:szCs w:val="18"/>
          <w:lang w:eastAsia="zh-CN"/>
        </w:rPr>
      </w:pPr>
    </w:p>
    <w:p w14:paraId="76479587" w14:textId="77777777" w:rsidR="00877B08" w:rsidRDefault="00877B08" w:rsidP="00877B08">
      <w:r>
        <w:t xml:space="preserve">Based on these calculations, incentives are required for BEVs to reach the adoption point in all cases. The incentive required to meet these points depends on the purchase type and financing option, but range from $6,000 to $18,000, as summarized in Table 2. The stricter threshold of affordability requires substantially higher incentives, ranging from $32,000 to $58,000. </w:t>
      </w:r>
    </w:p>
    <w:p w14:paraId="6732D3C0" w14:textId="77777777" w:rsidR="00877B08" w:rsidRDefault="00877B08" w:rsidP="00124E8D">
      <w:pPr>
        <w:spacing w:after="0"/>
        <w:rPr>
          <w:sz w:val="18"/>
          <w:szCs w:val="18"/>
          <w:lang w:eastAsia="zh-CN"/>
        </w:rPr>
      </w:pPr>
    </w:p>
    <w:p w14:paraId="5F679CDD" w14:textId="5981E4C9" w:rsidR="00450646" w:rsidRPr="00292A03" w:rsidRDefault="004B5A01" w:rsidP="00124E8D">
      <w:pPr>
        <w:spacing w:after="0"/>
        <w:rPr>
          <w:sz w:val="16"/>
          <w:szCs w:val="16"/>
          <w:lang w:eastAsia="zh-CN"/>
        </w:rPr>
      </w:pPr>
      <w:r w:rsidRPr="00292A03">
        <w:rPr>
          <w:sz w:val="16"/>
          <w:szCs w:val="16"/>
          <w:lang w:eastAsia="zh-CN"/>
        </w:rPr>
        <w:t>Table 2</w:t>
      </w:r>
    </w:p>
    <w:p w14:paraId="380A84C1" w14:textId="1899D912" w:rsidR="0017714E" w:rsidRPr="002D3CF3" w:rsidRDefault="00B77A3A" w:rsidP="00215904">
      <w:pPr>
        <w:rPr>
          <w:b/>
          <w:sz w:val="28"/>
          <w:szCs w:val="28"/>
          <w:lang w:eastAsia="zh-CN"/>
        </w:rPr>
      </w:pPr>
      <w:r w:rsidRPr="002D3CF3">
        <w:rPr>
          <w:b/>
          <w:bCs/>
          <w:sz w:val="28"/>
          <w:szCs w:val="28"/>
        </w:rPr>
        <w:t xml:space="preserve">Incentive Required </w:t>
      </w:r>
      <w:r w:rsidR="0064699B">
        <w:rPr>
          <w:b/>
          <w:bCs/>
          <w:sz w:val="28"/>
          <w:szCs w:val="28"/>
        </w:rPr>
        <w:t>f</w:t>
      </w:r>
      <w:r w:rsidR="002D3CF3">
        <w:rPr>
          <w:b/>
          <w:bCs/>
          <w:sz w:val="28"/>
          <w:szCs w:val="28"/>
        </w:rPr>
        <w:t>or</w:t>
      </w:r>
      <w:r w:rsidR="002D3CF3" w:rsidRPr="00981001">
        <w:rPr>
          <w:b/>
          <w:bCs/>
          <w:sz w:val="28"/>
          <w:szCs w:val="28"/>
        </w:rPr>
        <w:t xml:space="preserve"> </w:t>
      </w:r>
      <w:r w:rsidR="002D3CF3">
        <w:rPr>
          <w:b/>
          <w:bCs/>
          <w:sz w:val="28"/>
          <w:szCs w:val="28"/>
        </w:rPr>
        <w:t>Equity</w:t>
      </w:r>
      <w:r w:rsidR="00981001" w:rsidRPr="00981001">
        <w:rPr>
          <w:b/>
          <w:bCs/>
          <w:sz w:val="28"/>
          <w:szCs w:val="28"/>
        </w:rPr>
        <w:t xml:space="preserve"> </w:t>
      </w:r>
      <w:r w:rsidR="00A3790F">
        <w:rPr>
          <w:b/>
          <w:bCs/>
          <w:sz w:val="28"/>
          <w:szCs w:val="28"/>
        </w:rPr>
        <w:t>o</w:t>
      </w:r>
      <w:r w:rsidR="00A3790F" w:rsidRPr="00981001">
        <w:rPr>
          <w:b/>
          <w:bCs/>
          <w:sz w:val="28"/>
          <w:szCs w:val="28"/>
        </w:rPr>
        <w:t xml:space="preserve">r </w:t>
      </w:r>
      <w:r w:rsidR="002D3CF3">
        <w:rPr>
          <w:b/>
          <w:bCs/>
          <w:sz w:val="28"/>
          <w:szCs w:val="28"/>
        </w:rPr>
        <w:t>Affordability by Vehicle</w:t>
      </w:r>
    </w:p>
    <w:tbl>
      <w:tblPr>
        <w:tblStyle w:val="CSETable"/>
        <w:tblW w:w="9107" w:type="dxa"/>
        <w:tblLayout w:type="fixed"/>
        <w:tblLook w:val="04A0" w:firstRow="1" w:lastRow="0" w:firstColumn="1" w:lastColumn="0" w:noHBand="0" w:noVBand="1"/>
      </w:tblPr>
      <w:tblGrid>
        <w:gridCol w:w="2914"/>
        <w:gridCol w:w="2899"/>
        <w:gridCol w:w="3294"/>
      </w:tblGrid>
      <w:tr w:rsidR="004D1DBD" w:rsidRPr="002D3CF3" w14:paraId="384D4553" w14:textId="77777777" w:rsidTr="000237FB">
        <w:trPr>
          <w:cnfStyle w:val="100000000000" w:firstRow="1" w:lastRow="0" w:firstColumn="0" w:lastColumn="0" w:oddVBand="0" w:evenVBand="0" w:oddHBand="0" w:evenHBand="0" w:firstRowFirstColumn="0" w:firstRowLastColumn="0" w:lastRowFirstColumn="0" w:lastRowLastColumn="0"/>
          <w:trHeight w:val="256"/>
        </w:trPr>
        <w:tc>
          <w:tcPr>
            <w:tcW w:w="2914" w:type="dxa"/>
          </w:tcPr>
          <w:p w14:paraId="4CD68971" w14:textId="51A63D96" w:rsidR="00F32EC5" w:rsidRPr="006C0C2F" w:rsidRDefault="00B80B3A" w:rsidP="006C0C2F">
            <w:pPr>
              <w:rPr>
                <w:color w:val="FFFFFF" w:themeColor="background1"/>
              </w:rPr>
            </w:pPr>
            <w:r w:rsidRPr="006C0C2F">
              <w:rPr>
                <w:color w:val="FFFFFF" w:themeColor="background1"/>
              </w:rPr>
              <w:t>Vehicle Type</w:t>
            </w:r>
          </w:p>
        </w:tc>
        <w:tc>
          <w:tcPr>
            <w:tcW w:w="2899" w:type="dxa"/>
          </w:tcPr>
          <w:p w14:paraId="5D63A4E4" w14:textId="6B5565B8" w:rsidR="00F32EC5" w:rsidRPr="006C0C2F" w:rsidRDefault="001B3F2E" w:rsidP="006C0C2F">
            <w:pPr>
              <w:rPr>
                <w:color w:val="FFFFFF" w:themeColor="background1"/>
              </w:rPr>
            </w:pPr>
            <w:r w:rsidRPr="006C0C2F">
              <w:rPr>
                <w:color w:val="FFFFFF" w:themeColor="background1"/>
              </w:rPr>
              <w:t>Adoption</w:t>
            </w:r>
            <w:r w:rsidR="00F32EC5" w:rsidRPr="006C0C2F">
              <w:rPr>
                <w:color w:val="FFFFFF" w:themeColor="background1"/>
              </w:rPr>
              <w:t xml:space="preserve"> </w:t>
            </w:r>
            <w:r w:rsidR="00B80B3A" w:rsidRPr="006C0C2F">
              <w:rPr>
                <w:color w:val="FFFFFF" w:themeColor="background1"/>
              </w:rPr>
              <w:t>(</w:t>
            </w:r>
            <w:r w:rsidRPr="006C0C2F">
              <w:rPr>
                <w:color w:val="FFFFFF" w:themeColor="background1"/>
              </w:rPr>
              <w:t>ICEV=</w:t>
            </w:r>
            <w:r w:rsidR="00B80B3A" w:rsidRPr="006C0C2F">
              <w:rPr>
                <w:color w:val="FFFFFF" w:themeColor="background1"/>
              </w:rPr>
              <w:t>35.9%)</w:t>
            </w:r>
          </w:p>
        </w:tc>
        <w:tc>
          <w:tcPr>
            <w:tcW w:w="3294" w:type="dxa"/>
          </w:tcPr>
          <w:p w14:paraId="52B9ADCC" w14:textId="56EFA4BE" w:rsidR="00F32EC5" w:rsidRPr="006C0C2F" w:rsidRDefault="00F32EC5" w:rsidP="006C0C2F">
            <w:pPr>
              <w:rPr>
                <w:color w:val="FFFFFF" w:themeColor="background1"/>
              </w:rPr>
            </w:pPr>
            <w:r w:rsidRPr="006C0C2F">
              <w:rPr>
                <w:color w:val="FFFFFF" w:themeColor="background1"/>
              </w:rPr>
              <w:t>Afford</w:t>
            </w:r>
            <w:r w:rsidR="001B3F2E" w:rsidRPr="006C0C2F">
              <w:rPr>
                <w:color w:val="FFFFFF" w:themeColor="background1"/>
              </w:rPr>
              <w:t>ability</w:t>
            </w:r>
            <w:r w:rsidRPr="006C0C2F">
              <w:rPr>
                <w:color w:val="FFFFFF" w:themeColor="background1"/>
              </w:rPr>
              <w:t xml:space="preserve"> (15%)</w:t>
            </w:r>
          </w:p>
        </w:tc>
      </w:tr>
      <w:tr w:rsidR="004D1DBD" w:rsidRPr="00AB550D" w14:paraId="2F2B9301" w14:textId="77777777" w:rsidTr="006C0C2F">
        <w:trPr>
          <w:trHeight w:val="509"/>
        </w:trPr>
        <w:tc>
          <w:tcPr>
            <w:tcW w:w="2914" w:type="dxa"/>
          </w:tcPr>
          <w:p w14:paraId="07694F4E" w14:textId="77777777" w:rsidR="00F32EC5" w:rsidRPr="00AB550D" w:rsidRDefault="00F32EC5" w:rsidP="006C0C2F">
            <w:r w:rsidRPr="00AB550D">
              <w:t>Purchase New BEV</w:t>
            </w:r>
          </w:p>
        </w:tc>
        <w:tc>
          <w:tcPr>
            <w:tcW w:w="2899" w:type="dxa"/>
          </w:tcPr>
          <w:p w14:paraId="6E14281E" w14:textId="0E43BF93" w:rsidR="00F32EC5" w:rsidRPr="00AB550D" w:rsidRDefault="00F32EC5" w:rsidP="006C0C2F">
            <w:pPr>
              <w:jc w:val="center"/>
            </w:pPr>
            <w:r w:rsidRPr="00AB550D">
              <w:t>$1</w:t>
            </w:r>
            <w:r w:rsidR="00B80B3A">
              <w:t>8</w:t>
            </w:r>
            <w:r w:rsidRPr="00AB550D">
              <w:t>,000</w:t>
            </w:r>
          </w:p>
        </w:tc>
        <w:tc>
          <w:tcPr>
            <w:tcW w:w="3294" w:type="dxa"/>
          </w:tcPr>
          <w:p w14:paraId="1653FD5D" w14:textId="58085B13" w:rsidR="00F32EC5" w:rsidRPr="00AB550D" w:rsidRDefault="00F32EC5" w:rsidP="006C0C2F">
            <w:pPr>
              <w:jc w:val="center"/>
            </w:pPr>
            <w:r w:rsidRPr="00AB550D">
              <w:t>$</w:t>
            </w:r>
            <w:r w:rsidR="00B80B3A">
              <w:t>58,0</w:t>
            </w:r>
            <w:r w:rsidRPr="00AB550D">
              <w:t>00</w:t>
            </w:r>
          </w:p>
        </w:tc>
      </w:tr>
      <w:tr w:rsidR="004D1DBD" w:rsidRPr="00AB550D" w14:paraId="6EBC7D9B" w14:textId="77777777" w:rsidTr="006C0C2F">
        <w:trPr>
          <w:cnfStyle w:val="000000010000" w:firstRow="0" w:lastRow="0" w:firstColumn="0" w:lastColumn="0" w:oddVBand="0" w:evenVBand="0" w:oddHBand="0" w:evenHBand="1" w:firstRowFirstColumn="0" w:firstRowLastColumn="0" w:lastRowFirstColumn="0" w:lastRowLastColumn="0"/>
          <w:trHeight w:val="509"/>
        </w:trPr>
        <w:tc>
          <w:tcPr>
            <w:tcW w:w="2914" w:type="dxa"/>
          </w:tcPr>
          <w:p w14:paraId="35B36C60" w14:textId="77777777" w:rsidR="00F32EC5" w:rsidRPr="00AB550D" w:rsidRDefault="00F32EC5" w:rsidP="006C0C2F">
            <w:r w:rsidRPr="00AB550D">
              <w:lastRenderedPageBreak/>
              <w:t>Purchase Used BEV</w:t>
            </w:r>
          </w:p>
        </w:tc>
        <w:tc>
          <w:tcPr>
            <w:tcW w:w="2899" w:type="dxa"/>
          </w:tcPr>
          <w:p w14:paraId="3F515EA4" w14:textId="4363CBF8" w:rsidR="00F32EC5" w:rsidRPr="00AB550D" w:rsidRDefault="00F32EC5" w:rsidP="006C0C2F">
            <w:pPr>
              <w:jc w:val="center"/>
            </w:pPr>
            <w:r w:rsidRPr="00AB550D">
              <w:t>$</w:t>
            </w:r>
            <w:r w:rsidR="00B80B3A">
              <w:t>14</w:t>
            </w:r>
            <w:r w:rsidRPr="00AB550D">
              <w:t>,</w:t>
            </w:r>
            <w:r w:rsidR="00B80B3A">
              <w:t>0</w:t>
            </w:r>
            <w:r w:rsidRPr="00AB550D">
              <w:t>00</w:t>
            </w:r>
          </w:p>
        </w:tc>
        <w:tc>
          <w:tcPr>
            <w:tcW w:w="3294" w:type="dxa"/>
          </w:tcPr>
          <w:p w14:paraId="2FA88329" w14:textId="4067E118" w:rsidR="00F32EC5" w:rsidRPr="00AB550D" w:rsidRDefault="00F32EC5" w:rsidP="006C0C2F">
            <w:pPr>
              <w:jc w:val="center"/>
            </w:pPr>
            <w:r w:rsidRPr="00AB550D">
              <w:t>$</w:t>
            </w:r>
            <w:r w:rsidR="00B80B3A">
              <w:t>52,0</w:t>
            </w:r>
            <w:r w:rsidRPr="00AB550D">
              <w:t>00</w:t>
            </w:r>
          </w:p>
        </w:tc>
      </w:tr>
      <w:tr w:rsidR="004D1DBD" w:rsidRPr="00AB550D" w14:paraId="47BA4C5E" w14:textId="77777777" w:rsidTr="006C0C2F">
        <w:trPr>
          <w:trHeight w:val="251"/>
        </w:trPr>
        <w:tc>
          <w:tcPr>
            <w:tcW w:w="2914" w:type="dxa"/>
          </w:tcPr>
          <w:p w14:paraId="502B889C" w14:textId="77777777" w:rsidR="00F32EC5" w:rsidRPr="00AB550D" w:rsidRDefault="00F32EC5" w:rsidP="006C0C2F">
            <w:r w:rsidRPr="00AB550D">
              <w:t>Lease New BEV</w:t>
            </w:r>
          </w:p>
        </w:tc>
        <w:tc>
          <w:tcPr>
            <w:tcW w:w="2899" w:type="dxa"/>
          </w:tcPr>
          <w:p w14:paraId="3124B8B1" w14:textId="69068947" w:rsidR="00F32EC5" w:rsidRPr="00AB550D" w:rsidRDefault="00F32EC5" w:rsidP="006C0C2F">
            <w:pPr>
              <w:jc w:val="center"/>
            </w:pPr>
            <w:r w:rsidRPr="00AB550D">
              <w:t>$</w:t>
            </w:r>
            <w:r w:rsidR="00B80B3A">
              <w:t>6,00</w:t>
            </w:r>
            <w:r w:rsidRPr="00AB550D">
              <w:t>0</w:t>
            </w:r>
          </w:p>
        </w:tc>
        <w:tc>
          <w:tcPr>
            <w:tcW w:w="3294" w:type="dxa"/>
          </w:tcPr>
          <w:p w14:paraId="68CE26FB" w14:textId="5786F01D" w:rsidR="00F32EC5" w:rsidRPr="00AB550D" w:rsidRDefault="00F32EC5" w:rsidP="006C0C2F">
            <w:pPr>
              <w:jc w:val="center"/>
            </w:pPr>
            <w:r w:rsidRPr="00AB550D">
              <w:t>$</w:t>
            </w:r>
            <w:r w:rsidR="00B80B3A">
              <w:t>32,</w:t>
            </w:r>
            <w:r w:rsidRPr="00AB550D">
              <w:t>00</w:t>
            </w:r>
            <w:r w:rsidR="00404B3C">
              <w:t>0</w:t>
            </w:r>
          </w:p>
        </w:tc>
      </w:tr>
    </w:tbl>
    <w:p w14:paraId="19DED6DD" w14:textId="3B80B017" w:rsidR="007C66DA" w:rsidRPr="006C0C2F" w:rsidRDefault="006C0C2F" w:rsidP="007C6A77">
      <w:pPr>
        <w:rPr>
          <w:sz w:val="16"/>
          <w:szCs w:val="16"/>
        </w:rPr>
      </w:pPr>
      <w:r w:rsidRPr="006C0C2F">
        <w:rPr>
          <w:sz w:val="16"/>
          <w:szCs w:val="16"/>
        </w:rPr>
        <w:t>Notes:</w:t>
      </w:r>
      <w:r w:rsidR="00AF41FB" w:rsidRPr="006C0C2F">
        <w:rPr>
          <w:sz w:val="16"/>
          <w:szCs w:val="16"/>
        </w:rPr>
        <w:t xml:space="preserve"> </w:t>
      </w:r>
      <w:r w:rsidR="00210DA6" w:rsidRPr="006C0C2F">
        <w:rPr>
          <w:sz w:val="16"/>
          <w:szCs w:val="16"/>
        </w:rPr>
        <w:t xml:space="preserve">Incentive </w:t>
      </w:r>
      <w:r w:rsidR="00644F20">
        <w:rPr>
          <w:sz w:val="16"/>
          <w:szCs w:val="16"/>
        </w:rPr>
        <w:t>r</w:t>
      </w:r>
      <w:r w:rsidR="00210DA6" w:rsidRPr="006C0C2F">
        <w:rPr>
          <w:sz w:val="16"/>
          <w:szCs w:val="16"/>
        </w:rPr>
        <w:t xml:space="preserve">equired to </w:t>
      </w:r>
      <w:r w:rsidR="00E37A3C" w:rsidRPr="006C0C2F">
        <w:rPr>
          <w:sz w:val="16"/>
          <w:szCs w:val="16"/>
        </w:rPr>
        <w:t>m</w:t>
      </w:r>
      <w:r w:rsidR="00210DA6" w:rsidRPr="006C0C2F">
        <w:rPr>
          <w:sz w:val="16"/>
          <w:szCs w:val="16"/>
        </w:rPr>
        <w:t xml:space="preserve">ake </w:t>
      </w:r>
      <w:r w:rsidR="00E37A3C" w:rsidRPr="006C0C2F">
        <w:rPr>
          <w:sz w:val="16"/>
          <w:szCs w:val="16"/>
        </w:rPr>
        <w:t>given purchase type of</w:t>
      </w:r>
      <w:r w:rsidR="00AC3C5A" w:rsidRPr="006C0C2F">
        <w:rPr>
          <w:sz w:val="16"/>
          <w:szCs w:val="16"/>
        </w:rPr>
        <w:t xml:space="preserve"> BEV</w:t>
      </w:r>
      <w:r w:rsidR="00E37A3C" w:rsidRPr="006C0C2F">
        <w:rPr>
          <w:sz w:val="16"/>
          <w:szCs w:val="16"/>
        </w:rPr>
        <w:t xml:space="preserve"> </w:t>
      </w:r>
      <w:r w:rsidR="00A46F66" w:rsidRPr="006C0C2F">
        <w:rPr>
          <w:sz w:val="16"/>
          <w:szCs w:val="16"/>
        </w:rPr>
        <w:t xml:space="preserve">adoptable or affordable, where adoptable is defined as the same monthly cost as a used ICEV, and affordable is defined as 15% of monthly income. </w:t>
      </w:r>
    </w:p>
    <w:p w14:paraId="20C3F717" w14:textId="77777777" w:rsidR="006C0C2F" w:rsidRDefault="006C0C2F" w:rsidP="00DF19EA"/>
    <w:p w14:paraId="5D8308CD" w14:textId="3CC43CCA" w:rsidR="00183BED" w:rsidRDefault="00183BED" w:rsidP="007C6A77">
      <w:r>
        <w:t xml:space="preserve">Figure 2 shows the monthly cost composition for the various </w:t>
      </w:r>
      <w:r w:rsidR="00645B88">
        <w:t>vehicle types</w:t>
      </w:r>
      <w:r>
        <w:t xml:space="preserve">. As </w:t>
      </w:r>
      <w:r w:rsidR="009130A6">
        <w:t xml:space="preserve">reflected in </w:t>
      </w:r>
      <w:r w:rsidR="00827556">
        <w:fldChar w:fldCharType="begin"/>
      </w:r>
      <w:r w:rsidR="00827556">
        <w:instrText xml:space="preserve"> REF _Ref218598400 \h </w:instrText>
      </w:r>
      <w:r w:rsidR="00827556">
        <w:fldChar w:fldCharType="separate"/>
      </w:r>
      <w:r w:rsidR="00827556" w:rsidRPr="00321663">
        <w:t xml:space="preserve">Figure </w:t>
      </w:r>
      <w:r w:rsidR="00827556">
        <w:rPr>
          <w:noProof/>
        </w:rPr>
        <w:t>1</w:t>
      </w:r>
      <w:r w:rsidR="00827556">
        <w:fldChar w:fldCharType="end"/>
      </w:r>
      <w:r w:rsidR="009130A6">
        <w:t xml:space="preserve"> , the ICEV </w:t>
      </w:r>
      <w:r w:rsidR="009E2BA3">
        <w:t xml:space="preserve">would represent </w:t>
      </w:r>
      <w:r w:rsidR="00716CA3">
        <w:t>36</w:t>
      </w:r>
      <w:r w:rsidR="003D79B4">
        <w:t>% of monthly income</w:t>
      </w:r>
      <w:r w:rsidR="00565F8E">
        <w:t xml:space="preserve"> </w:t>
      </w:r>
      <w:r w:rsidR="001625E3">
        <w:t>despite</w:t>
      </w:r>
      <w:r w:rsidR="00565F8E">
        <w:t xml:space="preserve"> substantially cheaper</w:t>
      </w:r>
      <w:r w:rsidR="00E72CCA">
        <w:t xml:space="preserve"> capital costs. </w:t>
      </w:r>
      <w:r w:rsidR="00A3677E">
        <w:t xml:space="preserve">When pushing aside the financing cost, the ICEV </w:t>
      </w:r>
      <w:r w:rsidR="001625E3">
        <w:t>operational costs</w:t>
      </w:r>
      <w:r w:rsidR="006A14B8">
        <w:t xml:space="preserve"> total $</w:t>
      </w:r>
      <w:r w:rsidR="008D756A" w:rsidRPr="008D756A">
        <w:t>1</w:t>
      </w:r>
      <w:r w:rsidR="008D756A">
        <w:t>,</w:t>
      </w:r>
      <w:r w:rsidR="008D756A" w:rsidRPr="008D756A">
        <w:t>012</w:t>
      </w:r>
      <w:r w:rsidR="006A14B8">
        <w:t xml:space="preserve"> per month. </w:t>
      </w:r>
      <w:r w:rsidR="00A3677E">
        <w:t>T</w:t>
      </w:r>
      <w:r w:rsidR="006A14B8">
        <w:t xml:space="preserve">he </w:t>
      </w:r>
      <w:r w:rsidR="0090677F">
        <w:t xml:space="preserve">fixed operating cost of a BEV is </w:t>
      </w:r>
      <w:r w:rsidR="00A3677E">
        <w:t xml:space="preserve">slightly less at </w:t>
      </w:r>
      <w:r w:rsidR="0090677F">
        <w:t>$97</w:t>
      </w:r>
      <w:r w:rsidR="00A3677E">
        <w:t>7</w:t>
      </w:r>
      <w:r w:rsidR="005A7FD0">
        <w:t xml:space="preserve"> per month</w:t>
      </w:r>
      <w:r w:rsidR="004873AF">
        <w:t>, which is not enough to offset the higher capital costs without an incentive</w:t>
      </w:r>
      <w:r w:rsidR="00645B88">
        <w:t>.</w:t>
      </w:r>
      <w:r w:rsidR="00CE0C21">
        <w:t xml:space="preserve"> To reach the adoption point, </w:t>
      </w:r>
      <w:r w:rsidR="00963E94">
        <w:t xml:space="preserve">incentives need to greatly reduce the financing costs first and foremost. </w:t>
      </w:r>
      <w:proofErr w:type="gramStart"/>
      <w:r w:rsidR="004873AF">
        <w:t>In order to</w:t>
      </w:r>
      <w:proofErr w:type="gramEnd"/>
      <w:r w:rsidR="004873AF">
        <w:t xml:space="preserve"> </w:t>
      </w:r>
      <w:r w:rsidR="00D01850">
        <w:t xml:space="preserve">reach </w:t>
      </w:r>
      <w:r w:rsidR="00591466">
        <w:t xml:space="preserve">the </w:t>
      </w:r>
      <w:r w:rsidR="00D01850">
        <w:t>15%</w:t>
      </w:r>
      <w:r w:rsidR="00591466">
        <w:t xml:space="preserve"> affordability threshold, total monthly costs </w:t>
      </w:r>
      <w:r w:rsidR="004873AF">
        <w:t xml:space="preserve">need to reach around </w:t>
      </w:r>
      <w:r w:rsidR="00591466">
        <w:t xml:space="preserve">$550 per month, meaning the incentive will have to offset </w:t>
      </w:r>
      <w:r w:rsidR="004873AF">
        <w:t xml:space="preserve">both the financing costs as well as a portion of </w:t>
      </w:r>
      <w:r w:rsidR="00591466">
        <w:t>monthly operational cost.</w:t>
      </w:r>
      <w:r w:rsidR="00684BED">
        <w:t xml:space="preserve"> </w:t>
      </w:r>
      <w:r w:rsidR="008D3BB6">
        <w:t xml:space="preserve">Incentives from TNC companies for purchasing an EV can further reduce the upfront and monthly </w:t>
      </w:r>
      <w:r w:rsidR="001654D8">
        <w:t xml:space="preserve">driving costs. For example, in October 2025, Uber announced a $4,000 grant </w:t>
      </w:r>
      <w:r w:rsidR="006E4B2B">
        <w:t xml:space="preserve">for eligible drivers to purchase an EV, and </w:t>
      </w:r>
      <w:r w:rsidR="00846650">
        <w:t xml:space="preserve">Lyft offers discounts on public charging through </w:t>
      </w:r>
      <w:r w:rsidR="0034453A">
        <w:t xml:space="preserve">Electrify America, as well as bonuses </w:t>
      </w:r>
      <w:r w:rsidR="007502D3">
        <w:t>specific to EV drivers</w:t>
      </w:r>
      <w:r w:rsidR="00383201">
        <w:t xml:space="preserve"> (Uber,</w:t>
      </w:r>
      <w:r w:rsidR="008B518D">
        <w:t xml:space="preserve"> 2025</w:t>
      </w:r>
      <w:r w:rsidR="00A54F5F">
        <w:t>; Lyft</w:t>
      </w:r>
      <w:r w:rsidR="0037400D">
        <w:t>,</w:t>
      </w:r>
      <w:r w:rsidR="00F2109E">
        <w:t xml:space="preserve"> </w:t>
      </w:r>
      <w:r w:rsidR="0037400D">
        <w:t>2025</w:t>
      </w:r>
      <w:r w:rsidR="008B518D">
        <w:t>)</w:t>
      </w:r>
      <w:r w:rsidR="007502D3">
        <w:t xml:space="preserve">. </w:t>
      </w:r>
    </w:p>
    <w:p w14:paraId="77566E62" w14:textId="5F76A18B" w:rsidR="00C2465B" w:rsidRPr="005B40E2" w:rsidRDefault="00C2465B" w:rsidP="0095314A">
      <w:pPr>
        <w:pStyle w:val="Caption"/>
        <w:keepNext/>
        <w:spacing w:after="0"/>
        <w:rPr>
          <w:iCs w:val="0"/>
        </w:rPr>
      </w:pPr>
      <w:r w:rsidRPr="002A44DC">
        <w:rPr>
          <w:iCs w:val="0"/>
        </w:rPr>
        <w:t xml:space="preserve">Figure </w:t>
      </w:r>
      <w:r w:rsidRPr="002A44DC">
        <w:rPr>
          <w:iCs w:val="0"/>
        </w:rPr>
        <w:fldChar w:fldCharType="begin"/>
      </w:r>
      <w:r w:rsidRPr="002A44DC">
        <w:rPr>
          <w:iCs w:val="0"/>
        </w:rPr>
        <w:instrText xml:space="preserve"> SEQ Figure \* ARABIC </w:instrText>
      </w:r>
      <w:r w:rsidRPr="002A44DC">
        <w:rPr>
          <w:iCs w:val="0"/>
        </w:rPr>
        <w:fldChar w:fldCharType="separate"/>
      </w:r>
      <w:r w:rsidR="003E5E9B" w:rsidRPr="002A44DC">
        <w:rPr>
          <w:iCs w:val="0"/>
          <w:noProof/>
        </w:rPr>
        <w:t>2</w:t>
      </w:r>
      <w:r w:rsidRPr="002A44DC">
        <w:rPr>
          <w:iCs w:val="0"/>
        </w:rPr>
        <w:fldChar w:fldCharType="end"/>
      </w:r>
    </w:p>
    <w:p w14:paraId="34BE1FBB" w14:textId="4C8CDBF6" w:rsidR="00C2465B" w:rsidRPr="00D9662A" w:rsidRDefault="00C2465B" w:rsidP="0095314A">
      <w:pPr>
        <w:rPr>
          <w:b/>
          <w:sz w:val="28"/>
          <w:szCs w:val="28"/>
        </w:rPr>
      </w:pPr>
      <w:r w:rsidRPr="00D9662A">
        <w:rPr>
          <w:b/>
          <w:sz w:val="28"/>
          <w:szCs w:val="28"/>
        </w:rPr>
        <w:t>Monthly Expenses Composition for each Vehicle Type</w:t>
      </w:r>
    </w:p>
    <w:p w14:paraId="768EF227" w14:textId="4D8E251D" w:rsidR="001F33FE" w:rsidRPr="001F33FE" w:rsidRDefault="00EF623B" w:rsidP="001F33FE">
      <w:r>
        <w:rPr>
          <w:noProof/>
        </w:rPr>
        <w:drawing>
          <wp:inline distT="0" distB="0" distL="0" distR="0" wp14:anchorId="3544B01F" wp14:editId="19F67B97">
            <wp:extent cx="6335763" cy="2985796"/>
            <wp:effectExtent l="0" t="0" r="8255" b="5080"/>
            <wp:docPr id="1605103557" name="Picture 1" descr="A graph of sales and pri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103557" name="Picture 1" descr="A graph of sales and prices&#10;&#10;AI-generated content may be incorrect."/>
                    <pic:cNvPicPr/>
                  </pic:nvPicPr>
                  <pic:blipFill>
                    <a:blip r:embed="rId12"/>
                    <a:stretch>
                      <a:fillRect/>
                    </a:stretch>
                  </pic:blipFill>
                  <pic:spPr>
                    <a:xfrm>
                      <a:off x="0" y="0"/>
                      <a:ext cx="6346101" cy="2990668"/>
                    </a:xfrm>
                    <a:prstGeom prst="rect">
                      <a:avLst/>
                    </a:prstGeom>
                  </pic:spPr>
                </pic:pic>
              </a:graphicData>
            </a:graphic>
          </wp:inline>
        </w:drawing>
      </w:r>
    </w:p>
    <w:p w14:paraId="06258DED" w14:textId="1D17F72D" w:rsidR="00A852FE" w:rsidRPr="00452C4F" w:rsidRDefault="00D14DF7" w:rsidP="00A852FE">
      <w:pPr>
        <w:rPr>
          <w:sz w:val="16"/>
          <w:szCs w:val="16"/>
        </w:rPr>
      </w:pPr>
      <w:r w:rsidRPr="00452C4F">
        <w:rPr>
          <w:sz w:val="16"/>
          <w:szCs w:val="16"/>
        </w:rPr>
        <w:t xml:space="preserve">Note: </w:t>
      </w:r>
      <w:r w:rsidR="00B506F6">
        <w:rPr>
          <w:sz w:val="16"/>
          <w:szCs w:val="16"/>
        </w:rPr>
        <w:t>Monthly e</w:t>
      </w:r>
      <w:r w:rsidRPr="00452C4F">
        <w:rPr>
          <w:sz w:val="16"/>
          <w:szCs w:val="16"/>
        </w:rPr>
        <w:t xml:space="preserve">xpenses </w:t>
      </w:r>
      <w:r w:rsidR="00C658E8">
        <w:rPr>
          <w:sz w:val="16"/>
          <w:szCs w:val="16"/>
        </w:rPr>
        <w:t xml:space="preserve">in Figure </w:t>
      </w:r>
      <w:r w:rsidR="00951236">
        <w:rPr>
          <w:sz w:val="16"/>
          <w:szCs w:val="16"/>
        </w:rPr>
        <w:t xml:space="preserve">2 </w:t>
      </w:r>
      <w:r w:rsidR="00C658E8">
        <w:rPr>
          <w:sz w:val="16"/>
          <w:szCs w:val="16"/>
        </w:rPr>
        <w:t xml:space="preserve">are </w:t>
      </w:r>
      <w:r w:rsidRPr="00452C4F">
        <w:rPr>
          <w:sz w:val="16"/>
          <w:szCs w:val="16"/>
        </w:rPr>
        <w:t xml:space="preserve">based on </w:t>
      </w:r>
      <w:r w:rsidR="00A60596">
        <w:rPr>
          <w:sz w:val="16"/>
          <w:szCs w:val="16"/>
        </w:rPr>
        <w:t xml:space="preserve">assumption of </w:t>
      </w:r>
      <w:r w:rsidR="001E07D0">
        <w:rPr>
          <w:sz w:val="16"/>
          <w:szCs w:val="16"/>
        </w:rPr>
        <w:t>no</w:t>
      </w:r>
      <w:r w:rsidRPr="00452C4F">
        <w:rPr>
          <w:sz w:val="16"/>
          <w:szCs w:val="16"/>
        </w:rPr>
        <w:t xml:space="preserve"> incentive</w:t>
      </w:r>
      <w:r w:rsidR="001C2F49" w:rsidRPr="00452C4F">
        <w:rPr>
          <w:sz w:val="16"/>
          <w:szCs w:val="16"/>
        </w:rPr>
        <w:t>.</w:t>
      </w:r>
    </w:p>
    <w:p w14:paraId="288CFDEC" w14:textId="3D5FBD4E" w:rsidR="0094261C" w:rsidRDefault="0005562F" w:rsidP="007C6A77">
      <w:r>
        <w:t>To maximize adoption</w:t>
      </w:r>
      <w:r w:rsidR="0094261C">
        <w:t>, the</w:t>
      </w:r>
      <w:r w:rsidR="00080D4A">
        <w:t xml:space="preserve"> </w:t>
      </w:r>
      <w:r w:rsidR="00D06B1F">
        <w:t xml:space="preserve">most optimal choice for policymakers </w:t>
      </w:r>
      <w:r w:rsidR="00430F9E">
        <w:t xml:space="preserve">would be to focus attention on incentivizing TNC drivers to </w:t>
      </w:r>
      <w:r w:rsidR="0075209C">
        <w:t>lease new BEVs</w:t>
      </w:r>
      <w:r w:rsidR="00D46B82">
        <w:t xml:space="preserve"> or </w:t>
      </w:r>
      <w:r w:rsidR="00430F9E">
        <w:t>purchase used</w:t>
      </w:r>
      <w:r w:rsidR="005C397F">
        <w:t xml:space="preserve"> </w:t>
      </w:r>
      <w:r w:rsidR="00D46B82">
        <w:t>BEV</w:t>
      </w:r>
      <w:r w:rsidR="002815CC">
        <w:t>s</w:t>
      </w:r>
      <w:r w:rsidR="00730A1C">
        <w:t xml:space="preserve">. On the other hand, this may induce equity concerns as it either leaves TNC drivers </w:t>
      </w:r>
      <w:r w:rsidR="00D46B82">
        <w:t xml:space="preserve">without an asset (for a leased BEV) or </w:t>
      </w:r>
      <w:r w:rsidR="0075209C">
        <w:t xml:space="preserve">with </w:t>
      </w:r>
      <w:r w:rsidR="00730A1C">
        <w:t xml:space="preserve">a comparatively lesser vehicle (for a used BEV). </w:t>
      </w:r>
      <w:r w:rsidR="001832B7">
        <w:t>Leasing a new BEV may also prove financially challenging given that the leasing mileage caps could prevent TNC drivers from driving enough</w:t>
      </w:r>
      <w:r w:rsidR="00724E7D">
        <w:t xml:space="preserve"> to </w:t>
      </w:r>
      <w:r w:rsidR="000416D7">
        <w:t>reach profits (Shaheen et al.</w:t>
      </w:r>
      <w:r w:rsidR="00296F33">
        <w:t>,</w:t>
      </w:r>
      <w:r w:rsidR="000416D7">
        <w:t xml:space="preserve"> 2025).</w:t>
      </w:r>
      <w:r w:rsidR="000416D7" w:rsidDel="00573DF8">
        <w:t xml:space="preserve"> </w:t>
      </w:r>
      <w:r w:rsidR="00213F3A">
        <w:t xml:space="preserve">Similarly, a used BEV may have potential range concerns as </w:t>
      </w:r>
      <w:r w:rsidR="00EE6BEF" w:rsidRPr="00EE6BEF">
        <w:t>older vehicles have smaller batteries</w:t>
      </w:r>
      <w:r w:rsidR="007776F1">
        <w:t xml:space="preserve"> and </w:t>
      </w:r>
      <w:r w:rsidR="00213F3A">
        <w:t xml:space="preserve">the maximum range decays due to battery degradation. </w:t>
      </w:r>
      <w:r w:rsidR="002E6736">
        <w:t xml:space="preserve">For </w:t>
      </w:r>
      <w:r w:rsidR="002E6736">
        <w:lastRenderedPageBreak/>
        <w:t xml:space="preserve">these reasons, </w:t>
      </w:r>
      <w:r w:rsidR="00B12790">
        <w:t xml:space="preserve">purchasing a new BEV may be the most feasible </w:t>
      </w:r>
      <w:r w:rsidR="00C4226A">
        <w:t xml:space="preserve">while also improving </w:t>
      </w:r>
      <w:r w:rsidR="004464FF">
        <w:t xml:space="preserve">equity by leaving the </w:t>
      </w:r>
      <w:r w:rsidR="00FB7FA6">
        <w:t xml:space="preserve">user with </w:t>
      </w:r>
      <w:r w:rsidR="001D3241">
        <w:t xml:space="preserve">an asset. </w:t>
      </w:r>
      <w:r w:rsidR="00AC3C5A">
        <w:t xml:space="preserve">Addressing this equity concern by incentivizing </w:t>
      </w:r>
      <w:r w:rsidR="00FC46B9">
        <w:t xml:space="preserve">purchased </w:t>
      </w:r>
      <w:r w:rsidR="00AC3C5A">
        <w:t>new BEVs</w:t>
      </w:r>
      <w:r w:rsidR="00356BD8">
        <w:t xml:space="preserve"> </w:t>
      </w:r>
      <w:r w:rsidR="000F5E47">
        <w:t xml:space="preserve">would </w:t>
      </w:r>
      <w:r w:rsidR="00CC5D0C">
        <w:t>increase</w:t>
      </w:r>
      <w:r w:rsidR="000F5E47">
        <w:t xml:space="preserve"> the requisite incentive to reach the adoption point</w:t>
      </w:r>
      <w:r w:rsidR="00CC5D0C">
        <w:t xml:space="preserve"> by </w:t>
      </w:r>
      <w:r w:rsidR="00D46B82">
        <w:t>anywhere from 300% to only about 15% (compared to leasing and purchased used, respectively).</w:t>
      </w:r>
      <w:r w:rsidR="003449E3">
        <w:t xml:space="preserve"> </w:t>
      </w:r>
    </w:p>
    <w:p w14:paraId="238A4F0A" w14:textId="34817D34" w:rsidR="003449E3" w:rsidRDefault="003449E3" w:rsidP="007C6A77">
      <w:r>
        <w:t>Equity concerns are exacerbated when considering the affordability threshold</w:t>
      </w:r>
      <w:r w:rsidR="00D73E4A">
        <w:t xml:space="preserve"> in place of the adoption threshold. Given that low</w:t>
      </w:r>
      <w:r w:rsidR="00CD61C5">
        <w:t xml:space="preserve">-moderate income households </w:t>
      </w:r>
      <w:r w:rsidR="006F7AF5">
        <w:t xml:space="preserve">currently spend well more than the advised </w:t>
      </w:r>
      <w:r w:rsidR="000C38D7">
        <w:t>15% of their income on transportation costs (e.g.</w:t>
      </w:r>
      <w:r w:rsidR="001D6951">
        <w:t>,</w:t>
      </w:r>
      <w:r w:rsidR="000C38D7">
        <w:t xml:space="preserve"> a </w:t>
      </w:r>
      <w:r w:rsidR="00145DAD">
        <w:t xml:space="preserve">typical used </w:t>
      </w:r>
      <w:r w:rsidR="000C38D7">
        <w:t xml:space="preserve">ICEV would comprise </w:t>
      </w:r>
      <w:r w:rsidR="00D16185">
        <w:t>36</w:t>
      </w:r>
      <w:r w:rsidR="00145DAD">
        <w:t>% of our representative household</w:t>
      </w:r>
      <w:r w:rsidR="00220ACB">
        <w:t>’s monthly income</w:t>
      </w:r>
      <w:r w:rsidR="00145DAD">
        <w:t>)</w:t>
      </w:r>
      <w:r w:rsidR="0093149A">
        <w:t xml:space="preserve">, </w:t>
      </w:r>
      <w:r w:rsidR="00FD4927">
        <w:t xml:space="preserve">the incentive required to get the more expensive BEV to such a threshold is immense. As Table </w:t>
      </w:r>
      <w:r w:rsidR="003105A6">
        <w:t>2</w:t>
      </w:r>
      <w:r w:rsidR="00FD4927">
        <w:t xml:space="preserve"> showed, the incentive amount for each purchase type may be prohibitively expensive</w:t>
      </w:r>
      <w:r w:rsidR="00151FF0">
        <w:t xml:space="preserve"> for policymakers to implement on a wide scale</w:t>
      </w:r>
      <w:r w:rsidR="00220ACB">
        <w:t xml:space="preserve">, </w:t>
      </w:r>
      <w:r w:rsidR="00006E19">
        <w:t xml:space="preserve">ranging </w:t>
      </w:r>
      <w:r w:rsidR="00006E19" w:rsidRPr="00D159E0">
        <w:t xml:space="preserve">from </w:t>
      </w:r>
      <w:r w:rsidR="00261DF0" w:rsidRPr="00D159E0">
        <w:t>two</w:t>
      </w:r>
      <w:r w:rsidR="00006E19" w:rsidRPr="00D159E0">
        <w:t xml:space="preserve"> to </w:t>
      </w:r>
      <w:r w:rsidR="00261DF0" w:rsidRPr="00D159E0">
        <w:t>three</w:t>
      </w:r>
      <w:r w:rsidR="00006E19" w:rsidRPr="00D159E0">
        <w:t xml:space="preserve"> times the incentive amount as </w:t>
      </w:r>
      <w:r w:rsidR="0079158C" w:rsidRPr="00D159E0">
        <w:t>the adoption point.</w:t>
      </w:r>
      <w:r w:rsidR="0023185B">
        <w:t xml:space="preserve"> </w:t>
      </w:r>
    </w:p>
    <w:p w14:paraId="354AD8AA" w14:textId="4EDFB228" w:rsidR="003031E0" w:rsidRDefault="4F78CB87" w:rsidP="002C666C">
      <w:pPr>
        <w:pStyle w:val="Heading2"/>
      </w:pPr>
      <w:r w:rsidRPr="00095B4D">
        <w:t>Sensitivity Analysis</w:t>
      </w:r>
    </w:p>
    <w:p w14:paraId="040487F7" w14:textId="4F5CF5D3" w:rsidR="00200D58" w:rsidRDefault="00200D58" w:rsidP="002C666C">
      <w:r>
        <w:t xml:space="preserve">The flexible nature of the Affordability </w:t>
      </w:r>
      <w:r w:rsidR="00951236">
        <w:t>T</w:t>
      </w:r>
      <w:r>
        <w:t xml:space="preserve">ool allowed </w:t>
      </w:r>
      <w:r w:rsidR="00C5487B">
        <w:t xml:space="preserve">exploration of the relative impacts of </w:t>
      </w:r>
      <w:r w:rsidR="00150764">
        <w:t xml:space="preserve">different input variables combined with different incentive amounts. The charts </w:t>
      </w:r>
      <w:r w:rsidR="00951236">
        <w:t xml:space="preserve">in Figure 3 </w:t>
      </w:r>
      <w:r w:rsidR="00150764">
        <w:t xml:space="preserve">show </w:t>
      </w:r>
      <w:r w:rsidR="00644D8C">
        <w:t xml:space="preserve">a range of incentives on the x axis, </w:t>
      </w:r>
      <w:r w:rsidR="004F449B">
        <w:t xml:space="preserve">and </w:t>
      </w:r>
      <w:r w:rsidR="000113D3">
        <w:t>+/- 30% of the default</w:t>
      </w:r>
      <w:r w:rsidR="00B12672">
        <w:t xml:space="preserve"> input value on the y axis.</w:t>
      </w:r>
      <w:r w:rsidR="00573DF8">
        <w:t xml:space="preserve"> </w:t>
      </w:r>
      <w:r w:rsidR="00B12672">
        <w:t>The z axis, or the colors, represents the expense ratio</w:t>
      </w:r>
      <w:r w:rsidR="00644405">
        <w:t>, which is the proportion of transportation costs as compared to monthly income</w:t>
      </w:r>
      <w:r w:rsidR="00610026">
        <w:t>, ranging from 10 to 50%</w:t>
      </w:r>
      <w:r w:rsidR="00644405">
        <w:t>. All</w:t>
      </w:r>
      <w:r w:rsidR="00C1627C">
        <w:t xml:space="preserve"> the squares </w:t>
      </w:r>
      <w:r w:rsidR="005B07EC">
        <w:t>with</w:t>
      </w:r>
      <w:r w:rsidR="005B07EC" w:rsidDel="00B23E85">
        <w:t xml:space="preserve"> </w:t>
      </w:r>
      <w:r w:rsidR="0088578F">
        <w:t xml:space="preserve">numeric </w:t>
      </w:r>
      <w:r w:rsidR="00E93262">
        <w:t>percentages</w:t>
      </w:r>
      <w:r w:rsidR="005B07EC">
        <w:t xml:space="preserve"> show the </w:t>
      </w:r>
      <w:r w:rsidR="00E93262">
        <w:t xml:space="preserve">level at which each </w:t>
      </w:r>
      <w:r w:rsidR="00252A2D">
        <w:t>configuration reach</w:t>
      </w:r>
      <w:r w:rsidR="00E93262">
        <w:t>es</w:t>
      </w:r>
      <w:r w:rsidR="00252A2D">
        <w:t xml:space="preserve"> </w:t>
      </w:r>
      <w:r w:rsidR="00E16D93">
        <w:t xml:space="preserve">the 15% affordability threshold. This is then </w:t>
      </w:r>
      <w:r w:rsidR="0002482E">
        <w:t>shown</w:t>
      </w:r>
      <w:r w:rsidR="00E16D93">
        <w:t xml:space="preserve"> for each of the three financing types</w:t>
      </w:r>
      <w:r w:rsidR="0002482E">
        <w:t xml:space="preserve"> (purchased new, purchased used</w:t>
      </w:r>
      <w:r w:rsidR="00503B80">
        <w:t>, leased new)</w:t>
      </w:r>
      <w:r w:rsidR="00E16D93">
        <w:t xml:space="preserve">. </w:t>
      </w:r>
      <w:r w:rsidR="006C3D73">
        <w:t xml:space="preserve">Though these charts focus on affordability, similar narratives can be constructed for the adoption threshold, though at a substantially lower incentive amount. </w:t>
      </w:r>
      <w:r w:rsidR="00557FB0">
        <w:t xml:space="preserve">In this section we present four analyses, on vehicle MSRP, household income, electricity rates, and weekly miles driven. </w:t>
      </w:r>
      <w:r w:rsidR="0064699B">
        <w:t>Four</w:t>
      </w:r>
      <w:r w:rsidR="00D23B73">
        <w:t xml:space="preserve"> </w:t>
      </w:r>
      <w:r w:rsidR="007A3F35">
        <w:t>additional analyses</w:t>
      </w:r>
      <w:r w:rsidR="00D23B73">
        <w:t xml:space="preserve"> (monthly insurance</w:t>
      </w:r>
      <w:r w:rsidR="0064699B">
        <w:t xml:space="preserve">, </w:t>
      </w:r>
      <w:r w:rsidR="00D23B73">
        <w:t>BEV maintenance costs</w:t>
      </w:r>
      <w:r w:rsidR="0064699B">
        <w:t>, APR amount, and TNC wages</w:t>
      </w:r>
      <w:r w:rsidR="00D23B73">
        <w:t xml:space="preserve">) are included in </w:t>
      </w:r>
      <w:r w:rsidR="00557FB0">
        <w:t xml:space="preserve">Appendix </w:t>
      </w:r>
      <w:r w:rsidR="007A3F35">
        <w:t>C.</w:t>
      </w:r>
    </w:p>
    <w:p w14:paraId="15C02AD5" w14:textId="09CC4930" w:rsidR="008D57EF" w:rsidRPr="00722EF6" w:rsidRDefault="008D57EF" w:rsidP="00722EF6">
      <w:pPr>
        <w:spacing w:after="0" w:line="240" w:lineRule="auto"/>
        <w:rPr>
          <w:i/>
          <w:sz w:val="16"/>
          <w:szCs w:val="16"/>
        </w:rPr>
      </w:pPr>
      <w:bookmarkStart w:id="2" w:name="_Ref215497985"/>
      <w:r w:rsidRPr="00FC3FE3">
        <w:rPr>
          <w:sz w:val="16"/>
          <w:szCs w:val="16"/>
        </w:rPr>
        <w:t xml:space="preserve">Figure </w:t>
      </w:r>
      <w:r w:rsidRPr="00FC3FE3">
        <w:rPr>
          <w:sz w:val="16"/>
          <w:szCs w:val="16"/>
        </w:rPr>
        <w:fldChar w:fldCharType="begin"/>
      </w:r>
      <w:r w:rsidRPr="00FC3FE3">
        <w:rPr>
          <w:sz w:val="16"/>
          <w:szCs w:val="16"/>
        </w:rPr>
        <w:instrText xml:space="preserve"> SEQ Figure \* ARABIC </w:instrText>
      </w:r>
      <w:r w:rsidRPr="00FC3FE3">
        <w:rPr>
          <w:sz w:val="16"/>
          <w:szCs w:val="16"/>
        </w:rPr>
        <w:fldChar w:fldCharType="separate"/>
      </w:r>
      <w:r w:rsidR="003E5E9B">
        <w:rPr>
          <w:noProof/>
          <w:sz w:val="16"/>
          <w:szCs w:val="16"/>
        </w:rPr>
        <w:t>3</w:t>
      </w:r>
      <w:r w:rsidRPr="00FC3FE3">
        <w:rPr>
          <w:sz w:val="16"/>
          <w:szCs w:val="16"/>
        </w:rPr>
        <w:fldChar w:fldCharType="end"/>
      </w:r>
      <w:bookmarkEnd w:id="2"/>
    </w:p>
    <w:p w14:paraId="056A78ED" w14:textId="77777777" w:rsidR="00FC3FE3" w:rsidRPr="0064699B" w:rsidRDefault="00FC3FE3" w:rsidP="00FC3FE3">
      <w:pPr>
        <w:pStyle w:val="Heading3"/>
      </w:pPr>
      <w:r w:rsidRPr="0064699B">
        <w:t>Sensitivity Analysis for Vehicle MSRP</w:t>
      </w:r>
    </w:p>
    <w:p w14:paraId="45E78503" w14:textId="0525D3AD" w:rsidR="006D1A5E" w:rsidRPr="006D1A5E" w:rsidRDefault="00133999" w:rsidP="003A2353">
      <w:pPr>
        <w:rPr>
          <w:rFonts w:ascii="Times New Roman" w:eastAsia="Times New Roman" w:hAnsi="Times New Roman" w:cs="Times New Roman"/>
          <w:lang w:eastAsia="zh-CN"/>
        </w:rPr>
      </w:pPr>
      <w:r>
        <w:rPr>
          <w:noProof/>
        </w:rPr>
        <w:drawing>
          <wp:inline distT="0" distB="0" distL="0" distR="0" wp14:anchorId="5107F1A2" wp14:editId="66050043">
            <wp:extent cx="5943600" cy="1832610"/>
            <wp:effectExtent l="0" t="0" r="0" b="0"/>
            <wp:docPr id="637114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114220" name=""/>
                    <pic:cNvPicPr/>
                  </pic:nvPicPr>
                  <pic:blipFill>
                    <a:blip r:embed="rId13"/>
                    <a:stretch>
                      <a:fillRect/>
                    </a:stretch>
                  </pic:blipFill>
                  <pic:spPr>
                    <a:xfrm>
                      <a:off x="0" y="0"/>
                      <a:ext cx="5943600" cy="1832610"/>
                    </a:xfrm>
                    <a:prstGeom prst="rect">
                      <a:avLst/>
                    </a:prstGeom>
                  </pic:spPr>
                </pic:pic>
              </a:graphicData>
            </a:graphic>
          </wp:inline>
        </w:drawing>
      </w:r>
    </w:p>
    <w:p w14:paraId="3148FDDE" w14:textId="11438120" w:rsidR="00E42692" w:rsidRPr="00E42692" w:rsidRDefault="00993D2E" w:rsidP="00E42692">
      <w:r>
        <w:t>T</w:t>
      </w:r>
      <w:r w:rsidR="002E7A90">
        <w:t>he price of the vehicle is obviously influential</w:t>
      </w:r>
      <w:r w:rsidR="007E6A22">
        <w:t xml:space="preserve"> to purchase decisions, </w:t>
      </w:r>
      <w:r>
        <w:t>and reducing the MSRP garners substantial benefits to affordability, with the strongest effect across all sensitivity analyses</w:t>
      </w:r>
      <w:r w:rsidR="00F27AE4">
        <w:t>.</w:t>
      </w:r>
      <w:r w:rsidR="00356C71">
        <w:t xml:space="preserve"> Reducing the MSRP by 30% improves affordab</w:t>
      </w:r>
      <w:r w:rsidR="00EC28D9">
        <w:t>ility by roughly</w:t>
      </w:r>
      <w:r w:rsidR="007C294A">
        <w:t xml:space="preserve"> 4</w:t>
      </w:r>
      <w:r w:rsidR="00177C87">
        <w:t>-5</w:t>
      </w:r>
      <w:r w:rsidR="007C294A">
        <w:t>%</w:t>
      </w:r>
      <w:r w:rsidR="00177C87">
        <w:t>, and a 10%</w:t>
      </w:r>
      <w:r w:rsidR="00E30E14">
        <w:t xml:space="preserve"> reduction in MSRP can reduce the requisite incentive amount by approximately $10,000</w:t>
      </w:r>
      <w:r w:rsidR="00035F99">
        <w:t xml:space="preserve"> (</w:t>
      </w:r>
      <w:r>
        <w:fldChar w:fldCharType="begin"/>
      </w:r>
      <w:r>
        <w:instrText xml:space="preserve"> REF _Ref215497985 \h  \* MERGEFORMAT </w:instrText>
      </w:r>
      <w:r>
        <w:fldChar w:fldCharType="separate"/>
      </w:r>
      <w:r w:rsidR="003E5E9B">
        <w:t>Figure 3</w:t>
      </w:r>
      <w:r>
        <w:fldChar w:fldCharType="end"/>
      </w:r>
      <w:r w:rsidR="00035F99">
        <w:t>)</w:t>
      </w:r>
      <w:r w:rsidR="00E30E14">
        <w:t xml:space="preserve">. </w:t>
      </w:r>
      <w:r w:rsidR="00056531">
        <w:t>From another perspective</w:t>
      </w:r>
      <w:r w:rsidR="00E30E14">
        <w:t xml:space="preserve">, this chart also belies the </w:t>
      </w:r>
      <w:r w:rsidR="00425311">
        <w:t>necessity of an incentive to reach affordability thresholds</w:t>
      </w:r>
      <w:r w:rsidR="00951236">
        <w:t>—</w:t>
      </w:r>
      <w:r w:rsidR="002F2950">
        <w:t>even when prices are reduced by 30%</w:t>
      </w:r>
      <w:r w:rsidR="006C1256">
        <w:t>, none of the purchase types reach affordability without incentives</w:t>
      </w:r>
      <w:bookmarkStart w:id="3" w:name="_Int_M9yTOBnC"/>
      <w:r w:rsidR="006C1256">
        <w:t xml:space="preserve">.  </w:t>
      </w:r>
      <w:bookmarkEnd w:id="3"/>
      <w:r w:rsidR="00056531">
        <w:t xml:space="preserve">  </w:t>
      </w:r>
    </w:p>
    <w:p w14:paraId="3EA233DE" w14:textId="787D478A" w:rsidR="002938A7" w:rsidRDefault="002938A7" w:rsidP="00E93262">
      <w:pPr>
        <w:pStyle w:val="Caption"/>
        <w:keepNext/>
        <w:spacing w:after="0"/>
      </w:pPr>
      <w:bookmarkStart w:id="4" w:name="_Ref215498140"/>
      <w:r>
        <w:lastRenderedPageBreak/>
        <w:t xml:space="preserve">Figure </w:t>
      </w:r>
      <w:r>
        <w:fldChar w:fldCharType="begin"/>
      </w:r>
      <w:r>
        <w:instrText>SEQ Figure \* ARABIC</w:instrText>
      </w:r>
      <w:r>
        <w:fldChar w:fldCharType="separate"/>
      </w:r>
      <w:r w:rsidR="003E5E9B">
        <w:rPr>
          <w:noProof/>
        </w:rPr>
        <w:t>4</w:t>
      </w:r>
      <w:r>
        <w:fldChar w:fldCharType="end"/>
      </w:r>
      <w:bookmarkEnd w:id="4"/>
    </w:p>
    <w:p w14:paraId="70397808" w14:textId="4F07DDE6" w:rsidR="00683607" w:rsidRPr="00683607" w:rsidRDefault="00683607" w:rsidP="0064699B">
      <w:pPr>
        <w:pStyle w:val="Heading3"/>
      </w:pPr>
      <w:r w:rsidRPr="0064699B">
        <w:t>Sensitivity Analysis for Household Income</w:t>
      </w:r>
    </w:p>
    <w:p w14:paraId="17846A4B" w14:textId="3ACF4713" w:rsidR="00842111" w:rsidRPr="00842111" w:rsidRDefault="00650F0B" w:rsidP="00842111">
      <w:r>
        <w:rPr>
          <w:noProof/>
        </w:rPr>
        <w:drawing>
          <wp:inline distT="0" distB="0" distL="0" distR="0" wp14:anchorId="3CE68A1B" wp14:editId="5950EDFB">
            <wp:extent cx="5943600" cy="1817370"/>
            <wp:effectExtent l="0" t="0" r="0" b="0"/>
            <wp:docPr id="319105815" name="Picture 1" descr="A chart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105815" name="Picture 1" descr="A chart of different colors&#10;&#10;AI-generated content may be incorrect."/>
                    <pic:cNvPicPr/>
                  </pic:nvPicPr>
                  <pic:blipFill>
                    <a:blip r:embed="rId14"/>
                    <a:stretch>
                      <a:fillRect/>
                    </a:stretch>
                  </pic:blipFill>
                  <pic:spPr>
                    <a:xfrm>
                      <a:off x="0" y="0"/>
                      <a:ext cx="5943600" cy="1817370"/>
                    </a:xfrm>
                    <a:prstGeom prst="rect">
                      <a:avLst/>
                    </a:prstGeom>
                  </pic:spPr>
                </pic:pic>
              </a:graphicData>
            </a:graphic>
          </wp:inline>
        </w:drawing>
      </w:r>
    </w:p>
    <w:p w14:paraId="14B1F47B" w14:textId="5138BF40" w:rsidR="0063296F" w:rsidRDefault="0063296F" w:rsidP="0063296F">
      <w:r>
        <w:t>Household income is also a very influential variable on the analysis. Increasing the household income by 30% can reduce the requisite incentive amount by $10,000-$20,000</w:t>
      </w:r>
      <w:r w:rsidR="00AF6C31">
        <w:t xml:space="preserve"> (</w:t>
      </w:r>
      <w:r>
        <w:fldChar w:fldCharType="begin"/>
      </w:r>
      <w:r>
        <w:instrText xml:space="preserve"> REF _Ref215498140 \h </w:instrText>
      </w:r>
      <w:r>
        <w:fldChar w:fldCharType="separate"/>
      </w:r>
      <w:r w:rsidR="003E5E9B">
        <w:t xml:space="preserve">Figure </w:t>
      </w:r>
      <w:r w:rsidR="003E5E9B" w:rsidRPr="6345BC90">
        <w:rPr>
          <w:noProof/>
        </w:rPr>
        <w:t>4</w:t>
      </w:r>
      <w:r>
        <w:fldChar w:fldCharType="end"/>
      </w:r>
      <w:r w:rsidR="00AF6C31">
        <w:t>)</w:t>
      </w:r>
      <w:r>
        <w:t>. A lower household income (which may make up a larger proportion of TNC drivers) likewise increases the requisite incenting</w:t>
      </w:r>
      <w:r w:rsidR="00A36DAD">
        <w:t>.</w:t>
      </w:r>
      <w:r w:rsidR="007937CD">
        <w:t xml:space="preserve"> </w:t>
      </w:r>
      <w:r w:rsidR="00A25964">
        <w:t>If incentive levels do not consider income, p</w:t>
      </w:r>
      <w:r w:rsidR="0054426F">
        <w:t>rogram participation is likely to</w:t>
      </w:r>
      <w:r w:rsidR="00A36DAD">
        <w:t xml:space="preserve"> be</w:t>
      </w:r>
      <w:r w:rsidR="0054426F">
        <w:t xml:space="preserve"> greater among i</w:t>
      </w:r>
      <w:r w:rsidR="007937CD">
        <w:t>n</w:t>
      </w:r>
      <w:r w:rsidR="00BE641E">
        <w:t>dividuals with higher incomes (&gt;400</w:t>
      </w:r>
      <w:r w:rsidR="00AE1B47">
        <w:t>%</w:t>
      </w:r>
      <w:r w:rsidR="00BE641E">
        <w:t xml:space="preserve"> </w:t>
      </w:r>
      <w:r w:rsidR="001A0C75">
        <w:t>FP</w:t>
      </w:r>
      <w:r w:rsidR="00BE641E">
        <w:t xml:space="preserve">L) </w:t>
      </w:r>
      <w:r w:rsidR="00A25964">
        <w:t>for whom EVs are more affordable</w:t>
      </w:r>
      <w:r w:rsidR="003372E6">
        <w:t xml:space="preserve">, </w:t>
      </w:r>
      <w:r w:rsidR="001678E1">
        <w:t>although they may not be eligible given income t</w:t>
      </w:r>
      <w:r w:rsidR="005D3816">
        <w:t>hresholds (e.g.</w:t>
      </w:r>
      <w:r w:rsidR="00D2173F">
        <w:t>,</w:t>
      </w:r>
      <w:r w:rsidR="005D3816">
        <w:t xml:space="preserve"> DAPCUC is limited to 400% FPL and below)</w:t>
      </w:r>
      <w:r w:rsidR="00A25964">
        <w:t xml:space="preserve">. </w:t>
      </w:r>
      <w:r w:rsidR="00AA0D18">
        <w:t xml:space="preserve">Instead, </w:t>
      </w:r>
      <w:r w:rsidR="00D2173F">
        <w:t xml:space="preserve">the </w:t>
      </w:r>
      <w:r w:rsidR="00AA0D18">
        <w:t xml:space="preserve">program may want to </w:t>
      </w:r>
      <w:r w:rsidR="00D2173F">
        <w:t xml:space="preserve">lower </w:t>
      </w:r>
      <w:r w:rsidR="00AA0D18">
        <w:t>income eligibility thresholds to start a</w:t>
      </w:r>
      <w:r>
        <w:t>nd</w:t>
      </w:r>
      <w:r w:rsidR="00D2173F">
        <w:t>,</w:t>
      </w:r>
      <w:r>
        <w:t xml:space="preserve"> as </w:t>
      </w:r>
      <w:r w:rsidR="00D2173F">
        <w:t xml:space="preserve">the EV market </w:t>
      </w:r>
      <w:r>
        <w:t>continues to mature, incrementally restrict income eligibility over time. Alternatively, an increased incentive amount for lower income bands (e.g.</w:t>
      </w:r>
      <w:r w:rsidR="001D6951">
        <w:t>,</w:t>
      </w:r>
      <w:r>
        <w:t xml:space="preserve"> 200% FPL) may be necessary to offset decreased affordability. </w:t>
      </w:r>
    </w:p>
    <w:p w14:paraId="2F587654" w14:textId="317BDC3B" w:rsidR="001509FD" w:rsidRDefault="001509FD" w:rsidP="00EB78C0">
      <w:pPr>
        <w:pStyle w:val="Caption"/>
        <w:spacing w:after="0"/>
      </w:pPr>
      <w:bookmarkStart w:id="5" w:name="_Ref215498305"/>
      <w:r>
        <w:t xml:space="preserve">Figure </w:t>
      </w:r>
      <w:r>
        <w:fldChar w:fldCharType="begin"/>
      </w:r>
      <w:r>
        <w:instrText>SEQ Figure \* ARABIC</w:instrText>
      </w:r>
      <w:r>
        <w:fldChar w:fldCharType="separate"/>
      </w:r>
      <w:r w:rsidR="003E5E9B">
        <w:rPr>
          <w:noProof/>
        </w:rPr>
        <w:t>5</w:t>
      </w:r>
      <w:r>
        <w:fldChar w:fldCharType="end"/>
      </w:r>
      <w:bookmarkEnd w:id="5"/>
    </w:p>
    <w:p w14:paraId="4082E561" w14:textId="77684BFB" w:rsidR="001509FD" w:rsidRDefault="001509FD" w:rsidP="0064699B">
      <w:pPr>
        <w:pStyle w:val="Heading3"/>
      </w:pPr>
      <w:r w:rsidRPr="0064699B">
        <w:t xml:space="preserve">Sensitivity Analysis for </w:t>
      </w:r>
      <w:r w:rsidR="008408E7">
        <w:t>Charging Costs</w:t>
      </w:r>
    </w:p>
    <w:p w14:paraId="6450A567" w14:textId="3C2B42B9" w:rsidR="00FC6091" w:rsidRPr="00FC6091" w:rsidRDefault="00AD0137" w:rsidP="00294CD7">
      <w:pPr>
        <w:rPr>
          <w:rFonts w:ascii="Times New Roman" w:eastAsia="Times New Roman" w:hAnsi="Times New Roman" w:cs="Times New Roman"/>
          <w:lang w:eastAsia="zh-CN"/>
        </w:rPr>
      </w:pPr>
      <w:r>
        <w:rPr>
          <w:noProof/>
        </w:rPr>
        <w:drawing>
          <wp:inline distT="0" distB="0" distL="0" distR="0" wp14:anchorId="1AD57B47" wp14:editId="5298CC5C">
            <wp:extent cx="5943600" cy="1817370"/>
            <wp:effectExtent l="0" t="0" r="0" b="0"/>
            <wp:docPr id="1621355770" name="Picture 1" descr="A chart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355770" name="Picture 1" descr="A chart of different colors&#10;&#10;AI-generated content may be incorrect."/>
                    <pic:cNvPicPr/>
                  </pic:nvPicPr>
                  <pic:blipFill>
                    <a:blip r:embed="rId15"/>
                    <a:stretch>
                      <a:fillRect/>
                    </a:stretch>
                  </pic:blipFill>
                  <pic:spPr>
                    <a:xfrm>
                      <a:off x="0" y="0"/>
                      <a:ext cx="5943600" cy="1817370"/>
                    </a:xfrm>
                    <a:prstGeom prst="rect">
                      <a:avLst/>
                    </a:prstGeom>
                  </pic:spPr>
                </pic:pic>
              </a:graphicData>
            </a:graphic>
          </wp:inline>
        </w:drawing>
      </w:r>
    </w:p>
    <w:p w14:paraId="7FDE12E0" w14:textId="4FE64917" w:rsidR="009140C0" w:rsidRDefault="006C2A7D" w:rsidP="009140C0">
      <w:r>
        <w:t>Fees for EV charging</w:t>
      </w:r>
      <w:r w:rsidR="009140C0">
        <w:t xml:space="preserve"> (</w:t>
      </w:r>
      <w:r w:rsidR="00EE2F30">
        <w:t xml:space="preserve">usually </w:t>
      </w:r>
      <w:r w:rsidR="002608AF">
        <w:t xml:space="preserve">measured </w:t>
      </w:r>
      <w:r w:rsidR="009140C0">
        <w:t>in $/kWh) have a moderate impact on overall affordability</w:t>
      </w:r>
      <w:r w:rsidR="000843CF">
        <w:t xml:space="preserve"> (</w:t>
      </w:r>
      <w:r w:rsidR="000843CF">
        <w:fldChar w:fldCharType="begin"/>
      </w:r>
      <w:r w:rsidR="000843CF">
        <w:instrText xml:space="preserve"> REF _Ref215498305 \h </w:instrText>
      </w:r>
      <w:r w:rsidR="000843CF">
        <w:fldChar w:fldCharType="separate"/>
      </w:r>
      <w:r w:rsidR="003E5E9B">
        <w:t xml:space="preserve">Figure </w:t>
      </w:r>
      <w:r w:rsidR="003E5E9B">
        <w:rPr>
          <w:noProof/>
        </w:rPr>
        <w:t>5</w:t>
      </w:r>
      <w:r w:rsidR="000843CF">
        <w:fldChar w:fldCharType="end"/>
      </w:r>
      <w:r w:rsidR="000843CF">
        <w:t>)</w:t>
      </w:r>
      <w:r w:rsidR="009140C0">
        <w:t xml:space="preserve">. A 30% decrease (from $0.40/kWh to $0.28/kWh) results in slightly less than a $10,000 decrease in requisite incentive amount. </w:t>
      </w:r>
      <w:r w:rsidR="004A4DFF">
        <w:t xml:space="preserve">Policymakers </w:t>
      </w:r>
      <w:r w:rsidR="0095699F">
        <w:t>have historically not focused on r</w:t>
      </w:r>
      <w:r w:rsidR="00107D24">
        <w:t xml:space="preserve">educing </w:t>
      </w:r>
      <w:r w:rsidR="008D372C">
        <w:t>charging costs</w:t>
      </w:r>
      <w:r w:rsidR="009140C0">
        <w:t xml:space="preserve"> for TNC drivers</w:t>
      </w:r>
      <w:r w:rsidR="00E73393">
        <w:t xml:space="preserve">, but </w:t>
      </w:r>
      <w:r w:rsidR="00D9525A">
        <w:t xml:space="preserve">now some programs </w:t>
      </w:r>
      <w:r w:rsidR="00D97D10">
        <w:t>provid</w:t>
      </w:r>
      <w:r w:rsidR="00D9525A">
        <w:t>e</w:t>
      </w:r>
      <w:r w:rsidR="00D97D10">
        <w:t xml:space="preserve"> </w:t>
      </w:r>
      <w:r w:rsidR="002D5788">
        <w:t xml:space="preserve">EV </w:t>
      </w:r>
      <w:r w:rsidR="006E0B72">
        <w:t>owner</w:t>
      </w:r>
      <w:r w:rsidR="00777D08">
        <w:t>s</w:t>
      </w:r>
      <w:r w:rsidR="002D5788">
        <w:t xml:space="preserve"> with </w:t>
      </w:r>
      <w:r w:rsidR="00D97D10">
        <w:t xml:space="preserve">cash or </w:t>
      </w:r>
      <w:r w:rsidR="00D9525A">
        <w:t xml:space="preserve">cards </w:t>
      </w:r>
      <w:r w:rsidR="00D97D10">
        <w:t>to pay for public charging</w:t>
      </w:r>
      <w:r w:rsidR="009140C0">
        <w:t xml:space="preserve">. </w:t>
      </w:r>
      <w:r w:rsidR="009F6B55">
        <w:t>Programs like t</w:t>
      </w:r>
      <w:r w:rsidR="002D5788">
        <w:t>his could include</w:t>
      </w:r>
      <w:r w:rsidR="009140C0">
        <w:t xml:space="preserve"> </w:t>
      </w:r>
      <w:r w:rsidR="00D82AEF">
        <w:t xml:space="preserve">incentivizing </w:t>
      </w:r>
      <w:r w:rsidR="00196386">
        <w:t xml:space="preserve">Level 2 charging costs </w:t>
      </w:r>
      <w:r w:rsidR="00E264C3">
        <w:t xml:space="preserve">at </w:t>
      </w:r>
      <w:r w:rsidR="00F42A68">
        <w:t xml:space="preserve">workplaces or other long dwell locations </w:t>
      </w:r>
      <w:r w:rsidR="0053126F">
        <w:t xml:space="preserve">that </w:t>
      </w:r>
      <w:r w:rsidR="00B623C7">
        <w:t>charge</w:t>
      </w:r>
      <w:r w:rsidR="00111884">
        <w:t xml:space="preserve"> </w:t>
      </w:r>
      <w:r w:rsidR="009140C0">
        <w:t xml:space="preserve">lower </w:t>
      </w:r>
      <w:r w:rsidR="00D82AEF">
        <w:t>fees</w:t>
      </w:r>
      <w:r w:rsidR="004935BF">
        <w:t xml:space="preserve"> </w:t>
      </w:r>
      <w:r w:rsidR="00F657AE">
        <w:t>of approximately $0.25/kWh</w:t>
      </w:r>
      <w:r w:rsidR="00677ACA">
        <w:t xml:space="preserve"> (</w:t>
      </w:r>
      <w:r w:rsidR="00C32296">
        <w:t xml:space="preserve">Stable </w:t>
      </w:r>
      <w:r w:rsidR="00B22E3D">
        <w:t xml:space="preserve">Auto, </w:t>
      </w:r>
      <w:r w:rsidR="00B13AF6">
        <w:t>2025)</w:t>
      </w:r>
      <w:r w:rsidR="0053126F">
        <w:t xml:space="preserve"> </w:t>
      </w:r>
      <w:r w:rsidR="00111884">
        <w:t xml:space="preserve">as a </w:t>
      </w:r>
      <w:r w:rsidR="009140C0">
        <w:t xml:space="preserve">supplement </w:t>
      </w:r>
      <w:r w:rsidR="001D5B59">
        <w:t xml:space="preserve">to </w:t>
      </w:r>
      <w:r w:rsidR="009140C0">
        <w:t xml:space="preserve">more expensive DC fast </w:t>
      </w:r>
      <w:r w:rsidR="00556F82">
        <w:t>charging</w:t>
      </w:r>
      <w:r w:rsidR="009140C0">
        <w:t xml:space="preserve">. Not only could this improve the affordability, </w:t>
      </w:r>
      <w:r w:rsidR="0053126F">
        <w:t xml:space="preserve">but </w:t>
      </w:r>
      <w:r w:rsidR="009140C0">
        <w:t>it would also address drivers</w:t>
      </w:r>
      <w:r w:rsidR="00D478B2">
        <w:t>’</w:t>
      </w:r>
      <w:r w:rsidR="009140C0">
        <w:t xml:space="preserve"> concerns regarding charging sufficiency. While it may not be realistic for TNC drivers to solely use Level 2 chargers, policies to incentivize higher </w:t>
      </w:r>
      <w:r w:rsidR="00C4550C">
        <w:t xml:space="preserve">usage </w:t>
      </w:r>
      <w:r w:rsidR="009140C0">
        <w:t xml:space="preserve">of Level 2, for </w:t>
      </w:r>
      <w:r w:rsidR="009140C0">
        <w:lastRenderedPageBreak/>
        <w:t xml:space="preserve">example in multifamily housing, underscore the interconnected nature of EV diffusion and the positive feedback loops that can </w:t>
      </w:r>
      <w:proofErr w:type="gramStart"/>
      <w:r w:rsidR="009140C0">
        <w:t>leveraged</w:t>
      </w:r>
      <w:proofErr w:type="gramEnd"/>
      <w:r w:rsidR="009140C0">
        <w:t xml:space="preserve"> to optimize EV policymaking.</w:t>
      </w:r>
    </w:p>
    <w:p w14:paraId="1E214C17" w14:textId="5CE85C7A" w:rsidR="000843CF" w:rsidRDefault="000843CF" w:rsidP="00261816">
      <w:pPr>
        <w:pStyle w:val="Caption"/>
        <w:keepNext/>
        <w:spacing w:after="0"/>
      </w:pPr>
      <w:bookmarkStart w:id="6" w:name="_Ref215498416"/>
      <w:r>
        <w:t xml:space="preserve">Figure </w:t>
      </w:r>
      <w:r>
        <w:fldChar w:fldCharType="begin"/>
      </w:r>
      <w:r>
        <w:instrText>SEQ Figure \* ARABIC</w:instrText>
      </w:r>
      <w:r>
        <w:fldChar w:fldCharType="separate"/>
      </w:r>
      <w:r w:rsidR="003E5E9B">
        <w:rPr>
          <w:noProof/>
        </w:rPr>
        <w:t>6</w:t>
      </w:r>
      <w:r>
        <w:fldChar w:fldCharType="end"/>
      </w:r>
      <w:bookmarkEnd w:id="6"/>
    </w:p>
    <w:p w14:paraId="74B2D025" w14:textId="38AFBDBF" w:rsidR="008101EF" w:rsidRPr="008101EF" w:rsidRDefault="000843CF" w:rsidP="008101EF">
      <w:r w:rsidRPr="0064699B">
        <w:rPr>
          <w:rStyle w:val="Heading3Char"/>
        </w:rPr>
        <w:t xml:space="preserve">Sensitivity Analysis for Weekly Miles Driven </w:t>
      </w:r>
      <w:r w:rsidR="00C46157">
        <w:rPr>
          <w:noProof/>
        </w:rPr>
        <w:drawing>
          <wp:inline distT="0" distB="0" distL="0" distR="0" wp14:anchorId="6A48D282" wp14:editId="762F70A2">
            <wp:extent cx="6279323" cy="1950098"/>
            <wp:effectExtent l="0" t="0" r="7620" b="0"/>
            <wp:docPr id="2028677560" name="Picture 1" descr="A chart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77560" name="Picture 1" descr="A chart with different colors&#10;&#10;AI-generated content may be incorrect."/>
                    <pic:cNvPicPr/>
                  </pic:nvPicPr>
                  <pic:blipFill rotWithShape="1">
                    <a:blip r:embed="rId16"/>
                    <a:srcRect t="9890" r="3282"/>
                    <a:stretch>
                      <a:fillRect/>
                    </a:stretch>
                  </pic:blipFill>
                  <pic:spPr bwMode="auto">
                    <a:xfrm>
                      <a:off x="0" y="0"/>
                      <a:ext cx="6289782" cy="1953346"/>
                    </a:xfrm>
                    <a:prstGeom prst="rect">
                      <a:avLst/>
                    </a:prstGeom>
                    <a:ln>
                      <a:noFill/>
                    </a:ln>
                    <a:extLst>
                      <a:ext uri="{53640926-AAD7-44D8-BBD7-CCE9431645EC}">
                        <a14:shadowObscured xmlns:a14="http://schemas.microsoft.com/office/drawing/2010/main"/>
                      </a:ext>
                    </a:extLst>
                  </pic:spPr>
                </pic:pic>
              </a:graphicData>
            </a:graphic>
          </wp:inline>
        </w:drawing>
      </w:r>
    </w:p>
    <w:p w14:paraId="65F5C85C" w14:textId="02C447AC" w:rsidR="00E7364A" w:rsidRPr="00E7364A" w:rsidRDefault="007F3F20" w:rsidP="00E7364A">
      <w:r>
        <w:t>Counterintuitively</w:t>
      </w:r>
      <w:r w:rsidR="00763E67">
        <w:t xml:space="preserve">, affordability does not improve as weekly miles driven </w:t>
      </w:r>
      <w:r w:rsidR="00410832">
        <w:t>increase</w:t>
      </w:r>
      <w:r w:rsidR="00085F2F">
        <w:t>, instead there is a slight decrease</w:t>
      </w:r>
      <w:r w:rsidR="00573DF8">
        <w:t xml:space="preserve"> (</w:t>
      </w:r>
      <w:r>
        <w:fldChar w:fldCharType="begin"/>
      </w:r>
      <w:r>
        <w:instrText xml:space="preserve"> REF _Ref215498416 \h </w:instrText>
      </w:r>
      <w:r>
        <w:fldChar w:fldCharType="separate"/>
      </w:r>
      <w:r w:rsidR="003E5E9B">
        <w:t xml:space="preserve">Figure </w:t>
      </w:r>
      <w:r w:rsidR="003E5E9B" w:rsidRPr="6345BC90">
        <w:rPr>
          <w:noProof/>
        </w:rPr>
        <w:t>6</w:t>
      </w:r>
      <w:r>
        <w:fldChar w:fldCharType="end"/>
      </w:r>
      <w:r w:rsidR="00573DF8">
        <w:t>)</w:t>
      </w:r>
      <w:r w:rsidR="00D13F3D">
        <w:t xml:space="preserve">. The primary reason for this </w:t>
      </w:r>
      <w:r w:rsidR="001C0D62">
        <w:t>is that expenses increase at a rate higher than the additional revenue received</w:t>
      </w:r>
      <w:r w:rsidR="002D308F">
        <w:t xml:space="preserve"> (particularly when accounting for household </w:t>
      </w:r>
      <w:r w:rsidR="00EF179B">
        <w:t>corrections</w:t>
      </w:r>
      <w:r w:rsidR="00DD36CF">
        <w:t>, see Appendix B</w:t>
      </w:r>
      <w:r w:rsidR="00EF179B">
        <w:t xml:space="preserve">). </w:t>
      </w:r>
      <w:r w:rsidR="00AB3177">
        <w:t>This does not imply that gross revenue would decrease, but just the relative effectiveness of affordability would not improve, which is measuring two separate concepts. From a policy perspective</w:t>
      </w:r>
      <w:r w:rsidR="00927CB5">
        <w:t xml:space="preserve">, these charts show that increasing miles driven </w:t>
      </w:r>
      <w:r w:rsidR="00832EA9">
        <w:t>is not a reasonable approach to improve affordability</w:t>
      </w:r>
      <w:r w:rsidR="00C453CA">
        <w:t>—</w:t>
      </w:r>
      <w:r w:rsidR="00832EA9">
        <w:t xml:space="preserve">TNC drivers </w:t>
      </w:r>
      <w:bookmarkStart w:id="7" w:name="_Int_iBOMdPBL"/>
      <w:r w:rsidR="00832EA9">
        <w:t>can’t</w:t>
      </w:r>
      <w:bookmarkEnd w:id="7"/>
      <w:r w:rsidR="00832EA9">
        <w:t xml:space="preserve"> “outdrive” affordability.</w:t>
      </w:r>
      <w:r w:rsidR="00A52AFD">
        <w:t xml:space="preserve"> Indeed, policymakers may want to search for use cases of higher income, lower mileage TNC drivers as a targeted segment</w:t>
      </w:r>
      <w:r w:rsidR="00ED20F1">
        <w:t xml:space="preserve"> if the</w:t>
      </w:r>
      <w:r w:rsidR="005D5C3D">
        <w:t xml:space="preserve">ir primary goal is to </w:t>
      </w:r>
      <w:r w:rsidR="00765294">
        <w:t xml:space="preserve">ensure affordability (though this would </w:t>
      </w:r>
      <w:r w:rsidR="00E00A34">
        <w:t xml:space="preserve">hinder </w:t>
      </w:r>
      <w:r w:rsidR="00765294">
        <w:t>climate change mitigation</w:t>
      </w:r>
      <w:r w:rsidR="00E00A34">
        <w:t xml:space="preserve"> goals</w:t>
      </w:r>
      <w:r w:rsidR="00765294">
        <w:t>)</w:t>
      </w:r>
      <w:r w:rsidR="00A52AFD">
        <w:t xml:space="preserve">.  </w:t>
      </w:r>
      <w:r w:rsidR="00832EA9">
        <w:t xml:space="preserve"> </w:t>
      </w:r>
    </w:p>
    <w:p w14:paraId="30602548" w14:textId="078C8E8D" w:rsidR="00B17E40" w:rsidRDefault="00B17E40" w:rsidP="00160B32">
      <w:pPr>
        <w:pStyle w:val="Heading1"/>
      </w:pPr>
      <w:r w:rsidRPr="008576A6">
        <w:t>Discussion</w:t>
      </w:r>
    </w:p>
    <w:p w14:paraId="7C1B0BDC" w14:textId="2530E93C" w:rsidR="00CC0590" w:rsidRDefault="00F4151A" w:rsidP="00485875">
      <w:r>
        <w:t>The goals of</w:t>
      </w:r>
      <w:r w:rsidR="00AC3C5A">
        <w:t xml:space="preserve"> BEV</w:t>
      </w:r>
      <w:r>
        <w:t xml:space="preserve"> adoption within the TNC</w:t>
      </w:r>
      <w:r w:rsidR="00DA4B7B">
        <w:t xml:space="preserve"> driver</w:t>
      </w:r>
      <w:r>
        <w:t xml:space="preserve"> segment are twofold: decarbonize high usage drivers</w:t>
      </w:r>
      <w:r w:rsidR="00DA4B7B">
        <w:t xml:space="preserve"> </w:t>
      </w:r>
      <w:r w:rsidR="00320BBA">
        <w:t>and</w:t>
      </w:r>
      <w:r w:rsidR="00DA4B7B">
        <w:t xml:space="preserve"> </w:t>
      </w:r>
      <w:r>
        <w:t>improve equity</w:t>
      </w:r>
      <w:r w:rsidR="00DA4B7B">
        <w:t xml:space="preserve"> </w:t>
      </w:r>
      <w:r w:rsidR="007C067F">
        <w:t xml:space="preserve">among light-duty drivers </w:t>
      </w:r>
      <w:r w:rsidR="00DA4B7B">
        <w:t>during the transition</w:t>
      </w:r>
      <w:r>
        <w:t xml:space="preserve">. However, the costs associated with each of these goals are likely </w:t>
      </w:r>
      <w:r w:rsidR="00133521">
        <w:t>to be very different. For example, to maximize adoption, an incentive of only $</w:t>
      </w:r>
      <w:r w:rsidR="007F3F20">
        <w:t>18,000</w:t>
      </w:r>
      <w:r w:rsidR="00133521">
        <w:t xml:space="preserve"> is recommended, while an incentive </w:t>
      </w:r>
      <w:r w:rsidR="0055061C">
        <w:t xml:space="preserve">of </w:t>
      </w:r>
      <w:r w:rsidR="00133521">
        <w:t>$</w:t>
      </w:r>
      <w:r w:rsidR="007F3F20">
        <w:t>58,000</w:t>
      </w:r>
      <w:r w:rsidR="00133521">
        <w:t xml:space="preserve"> is required to reach affordability. </w:t>
      </w:r>
      <w:r w:rsidR="001C72DA">
        <w:t>In short</w:t>
      </w:r>
      <w:r w:rsidR="00133521">
        <w:t>, the policy goals of decarbonization and equity might be mutually exclusive. Policymakers may cho</w:t>
      </w:r>
      <w:r w:rsidR="00667CEA">
        <w:t>o</w:t>
      </w:r>
      <w:r w:rsidR="00133521">
        <w:t xml:space="preserve">se to </w:t>
      </w:r>
      <w:r w:rsidR="00667CEA">
        <w:t xml:space="preserve">have larger programs with lower incentives that </w:t>
      </w:r>
      <w:r w:rsidR="006D7D32">
        <w:t>accelerate the transition to</w:t>
      </w:r>
      <w:r w:rsidR="00AC3C5A">
        <w:t xml:space="preserve"> BEV</w:t>
      </w:r>
      <w:r w:rsidR="006D7D32">
        <w:t>s, or they may ch</w:t>
      </w:r>
      <w:r w:rsidR="001C72DA">
        <w:t>o</w:t>
      </w:r>
      <w:r w:rsidR="006D7D32">
        <w:t>ose to have more targeted programs of very high incent</w:t>
      </w:r>
      <w:r w:rsidR="00E02EDD">
        <w:t>i</w:t>
      </w:r>
      <w:r w:rsidR="006D7D32">
        <w:t xml:space="preserve">ves that </w:t>
      </w:r>
      <w:r w:rsidR="00E02EDD">
        <w:t>bring higher levels of equity.</w:t>
      </w:r>
      <w:r w:rsidR="00C65F20">
        <w:t xml:space="preserve"> Perhaps the best option is to compromise </w:t>
      </w:r>
      <w:r w:rsidR="00BA231D">
        <w:t>and have moderate incentives th</w:t>
      </w:r>
      <w:r w:rsidR="00B46746">
        <w:t>at</w:t>
      </w:r>
      <w:r w:rsidR="00BA231D">
        <w:t xml:space="preserve"> </w:t>
      </w:r>
      <w:r w:rsidR="00BA231D">
        <w:rPr>
          <w:i/>
        </w:rPr>
        <w:t>improve</w:t>
      </w:r>
      <w:r w:rsidR="00BA231D">
        <w:t xml:space="preserve"> upon equity concerns </w:t>
      </w:r>
      <w:r w:rsidR="001F61D6">
        <w:t>(though do not completely resolve them)</w:t>
      </w:r>
      <w:r w:rsidR="00B46746">
        <w:t xml:space="preserve">. </w:t>
      </w:r>
    </w:p>
    <w:p w14:paraId="76DFFABF" w14:textId="58721D71" w:rsidR="006E7617" w:rsidRDefault="0080487B" w:rsidP="001D383F">
      <w:pPr>
        <w:rPr>
          <w:highlight w:val="yellow"/>
        </w:rPr>
      </w:pPr>
      <w:r>
        <w:t xml:space="preserve">Policymakers may also want to carefully consider the </w:t>
      </w:r>
      <w:r w:rsidR="00166E3E">
        <w:t xml:space="preserve">equity aspects of incentivizing specific purchasing and financing </w:t>
      </w:r>
      <w:r w:rsidR="001D383F">
        <w:t xml:space="preserve">choices for TNC drivers. For example, </w:t>
      </w:r>
      <w:r w:rsidR="008576A6">
        <w:t>this report</w:t>
      </w:r>
      <w:r w:rsidR="006E7617" w:rsidRPr="0029575F">
        <w:t xml:space="preserve"> show</w:t>
      </w:r>
      <w:r w:rsidR="008576A6">
        <w:t>s</w:t>
      </w:r>
      <w:r w:rsidR="006E7617" w:rsidRPr="0029575F">
        <w:t xml:space="preserve"> that leasing</w:t>
      </w:r>
      <w:r w:rsidR="00AC3C5A" w:rsidRPr="0029575F">
        <w:t xml:space="preserve"> BEV</w:t>
      </w:r>
      <w:r w:rsidR="006E7617" w:rsidRPr="0029575F">
        <w:t>s</w:t>
      </w:r>
      <w:r w:rsidR="006E7617" w:rsidRPr="0029575F" w:rsidDel="009A47AE">
        <w:t xml:space="preserve"> </w:t>
      </w:r>
      <w:r w:rsidR="009A47AE">
        <w:t>is</w:t>
      </w:r>
      <w:r w:rsidR="006E7617" w:rsidRPr="0029575F">
        <w:t xml:space="preserve"> likely to be the easiest way to induce</w:t>
      </w:r>
      <w:r w:rsidR="00AC3C5A" w:rsidRPr="0029575F">
        <w:t xml:space="preserve"> BEV</w:t>
      </w:r>
      <w:r w:rsidR="006E7617" w:rsidRPr="0029575F">
        <w:t xml:space="preserve"> adoption with the smallest incentives for TNC populations. However, </w:t>
      </w:r>
      <w:r w:rsidR="00170ADF">
        <w:t xml:space="preserve">leasing contracts typically have mileage restrictions that may prove </w:t>
      </w:r>
      <w:r w:rsidR="00FF7347">
        <w:t>infeasible to a TNC driver’s business model. In addition</w:t>
      </w:r>
      <w:r w:rsidR="006E7617" w:rsidRPr="0029575F">
        <w:t xml:space="preserve">, </w:t>
      </w:r>
      <w:r w:rsidR="001D383F" w:rsidRPr="0029575F">
        <w:t xml:space="preserve">policymakers may also have an equity-driven goal to </w:t>
      </w:r>
      <w:r w:rsidR="0020353F" w:rsidRPr="0029575F">
        <w:t xml:space="preserve">structure BEV incentives that leave low-moderate income consumers with an asset that stretches beyond the scope of the original incentive. </w:t>
      </w:r>
      <w:r w:rsidR="00A374E3" w:rsidRPr="0029575F">
        <w:t xml:space="preserve">That is, a lease may be a </w:t>
      </w:r>
      <w:r w:rsidR="00E302DF">
        <w:t>more affordable</w:t>
      </w:r>
      <w:r w:rsidR="00A374E3" w:rsidRPr="0029575F">
        <w:t xml:space="preserve"> option for TNC drivers to adopt EVs, but the ben</w:t>
      </w:r>
      <w:r w:rsidR="008D05FF" w:rsidRPr="0029575F">
        <w:t xml:space="preserve">eficiary would no longer have access to low-carbon transportation at the end date of the lease term and would have to make another purchase decision </w:t>
      </w:r>
      <w:r w:rsidR="00C6346D" w:rsidRPr="0029575F">
        <w:t xml:space="preserve">potentially without the assistance of the </w:t>
      </w:r>
      <w:r w:rsidR="00C6346D" w:rsidRPr="0029575F">
        <w:lastRenderedPageBreak/>
        <w:t>government. Alternatively, purchasing a</w:t>
      </w:r>
      <w:r w:rsidR="00AC3C5A" w:rsidRPr="0029575F">
        <w:t xml:space="preserve"> BEV</w:t>
      </w:r>
      <w:r w:rsidR="00C6346D" w:rsidRPr="0029575F">
        <w:t xml:space="preserve"> outright would continue to benefit the incentive recipient </w:t>
      </w:r>
      <w:r w:rsidR="001C6B59" w:rsidRPr="0029575F">
        <w:t>beyond the duration of financing</w:t>
      </w:r>
      <w:r w:rsidR="008D05FF" w:rsidRPr="0029575F">
        <w:t>, albeit a</w:t>
      </w:r>
      <w:r w:rsidR="00381F62">
        <w:t xml:space="preserve">t </w:t>
      </w:r>
      <w:r w:rsidR="008D05FF" w:rsidRPr="0029575F">
        <w:t xml:space="preserve">a more expensive </w:t>
      </w:r>
      <w:r w:rsidR="00381F62">
        <w:t xml:space="preserve">upfront </w:t>
      </w:r>
      <w:r w:rsidR="00A42221" w:rsidRPr="0029575F">
        <w:t>option for both TNC driver and policymaker.</w:t>
      </w:r>
      <w:r w:rsidR="001C6B59" w:rsidRPr="0029575F">
        <w:t xml:space="preserve"> </w:t>
      </w:r>
    </w:p>
    <w:p w14:paraId="6DDDFAE5" w14:textId="34D32BB8" w:rsidR="00181DEE" w:rsidRDefault="00A42221" w:rsidP="00485875">
      <w:r>
        <w:t>T</w:t>
      </w:r>
      <w:r w:rsidR="0079574C">
        <w:t>he incentives discussed are primarily focused on the purchasing and operation cost differential between</w:t>
      </w:r>
      <w:r w:rsidR="00AC3C5A">
        <w:t xml:space="preserve"> BEV</w:t>
      </w:r>
      <w:r w:rsidR="0079574C">
        <w:t xml:space="preserve">s and ICEVs. </w:t>
      </w:r>
      <w:r w:rsidR="00181DEE">
        <w:t>There are two key aspects when considering the incentive structure underlying these assumptions. First</w:t>
      </w:r>
      <w:r w:rsidR="002D7AE4">
        <w:t>, the model</w:t>
      </w:r>
      <w:r w:rsidR="00181DEE">
        <w:t xml:space="preserve"> </w:t>
      </w:r>
      <w:proofErr w:type="gramStart"/>
      <w:r w:rsidR="00181DEE">
        <w:t xml:space="preserve">is </w:t>
      </w:r>
      <w:r w:rsidR="00441EC0">
        <w:t xml:space="preserve">based on the </w:t>
      </w:r>
      <w:r w:rsidR="00CD416A">
        <w:t>assumption</w:t>
      </w:r>
      <w:proofErr w:type="gramEnd"/>
      <w:r w:rsidR="00181DEE">
        <w:t xml:space="preserve"> that TNC drivers are highly rational actors who would switch to </w:t>
      </w:r>
      <w:r w:rsidR="00093150">
        <w:t>B</w:t>
      </w:r>
      <w:r w:rsidR="00181DEE">
        <w:t xml:space="preserve">EVs as soon as the </w:t>
      </w:r>
      <w:r w:rsidR="00093150">
        <w:t xml:space="preserve">cost calculation tips in </w:t>
      </w:r>
      <w:r w:rsidR="00CD416A">
        <w:t xml:space="preserve">their </w:t>
      </w:r>
      <w:r w:rsidR="00093150">
        <w:t xml:space="preserve">favor. However, this may be ignoring real barriers, such as hesitancy to adopt a new technology that is used for work or </w:t>
      </w:r>
      <w:r w:rsidR="0037526E">
        <w:t xml:space="preserve">general ignorance of BEVs. </w:t>
      </w:r>
      <w:r w:rsidR="004963FF">
        <w:t>To supplement these factors</w:t>
      </w:r>
      <w:r w:rsidR="008576A6">
        <w:t>,</w:t>
      </w:r>
      <w:r w:rsidR="004963FF">
        <w:t xml:space="preserve"> additional incentive may be required, or targeted outreach programs used in tandem with incentive programs</w:t>
      </w:r>
      <w:bookmarkStart w:id="8" w:name="_Int_80tKbTxG"/>
      <w:r w:rsidR="004963FF">
        <w:t xml:space="preserve">. </w:t>
      </w:r>
      <w:r w:rsidR="0037526E">
        <w:t xml:space="preserve"> </w:t>
      </w:r>
      <w:bookmarkEnd w:id="8"/>
    </w:p>
    <w:p w14:paraId="13E0B19D" w14:textId="19E4D1C7" w:rsidR="000E1E8A" w:rsidRDefault="0037526E" w:rsidP="00517F90">
      <w:pPr>
        <w:rPr>
          <w:color w:val="FF0000"/>
        </w:rPr>
      </w:pPr>
      <w:r>
        <w:t>Secondly, th</w:t>
      </w:r>
      <w:r w:rsidR="0079574C">
        <w:t>ese under</w:t>
      </w:r>
      <w:r w:rsidR="00956D48">
        <w:t xml:space="preserve">served </w:t>
      </w:r>
      <w:r w:rsidR="0079574C">
        <w:t>population</w:t>
      </w:r>
      <w:r w:rsidR="008431BA">
        <w:t>s</w:t>
      </w:r>
      <w:r w:rsidR="00517F90">
        <w:t xml:space="preserve"> </w:t>
      </w:r>
      <w:r w:rsidR="0079574C">
        <w:t xml:space="preserve">may face additional barriers </w:t>
      </w:r>
      <w:r w:rsidR="000514D8">
        <w:t xml:space="preserve">related to </w:t>
      </w:r>
      <w:r w:rsidR="008431BA">
        <w:t xml:space="preserve">charging infrastructure. </w:t>
      </w:r>
      <w:r w:rsidR="0029575F">
        <w:t>T</w:t>
      </w:r>
      <w:r w:rsidR="008431BA">
        <w:t xml:space="preserve">o ensure actual adoption </w:t>
      </w:r>
      <w:r w:rsidR="00E2086A">
        <w:t>by</w:t>
      </w:r>
      <w:r w:rsidR="008431BA">
        <w:t xml:space="preserve"> TNC drivers, policymakers will need to </w:t>
      </w:r>
      <w:r w:rsidR="00153C79">
        <w:t>address</w:t>
      </w:r>
      <w:r w:rsidR="00AC3C5A">
        <w:t xml:space="preserve"> BEV</w:t>
      </w:r>
      <w:r w:rsidR="00153C79">
        <w:t xml:space="preserve"> barriers comprehensively. For example, Hardman et al. (2021) recommended increasing investments in charging infrastructure in underserved communities to promote accessibility and equity for lower-income and rural populations.</w:t>
      </w:r>
      <w:r w:rsidR="00E423FC">
        <w:t xml:space="preserve"> In addition,</w:t>
      </w:r>
      <w:r w:rsidR="008121C7">
        <w:t xml:space="preserve"> having access to a home charger would greatly reduce the cost of </w:t>
      </w:r>
      <w:r w:rsidR="008576A6">
        <w:t xml:space="preserve">battery </w:t>
      </w:r>
      <w:r w:rsidR="008121C7">
        <w:t>recharging, which is a key determinant of affordability</w:t>
      </w:r>
      <w:r w:rsidR="00F71E4C">
        <w:t xml:space="preserve">. Similarly, Shaheen et </w:t>
      </w:r>
      <w:r w:rsidR="00831408">
        <w:t>al. (2025)</w:t>
      </w:r>
      <w:r w:rsidR="007E4039">
        <w:t xml:space="preserve"> also recommended </w:t>
      </w:r>
      <w:r w:rsidR="00B30AB4">
        <w:t xml:space="preserve">prioritizing reducing </w:t>
      </w:r>
      <w:r w:rsidR="006964B6">
        <w:t>EV charging cost</w:t>
      </w:r>
      <w:r w:rsidR="001A380E">
        <w:t>s</w:t>
      </w:r>
      <w:r w:rsidR="006964B6">
        <w:t xml:space="preserve"> as one of the most effective ways to improve EV cost barriers</w:t>
      </w:r>
      <w:bookmarkStart w:id="9" w:name="_Int_rVKKRgXJ"/>
      <w:r w:rsidR="006964B6">
        <w:t xml:space="preserve">.  </w:t>
      </w:r>
      <w:bookmarkEnd w:id="9"/>
    </w:p>
    <w:p w14:paraId="6AFE72A3" w14:textId="508EE559" w:rsidR="009B54EC" w:rsidRPr="00304468" w:rsidRDefault="00304468" w:rsidP="00485875">
      <w:r>
        <w:t>Finally</w:t>
      </w:r>
      <w:r w:rsidR="00507B64">
        <w:t xml:space="preserve">, </w:t>
      </w:r>
      <w:r w:rsidR="002473E7">
        <w:t xml:space="preserve">although this study employs a $50,000 salary </w:t>
      </w:r>
      <w:r w:rsidR="008576A6">
        <w:t xml:space="preserve">for </w:t>
      </w:r>
      <w:r w:rsidR="002473E7">
        <w:t xml:space="preserve">a household of four, the average TNC driver may make even less </w:t>
      </w:r>
      <w:r w:rsidR="00CA072A">
        <w:t xml:space="preserve">per year, </w:t>
      </w:r>
      <w:r w:rsidR="00CA072A" w:rsidRPr="00304468">
        <w:t xml:space="preserve">which makes adoption and affordability particularly difficult. </w:t>
      </w:r>
      <w:r w:rsidR="00B5148F">
        <w:t>While i</w:t>
      </w:r>
      <w:r w:rsidR="0060478D" w:rsidRPr="00304468">
        <w:t>ncreasing wages would make</w:t>
      </w:r>
      <w:r w:rsidR="00AC3C5A" w:rsidRPr="00304468">
        <w:t xml:space="preserve"> BEV</w:t>
      </w:r>
      <w:r w:rsidR="0060478D" w:rsidRPr="00304468">
        <w:t>s increasingly affordable, the two main levers of income</w:t>
      </w:r>
      <w:r w:rsidR="008576A6">
        <w:t>—</w:t>
      </w:r>
      <w:r w:rsidR="0060478D" w:rsidRPr="00304468">
        <w:t xml:space="preserve">per mile TNC wage and total miles </w:t>
      </w:r>
      <w:proofErr w:type="gramStart"/>
      <w:r w:rsidR="0060478D" w:rsidRPr="00304468">
        <w:t>driven</w:t>
      </w:r>
      <w:r w:rsidR="008576A6">
        <w:t>—</w:t>
      </w:r>
      <w:proofErr w:type="gramEnd"/>
      <w:r w:rsidR="0060478D" w:rsidRPr="00304468">
        <w:t xml:space="preserve">may be difficult to change. For example, a policymaker may institute a program that adds a fee for electric miles driven </w:t>
      </w:r>
      <w:r w:rsidR="008576A6">
        <w:t>that</w:t>
      </w:r>
      <w:r w:rsidR="008576A6" w:rsidRPr="00304468">
        <w:t xml:space="preserve"> </w:t>
      </w:r>
      <w:r w:rsidR="0060478D" w:rsidRPr="00304468">
        <w:t>is passed on</w:t>
      </w:r>
      <w:r w:rsidR="004B2BB2">
        <w:t xml:space="preserve"> </w:t>
      </w:r>
      <w:r w:rsidR="0060478D" w:rsidRPr="00304468">
        <w:t>to the driver (improving their wages), though this may be politically unpopular</w:t>
      </w:r>
      <w:r w:rsidR="007F3F20">
        <w:t xml:space="preserve"> (see Appendix C</w:t>
      </w:r>
      <w:r w:rsidR="00763E67">
        <w:t>)</w:t>
      </w:r>
      <w:r w:rsidR="0060478D" w:rsidRPr="00304468">
        <w:t xml:space="preserve">. </w:t>
      </w:r>
      <w:r w:rsidR="00FF79CB" w:rsidRPr="00304468">
        <w:t>At the same time, TNC drivers may elect to drive more trips and miles per month (which improves the business case of</w:t>
      </w:r>
      <w:r w:rsidR="00AC3C5A" w:rsidRPr="00304468">
        <w:t xml:space="preserve"> BEV</w:t>
      </w:r>
      <w:r w:rsidR="00FF79CB" w:rsidRPr="00304468">
        <w:t xml:space="preserve">s and </w:t>
      </w:r>
      <w:r w:rsidR="00AA4AC3" w:rsidRPr="00304468">
        <w:t>increases wages</w:t>
      </w:r>
      <w:proofErr w:type="gramStart"/>
      <w:r w:rsidR="00AA4AC3" w:rsidRPr="00304468">
        <w:t>), but</w:t>
      </w:r>
      <w:proofErr w:type="gramEnd"/>
      <w:r w:rsidR="00AA4AC3" w:rsidRPr="00304468">
        <w:t xml:space="preserve"> </w:t>
      </w:r>
      <w:r w:rsidR="00C17688" w:rsidRPr="00304468">
        <w:t xml:space="preserve">may result </w:t>
      </w:r>
      <w:r w:rsidR="002C03E5" w:rsidRPr="00304468">
        <w:t xml:space="preserve">in infeasible charging requirements. </w:t>
      </w:r>
    </w:p>
    <w:p w14:paraId="54BCF308" w14:textId="794CA136" w:rsidR="0021294C" w:rsidRDefault="00F01AD2" w:rsidP="00160B32">
      <w:pPr>
        <w:pStyle w:val="Heading1"/>
      </w:pPr>
      <w:r>
        <w:t xml:space="preserve">Conclusion &amp; </w:t>
      </w:r>
      <w:r w:rsidR="00D30CC6" w:rsidRPr="00D30CC6">
        <w:t>Pol</w:t>
      </w:r>
      <w:r w:rsidR="00D30CC6">
        <w:t xml:space="preserve">icy </w:t>
      </w:r>
      <w:r w:rsidR="00546A01">
        <w:t>R</w:t>
      </w:r>
      <w:r w:rsidR="00D30CC6">
        <w:t>ecommendations</w:t>
      </w:r>
    </w:p>
    <w:p w14:paraId="370E86AC" w14:textId="2BE7F92C" w:rsidR="001B4738" w:rsidRDefault="001B4738" w:rsidP="001B4738">
      <w:r>
        <w:t xml:space="preserve">This paper explores two unique societal challenges: </w:t>
      </w:r>
      <w:r w:rsidR="007024D8">
        <w:t xml:space="preserve">the </w:t>
      </w:r>
      <w:r>
        <w:t>large-scale decarbonization of the light</w:t>
      </w:r>
      <w:r w:rsidR="007024D8">
        <w:t>-</w:t>
      </w:r>
      <w:r>
        <w:t xml:space="preserve">duty vehicle sector and equity concerns </w:t>
      </w:r>
      <w:r w:rsidR="007024D8">
        <w:t xml:space="preserve">related to </w:t>
      </w:r>
      <w:r>
        <w:t xml:space="preserve">transportation costs </w:t>
      </w:r>
      <w:r w:rsidR="007024D8">
        <w:t xml:space="preserve">for </w:t>
      </w:r>
      <w:r>
        <w:t xml:space="preserve">low-income households. </w:t>
      </w:r>
      <w:r w:rsidR="001A54A6">
        <w:t>Mitigating</w:t>
      </w:r>
      <w:r>
        <w:t xml:space="preserve"> </w:t>
      </w:r>
      <w:r w:rsidR="007024D8">
        <w:t xml:space="preserve">both challenges within </w:t>
      </w:r>
      <w:r>
        <w:t xml:space="preserve">the TNC driver segment </w:t>
      </w:r>
      <w:r w:rsidR="005A2534">
        <w:t xml:space="preserve">will </w:t>
      </w:r>
      <w:r w:rsidR="00B9109C">
        <w:t xml:space="preserve">require a well-structured program that </w:t>
      </w:r>
      <w:r w:rsidR="008F54E4">
        <w:t>offsets</w:t>
      </w:r>
      <w:r w:rsidR="00B9109C">
        <w:t xml:space="preserve"> the substantial financial hurdles </w:t>
      </w:r>
      <w:r w:rsidR="008F54E4">
        <w:t>facing TNC drivers</w:t>
      </w:r>
      <w:r>
        <w:t xml:space="preserve">. It is feasible to provide incentives </w:t>
      </w:r>
      <w:r w:rsidR="00926ABC">
        <w:t>under multiple</w:t>
      </w:r>
      <w:r>
        <w:t xml:space="preserve"> scenario</w:t>
      </w:r>
      <w:r w:rsidR="00926ABC">
        <w:t>s</w:t>
      </w:r>
      <w:r>
        <w:t xml:space="preserve"> that move </w:t>
      </w:r>
      <w:r w:rsidR="00926ABC">
        <w:t xml:space="preserve">vehicle ownership costs </w:t>
      </w:r>
      <w:r>
        <w:t xml:space="preserve">below the adoption </w:t>
      </w:r>
      <w:r w:rsidR="00926ABC">
        <w:t xml:space="preserve">threshold and </w:t>
      </w:r>
      <w:r w:rsidR="00926ABC" w:rsidRPr="00861140">
        <w:rPr>
          <w:i/>
          <w:iCs/>
        </w:rPr>
        <w:t>closer</w:t>
      </w:r>
      <w:r w:rsidR="00926ABC">
        <w:t xml:space="preserve"> to </w:t>
      </w:r>
      <w:r>
        <w:t>affordability</w:t>
      </w:r>
      <w:r w:rsidR="00926ABC">
        <w:t>,</w:t>
      </w:r>
      <w:r>
        <w:t xml:space="preserve"> even if the full 15%</w:t>
      </w:r>
      <w:r w:rsidR="00926ABC">
        <w:t xml:space="preserve"> affordability benchmark is not achieved</w:t>
      </w:r>
      <w:r>
        <w:t xml:space="preserve">. </w:t>
      </w:r>
      <w:r w:rsidR="00926ABC" w:rsidRPr="00926ABC">
        <w:t>This approach would improve affordability outcomes for TNC drivers while reducing transportation emissions,</w:t>
      </w:r>
      <w:r w:rsidR="00926ABC">
        <w:t xml:space="preserve"> </w:t>
      </w:r>
      <w:r w:rsidR="00926ABC" w:rsidRPr="00926ABC">
        <w:t>advancing both equity and decarbonization goals simultaneously.</w:t>
      </w:r>
    </w:p>
    <w:p w14:paraId="06D8F9D9" w14:textId="15017A0D" w:rsidR="00A2287C" w:rsidRDefault="00F83A2C" w:rsidP="00A2287C">
      <w:r>
        <w:t>The results</w:t>
      </w:r>
      <w:r w:rsidR="001818D9">
        <w:t xml:space="preserve"> of this ana</w:t>
      </w:r>
      <w:r w:rsidR="0098240C">
        <w:t>lysis</w:t>
      </w:r>
      <w:r>
        <w:t xml:space="preserve"> show that substantial incentive amounts are required to reach </w:t>
      </w:r>
      <w:r w:rsidR="00926ABC">
        <w:t xml:space="preserve">ambitious </w:t>
      </w:r>
      <w:r w:rsidR="00AA67DD">
        <w:t xml:space="preserve">affordability </w:t>
      </w:r>
      <w:r w:rsidR="005D4425">
        <w:t xml:space="preserve">goals, </w:t>
      </w:r>
      <w:r w:rsidR="0058127D">
        <w:t>and</w:t>
      </w:r>
      <w:r w:rsidR="00926ABC">
        <w:t xml:space="preserve"> </w:t>
      </w:r>
      <w:r w:rsidR="005D4425">
        <w:t xml:space="preserve">incentives are still </w:t>
      </w:r>
      <w:r w:rsidR="00926ABC">
        <w:t xml:space="preserve">necessary </w:t>
      </w:r>
      <w:r w:rsidR="0002372D">
        <w:t xml:space="preserve">to </w:t>
      </w:r>
      <w:r w:rsidR="00A2287C">
        <w:t xml:space="preserve">reach the </w:t>
      </w:r>
      <w:r w:rsidR="0058127D">
        <w:t>point of financial feasibility</w:t>
      </w:r>
      <w:r w:rsidR="00A2287C">
        <w:t>, particularly for new EV</w:t>
      </w:r>
      <w:r w:rsidR="00926ABC">
        <w:t xml:space="preserve"> purchases</w:t>
      </w:r>
      <w:r w:rsidR="00A2287C">
        <w:t xml:space="preserve">. Given the </w:t>
      </w:r>
      <w:r w:rsidR="000F3BDB">
        <w:t xml:space="preserve">confluence of policy goals, this analysis underscores the importance of </w:t>
      </w:r>
      <w:r w:rsidR="0058127D">
        <w:t xml:space="preserve">targeted </w:t>
      </w:r>
      <w:r w:rsidR="000F3BDB">
        <w:t xml:space="preserve">incentives to induce EV adoption within specific </w:t>
      </w:r>
      <w:r w:rsidR="009720B5">
        <w:t xml:space="preserve">driver </w:t>
      </w:r>
      <w:r w:rsidR="000F3BDB">
        <w:t>segments.</w:t>
      </w:r>
      <w:r w:rsidR="00B77647">
        <w:t xml:space="preserve"> While direct purchase incentives </w:t>
      </w:r>
      <w:r w:rsidR="00C84FE0">
        <w:t xml:space="preserve">are essential, </w:t>
      </w:r>
      <w:r w:rsidR="003F6833">
        <w:t xml:space="preserve">policymakers should </w:t>
      </w:r>
      <w:r w:rsidR="009720B5">
        <w:t>also prioritize enhancing</w:t>
      </w:r>
      <w:r w:rsidR="003F6833">
        <w:t xml:space="preserve"> </w:t>
      </w:r>
      <w:r w:rsidR="00ED75BD">
        <w:t>driver benefits</w:t>
      </w:r>
      <w:r w:rsidR="00CF1B86">
        <w:t xml:space="preserve"> </w:t>
      </w:r>
      <w:r w:rsidR="003F6833">
        <w:t xml:space="preserve">and </w:t>
      </w:r>
      <w:r w:rsidR="009720B5">
        <w:t xml:space="preserve">reducing </w:t>
      </w:r>
      <w:r w:rsidR="00CF1B86">
        <w:t xml:space="preserve">charging </w:t>
      </w:r>
      <w:r w:rsidR="00F05D10">
        <w:t xml:space="preserve">costs to spur </w:t>
      </w:r>
      <w:r w:rsidR="00A25CEC">
        <w:t xml:space="preserve">adoption </w:t>
      </w:r>
      <w:r w:rsidR="009720B5">
        <w:t xml:space="preserve">among </w:t>
      </w:r>
      <w:r w:rsidR="00A25CEC">
        <w:t>TNC driver segments</w:t>
      </w:r>
      <w:r w:rsidR="00F05D10">
        <w:t xml:space="preserve">. As discussed above, </w:t>
      </w:r>
      <w:r w:rsidR="00311277">
        <w:t xml:space="preserve">complementary policies </w:t>
      </w:r>
      <w:r w:rsidR="009720B5">
        <w:t>expand access to Level 1 and Level 2</w:t>
      </w:r>
      <w:r w:rsidR="00311277">
        <w:t xml:space="preserve"> </w:t>
      </w:r>
      <w:r w:rsidR="00100936">
        <w:t xml:space="preserve">charging at </w:t>
      </w:r>
      <w:r w:rsidR="008D0CB7">
        <w:t xml:space="preserve">multifamily housing </w:t>
      </w:r>
      <w:r w:rsidR="009720B5">
        <w:t xml:space="preserve">and </w:t>
      </w:r>
      <w:r w:rsidR="008D0CB7">
        <w:t xml:space="preserve">other </w:t>
      </w:r>
      <w:proofErr w:type="gramStart"/>
      <w:r w:rsidR="008D0CB7">
        <w:t>work</w:t>
      </w:r>
      <w:proofErr w:type="gramEnd"/>
      <w:r w:rsidR="009720B5">
        <w:t xml:space="preserve"> or </w:t>
      </w:r>
      <w:r w:rsidR="008D0CB7">
        <w:t xml:space="preserve">public sites can </w:t>
      </w:r>
      <w:r w:rsidR="009720B5">
        <w:t xml:space="preserve">create </w:t>
      </w:r>
      <w:r w:rsidR="00AC0758">
        <w:t xml:space="preserve">positive feedback loops </w:t>
      </w:r>
      <w:r w:rsidR="009720B5">
        <w:t>with</w:t>
      </w:r>
      <w:r w:rsidR="00AC0758">
        <w:t xml:space="preserve"> outsized impacts on </w:t>
      </w:r>
      <w:r w:rsidR="009720B5">
        <w:t>adoption</w:t>
      </w:r>
      <w:r w:rsidR="00AC0758">
        <w:t>.</w:t>
      </w:r>
    </w:p>
    <w:p w14:paraId="2E4D5BEB" w14:textId="0225F9E7" w:rsidR="001C77BC" w:rsidRDefault="00903766" w:rsidP="00F83DC2">
      <w:r>
        <w:t xml:space="preserve">Further research </w:t>
      </w:r>
      <w:r w:rsidR="00F83DC2">
        <w:t xml:space="preserve">should </w:t>
      </w:r>
      <w:r w:rsidR="009720B5">
        <w:t xml:space="preserve">examine </w:t>
      </w:r>
      <w:r w:rsidR="00F83DC2">
        <w:t xml:space="preserve">how incentive levels can </w:t>
      </w:r>
      <w:r w:rsidR="009720B5">
        <w:t xml:space="preserve">evolve </w:t>
      </w:r>
      <w:r w:rsidR="00F83DC2">
        <w:t>over time as</w:t>
      </w:r>
      <w:r w:rsidR="00AC3C5A">
        <w:t xml:space="preserve"> BEV</w:t>
      </w:r>
      <w:r w:rsidR="00360D17">
        <w:t xml:space="preserve"> technologies improve and </w:t>
      </w:r>
      <w:r w:rsidR="00F83DC2">
        <w:t xml:space="preserve">the 15% </w:t>
      </w:r>
      <w:r w:rsidR="00F00025">
        <w:t xml:space="preserve">of income </w:t>
      </w:r>
      <w:r w:rsidR="009720B5">
        <w:t xml:space="preserve">affordability </w:t>
      </w:r>
      <w:r w:rsidR="00F83DC2">
        <w:t xml:space="preserve">goal </w:t>
      </w:r>
      <w:r w:rsidR="009720B5">
        <w:t xml:space="preserve">becomes </w:t>
      </w:r>
      <w:r w:rsidR="00F83DC2">
        <w:t xml:space="preserve">more </w:t>
      </w:r>
      <w:r w:rsidR="009720B5">
        <w:t>attainable</w:t>
      </w:r>
      <w:r w:rsidR="00F83DC2">
        <w:t xml:space="preserve">. </w:t>
      </w:r>
      <w:r w:rsidR="009720B5">
        <w:t>However</w:t>
      </w:r>
      <w:r w:rsidR="00DE433B">
        <w:t xml:space="preserve">, Hardman et al. (2021) note </w:t>
      </w:r>
      <w:r w:rsidR="009720B5">
        <w:t xml:space="preserve">that </w:t>
      </w:r>
      <w:r w:rsidR="00DE433B">
        <w:t xml:space="preserve">improvements </w:t>
      </w:r>
      <w:r w:rsidR="009720B5">
        <w:t xml:space="preserve">in </w:t>
      </w:r>
      <w:r w:rsidR="00DE433B">
        <w:t xml:space="preserve">the EV market </w:t>
      </w:r>
      <w:r w:rsidR="006F47CB">
        <w:t xml:space="preserve">have </w:t>
      </w:r>
      <w:r w:rsidR="009720B5">
        <w:t xml:space="preserve">often </w:t>
      </w:r>
      <w:r w:rsidR="009720B5" w:rsidRPr="009720B5">
        <w:t xml:space="preserve">resulted in vehicles that are higher-performing but also more </w:t>
      </w:r>
      <w:r w:rsidR="009720B5" w:rsidRPr="009720B5">
        <w:lastRenderedPageBreak/>
        <w:t xml:space="preserve">expensive, primarily appealing to higher-income buyers. </w:t>
      </w:r>
      <w:r w:rsidR="009720B5">
        <w:t xml:space="preserve">As a result, </w:t>
      </w:r>
      <w:r w:rsidR="00360D17">
        <w:t>BEV a</w:t>
      </w:r>
      <w:r w:rsidR="00623325">
        <w:t xml:space="preserve">ffordability may </w:t>
      </w:r>
      <w:r w:rsidR="009720B5">
        <w:t>remain</w:t>
      </w:r>
      <w:r w:rsidR="00360D17">
        <w:t xml:space="preserve"> a</w:t>
      </w:r>
      <w:r w:rsidR="009720B5">
        <w:t xml:space="preserve"> persistent</w:t>
      </w:r>
      <w:r w:rsidR="00360D17">
        <w:t xml:space="preserve"> challenge for TNC drivers</w:t>
      </w:r>
      <w:r w:rsidR="00D36394">
        <w:t xml:space="preserve">, </w:t>
      </w:r>
      <w:r w:rsidR="009720B5">
        <w:t>necessitating continued or expanded</w:t>
      </w:r>
      <w:r w:rsidR="00D36394">
        <w:t xml:space="preserve"> incentive</w:t>
      </w:r>
      <w:r w:rsidR="009720B5">
        <w:t xml:space="preserve"> support</w:t>
      </w:r>
      <w:r w:rsidR="00D36394">
        <w:t xml:space="preserve"> to </w:t>
      </w:r>
      <w:r w:rsidR="009720B5">
        <w:t xml:space="preserve">sustain </w:t>
      </w:r>
      <w:r w:rsidR="00D36394">
        <w:t xml:space="preserve">decarbonization within </w:t>
      </w:r>
      <w:r w:rsidR="009720B5">
        <w:t xml:space="preserve">this </w:t>
      </w:r>
      <w:r w:rsidR="00D36394">
        <w:t>segment.</w:t>
      </w:r>
      <w:r w:rsidR="00F83DC2">
        <w:t xml:space="preserve"> </w:t>
      </w:r>
      <w:r w:rsidR="009720B5">
        <w:t xml:space="preserve">Future </w:t>
      </w:r>
      <w:r w:rsidR="00F83DC2">
        <w:t xml:space="preserve">research should </w:t>
      </w:r>
      <w:r w:rsidR="00B86035">
        <w:t xml:space="preserve">also examine </w:t>
      </w:r>
      <w:r w:rsidR="00F83DC2">
        <w:t xml:space="preserve">how </w:t>
      </w:r>
      <w:r w:rsidR="41B79C2C" w:rsidRPr="006E4ADD">
        <w:t xml:space="preserve">policymakers, TNC companies, and industry stakeholders </w:t>
      </w:r>
      <w:r w:rsidR="00F83DC2">
        <w:t xml:space="preserve">can </w:t>
      </w:r>
      <w:r w:rsidR="00B86035">
        <w:t>collaborate on</w:t>
      </w:r>
      <w:r w:rsidR="41B79C2C" w:rsidRPr="006E4ADD">
        <w:t xml:space="preserve"> a multifaceted strategy </w:t>
      </w:r>
      <w:r w:rsidR="00B86035">
        <w:t>to</w:t>
      </w:r>
      <w:r w:rsidR="00B86035" w:rsidRPr="006E4ADD" w:rsidDel="00F83DC2">
        <w:t xml:space="preserve"> </w:t>
      </w:r>
      <w:r w:rsidR="00F83DC2">
        <w:t>improve</w:t>
      </w:r>
      <w:r w:rsidR="00AC3C5A">
        <w:t xml:space="preserve"> BEV</w:t>
      </w:r>
      <w:r w:rsidR="00F83DC2">
        <w:t xml:space="preserve"> affordability for TNC drivers, including </w:t>
      </w:r>
      <w:r w:rsidR="00B86035" w:rsidRPr="00B86035">
        <w:t>identifying the most effective combinations of vehicle types, financing structures, and incentive designs</w:t>
      </w:r>
      <w:r w:rsidR="00F83DC2">
        <w:t xml:space="preserve">. </w:t>
      </w:r>
    </w:p>
    <w:p w14:paraId="310322A2" w14:textId="77777777" w:rsidR="00A319F9" w:rsidRPr="006E4ADD" w:rsidRDefault="00A319F9" w:rsidP="00F83DC2"/>
    <w:p w14:paraId="27FA4283" w14:textId="77777777" w:rsidR="00B8250A" w:rsidRPr="006E4ADD" w:rsidRDefault="00B8250A" w:rsidP="001C77BC"/>
    <w:p w14:paraId="020AA7B2" w14:textId="6DFB9F6C" w:rsidR="00BC253F" w:rsidRPr="000F4334" w:rsidRDefault="00BC253F" w:rsidP="29C01A36"/>
    <w:p w14:paraId="57D5398B" w14:textId="118108BE" w:rsidR="00C36E17" w:rsidRPr="00782450" w:rsidRDefault="00C36E17" w:rsidP="00DD57C2">
      <w:pPr>
        <w:pStyle w:val="Heading1"/>
      </w:pPr>
      <w:r w:rsidRPr="000F4334">
        <w:br w:type="page"/>
      </w:r>
      <w:r w:rsidR="2CADDF72" w:rsidRPr="000F4334">
        <w:lastRenderedPageBreak/>
        <w:t>References</w:t>
      </w:r>
    </w:p>
    <w:p w14:paraId="564D1FB6" w14:textId="62C184BF" w:rsidR="002D1129" w:rsidRPr="00F83B25" w:rsidRDefault="002D1129" w:rsidP="00E67334">
      <w:pPr>
        <w:pStyle w:val="ListParagraph"/>
        <w:numPr>
          <w:ilvl w:val="0"/>
          <w:numId w:val="47"/>
        </w:numPr>
      </w:pPr>
      <w:r w:rsidRPr="00F83B25">
        <w:t xml:space="preserve">Auto Club of Southern California. (2024). Gas prices tick up slightly over holiday; 2024 ends with third-highest annual gas-price average [Press release]. </w:t>
      </w:r>
      <w:hyperlink r:id="rId17" w:tgtFrame="_new" w:history="1">
        <w:r w:rsidRPr="00F83B25">
          <w:rPr>
            <w:rStyle w:val="Hyperlink"/>
          </w:rPr>
          <w:t>https://news.aaa-calif.com/news/auto-club-gas-prices-tick-up-slightly-over-holiday-2024-ends-with-third-highest-annual-gas-price-average</w:t>
        </w:r>
      </w:hyperlink>
    </w:p>
    <w:p w14:paraId="42CA3494" w14:textId="0D46E4FA" w:rsidR="00D12DC7" w:rsidRPr="00F83B25" w:rsidRDefault="00D12DC7" w:rsidP="00E67334">
      <w:pPr>
        <w:pStyle w:val="ListParagraph"/>
        <w:numPr>
          <w:ilvl w:val="0"/>
          <w:numId w:val="47"/>
        </w:numPr>
      </w:pPr>
      <w:r w:rsidRPr="00F83B25">
        <w:t>Bradley, S. (202</w:t>
      </w:r>
      <w:r w:rsidR="00E45C15" w:rsidRPr="00F83B25">
        <w:t>4</w:t>
      </w:r>
      <w:r w:rsidRPr="00F83B25">
        <w:t xml:space="preserve">, November). </w:t>
      </w:r>
      <w:r w:rsidR="00E45C15" w:rsidRPr="00F83B25">
        <w:t>Average Car Loan Interest Rates by Credit Score</w:t>
      </w:r>
      <w:r w:rsidRPr="00F83B25">
        <w:t xml:space="preserve">. Retrieved </w:t>
      </w:r>
      <w:r w:rsidR="00E45C15" w:rsidRPr="00F83B25">
        <w:t>November</w:t>
      </w:r>
      <w:r w:rsidR="008C3696" w:rsidRPr="00F83B25">
        <w:t xml:space="preserve"> </w:t>
      </w:r>
      <w:r w:rsidR="00714BF5" w:rsidRPr="00F83B25">
        <w:t>25</w:t>
      </w:r>
      <w:r w:rsidRPr="00F83B25">
        <w:t xml:space="preserve">, 2024, from </w:t>
      </w:r>
      <w:hyperlink r:id="rId18" w:history="1">
        <w:r w:rsidR="008C3696" w:rsidRPr="00F83B25">
          <w:rPr>
            <w:rStyle w:val="Hyperlink"/>
          </w:rPr>
          <w:t>https://www.nerdwallet.com/auto-loans/learn/average-car-loan-interest-rates-by-credit-score</w:t>
        </w:r>
      </w:hyperlink>
    </w:p>
    <w:p w14:paraId="61E73087" w14:textId="4273DE5C" w:rsidR="002606B9" w:rsidRPr="00F83B25" w:rsidRDefault="002606B9" w:rsidP="00E67334">
      <w:pPr>
        <w:pStyle w:val="ListParagraph"/>
        <w:numPr>
          <w:ilvl w:val="0"/>
          <w:numId w:val="47"/>
        </w:numPr>
      </w:pPr>
      <w:r w:rsidRPr="00F83B25">
        <w:t xml:space="preserve">Bradley, S., &amp; Woock, K. (2024). How much of a down payment should you make when buying a car? NerdWallet. Retrieved December 5, 2024, from </w:t>
      </w:r>
      <w:hyperlink r:id="rId19" w:tgtFrame="_new" w:history="1">
        <w:r w:rsidRPr="00F83B25">
          <w:rPr>
            <w:rStyle w:val="Hyperlink"/>
          </w:rPr>
          <w:t>https://www.nerdwallet.com/article/loans/auto-loans/how-much-down-payment-make-buying-car</w:t>
        </w:r>
      </w:hyperlink>
    </w:p>
    <w:p w14:paraId="3D1F7844" w14:textId="77777777" w:rsidR="002606B9" w:rsidRPr="00F83B25" w:rsidRDefault="002606B9" w:rsidP="00E67334">
      <w:pPr>
        <w:pStyle w:val="ListParagraph"/>
        <w:numPr>
          <w:ilvl w:val="0"/>
          <w:numId w:val="47"/>
        </w:numPr>
      </w:pPr>
      <w:r w:rsidRPr="00F83B25">
        <w:t xml:space="preserve">Bureau of Transportation Statistics. (2024). The household cost of transportation: Is it affordable? U.S. Department of Transportation. </w:t>
      </w:r>
      <w:hyperlink r:id="rId20" w:tgtFrame="_new" w:history="1">
        <w:r w:rsidRPr="00F83B25">
          <w:rPr>
            <w:rStyle w:val="Hyperlink"/>
          </w:rPr>
          <w:t>https://www.bts.gov/data-spotlight/household-cost-transportation-it-affordable</w:t>
        </w:r>
      </w:hyperlink>
    </w:p>
    <w:p w14:paraId="1C0225EF" w14:textId="77777777" w:rsidR="002606B9" w:rsidRPr="00F83B25" w:rsidRDefault="002606B9" w:rsidP="00E67334">
      <w:pPr>
        <w:pStyle w:val="ListParagraph"/>
        <w:numPr>
          <w:ilvl w:val="0"/>
          <w:numId w:val="47"/>
        </w:numPr>
      </w:pPr>
      <w:r w:rsidRPr="00F83B25">
        <w:rPr>
          <w:lang w:val="da-DK"/>
        </w:rPr>
        <w:t xml:space="preserve">Burnham, A., Gohlke, D., Rush, L., Stephens, T., Zhou, Y., Delucchi, M. A., ... </w:t>
      </w:r>
      <w:r w:rsidRPr="00F83B25">
        <w:t xml:space="preserve">&amp; Birky, A. (2021). Comprehensive total cost of ownership quantification for vehicles with different size classes and powertrains. Argonne National Laboratory. </w:t>
      </w:r>
      <w:hyperlink r:id="rId21" w:tgtFrame="_new" w:history="1">
        <w:r w:rsidRPr="00F83B25">
          <w:rPr>
            <w:rStyle w:val="Hyperlink"/>
          </w:rPr>
          <w:t>https://publications.anl.gov/anlpubs/2021/05/167399.pdf</w:t>
        </w:r>
      </w:hyperlink>
    </w:p>
    <w:p w14:paraId="340CE1EB" w14:textId="11BECEFD" w:rsidR="002606B9" w:rsidRPr="00F83B25" w:rsidRDefault="002606B9" w:rsidP="00E67334">
      <w:pPr>
        <w:pStyle w:val="ListParagraph"/>
        <w:numPr>
          <w:ilvl w:val="0"/>
          <w:numId w:val="47"/>
        </w:numPr>
      </w:pPr>
      <w:r w:rsidRPr="00F83B25">
        <w:t xml:space="preserve">California Air Resources Board. (2016). Fiscal year 2016–17 grant solicitation for the Clean Vehicle Rebate Project (CVRP). </w:t>
      </w:r>
      <w:hyperlink r:id="rId22" w:tgtFrame="_new" w:history="1">
        <w:r w:rsidRPr="00F83B25">
          <w:rPr>
            <w:rStyle w:val="Hyperlink"/>
          </w:rPr>
          <w:t>https://ww2.arb.ca.gov/sites/default/files/2020-05/fy1617_cvrp_solicitation.pdf</w:t>
        </w:r>
      </w:hyperlink>
    </w:p>
    <w:p w14:paraId="319B1B37" w14:textId="7D1BF181" w:rsidR="002606B9" w:rsidRPr="00F83B25" w:rsidDel="00494397" w:rsidRDefault="002606B9" w:rsidP="00E67334">
      <w:pPr>
        <w:pStyle w:val="ListParagraph"/>
        <w:numPr>
          <w:ilvl w:val="0"/>
          <w:numId w:val="47"/>
        </w:numPr>
      </w:pPr>
      <w:r w:rsidRPr="00F83B25" w:rsidDel="00494397">
        <w:t xml:space="preserve">California Air Resources Board. (2021). 2018 Base-Year Emissions Inventory Report: Clean Miles Standard. Retrieved from </w:t>
      </w:r>
      <w:hyperlink r:id="rId23" w:tgtFrame="_new" w:history="1">
        <w:r w:rsidRPr="00F83B25" w:rsidDel="00494397">
          <w:rPr>
            <w:rStyle w:val="Hyperlink"/>
          </w:rPr>
          <w:t>https://ww2.arb.ca.gov/sites/default/files/barcu/regact/2021/cleanmilesstandard/appb.pdf</w:t>
        </w:r>
      </w:hyperlink>
    </w:p>
    <w:p w14:paraId="3197503F" w14:textId="240F19E4" w:rsidR="002606B9" w:rsidRPr="00F83B25" w:rsidRDefault="002606B9" w:rsidP="00E67334">
      <w:pPr>
        <w:pStyle w:val="ListParagraph"/>
        <w:numPr>
          <w:ilvl w:val="0"/>
          <w:numId w:val="47"/>
        </w:numPr>
      </w:pPr>
      <w:r w:rsidRPr="00F83B25">
        <w:t xml:space="preserve">California Air Resources Board. (2022). </w:t>
      </w:r>
      <w:r w:rsidRPr="005862E9">
        <w:rPr>
          <w:rStyle w:val="Emphasis"/>
          <w:i w:val="0"/>
          <w:iCs w:val="0"/>
        </w:rPr>
        <w:t>Appendix C: Updated long-term plan for light-duty zero-emission vehicles (EVs)</w:t>
      </w:r>
      <w:r w:rsidRPr="00F83B25">
        <w:t xml:space="preserve"> (FY 2022-23 Funding Plan). </w:t>
      </w:r>
      <w:hyperlink r:id="rId24" w:tgtFrame="_new" w:history="1">
        <w:r w:rsidRPr="00F83B25">
          <w:rPr>
            <w:rStyle w:val="Hyperlink"/>
          </w:rPr>
          <w:t>https://ww2.arb.ca.gov/sites/default/files/2022-10/fy2022_23_funding_plan_appendix_c.pdf</w:t>
        </w:r>
      </w:hyperlink>
    </w:p>
    <w:p w14:paraId="6AB6226B" w14:textId="42E3FB53" w:rsidR="00E425C5" w:rsidRPr="00F83B25" w:rsidRDefault="00BF3C5C" w:rsidP="00E67334">
      <w:pPr>
        <w:pStyle w:val="ListParagraph"/>
        <w:numPr>
          <w:ilvl w:val="0"/>
          <w:numId w:val="47"/>
        </w:numPr>
      </w:pPr>
      <w:r w:rsidRPr="00F83B25">
        <w:t xml:space="preserve">California Energy Commission. (2025). Over 100,000 ZEVs sold in California in second </w:t>
      </w:r>
      <w:proofErr w:type="gramStart"/>
      <w:r w:rsidRPr="00F83B25">
        <w:t>quarter</w:t>
      </w:r>
      <w:proofErr w:type="gramEnd"/>
      <w:r w:rsidRPr="00F83B25">
        <w:t xml:space="preserve"> 2025. </w:t>
      </w:r>
      <w:r w:rsidRPr="005862E9">
        <w:t>California Energy Commission News Release.</w:t>
      </w:r>
      <w:r w:rsidRPr="00F83B25">
        <w:t xml:space="preserve"> </w:t>
      </w:r>
      <w:hyperlink r:id="rId25" w:tgtFrame="_new" w:history="1">
        <w:r w:rsidRPr="00F83B25">
          <w:rPr>
            <w:rStyle w:val="Hyperlink"/>
          </w:rPr>
          <w:t>https://www.energy.ca.gov/news/2025-07/over-100000-zevs-sold-california-second-quarter-2025</w:t>
        </w:r>
      </w:hyperlink>
    </w:p>
    <w:p w14:paraId="266FD36A" w14:textId="77777777" w:rsidR="002606B9" w:rsidRPr="00F83B25" w:rsidRDefault="002606B9" w:rsidP="00E67334">
      <w:pPr>
        <w:pStyle w:val="ListParagraph"/>
        <w:numPr>
          <w:ilvl w:val="0"/>
          <w:numId w:val="47"/>
        </w:numPr>
      </w:pPr>
      <w:r w:rsidRPr="00F83B25">
        <w:t xml:space="preserve">California Public Utilities Commission. (2023). Clean Miles Standard. California Public Utilities Commission. Retrieved from </w:t>
      </w:r>
      <w:hyperlink r:id="rId26" w:tgtFrame="_new" w:history="1">
        <w:r w:rsidRPr="00F83B25">
          <w:rPr>
            <w:rStyle w:val="Hyperlink"/>
          </w:rPr>
          <w:t>https://www.cpuc.ca.gov/regulatory-services/licensing/transportation-licensing-and-analysis-branch/clean-miles-standard</w:t>
        </w:r>
      </w:hyperlink>
    </w:p>
    <w:p w14:paraId="608AB013" w14:textId="77777777" w:rsidR="002606B9" w:rsidRPr="00F83B25" w:rsidRDefault="002606B9" w:rsidP="00E67334">
      <w:pPr>
        <w:pStyle w:val="ListParagraph"/>
        <w:numPr>
          <w:ilvl w:val="0"/>
          <w:numId w:val="47"/>
        </w:numPr>
        <w:rPr>
          <w:rStyle w:val="Hyperlink"/>
          <w:color w:val="auto"/>
          <w:u w:val="none"/>
        </w:rPr>
      </w:pPr>
      <w:r w:rsidRPr="00F83B25">
        <w:t xml:space="preserve">California Public Utilities Commission. (2024). Clean miles standard program: Driver assistance program. Retrieved from </w:t>
      </w:r>
      <w:hyperlink r:id="rId27" w:tgtFrame="_new" w:history="1">
        <w:r w:rsidRPr="00F83B25">
          <w:rPr>
            <w:color w:val="0000FF"/>
            <w:u w:val="single"/>
          </w:rPr>
          <w:t>https://docs.cpuc.ca.gov/PublishedDocs/Efile/G000/M523/K124/523124840.PDF</w:t>
        </w:r>
      </w:hyperlink>
    </w:p>
    <w:p w14:paraId="4391A92F" w14:textId="77777777" w:rsidR="002606B9" w:rsidRPr="00F83B25" w:rsidRDefault="002606B9" w:rsidP="00E67334">
      <w:pPr>
        <w:pStyle w:val="ListParagraph"/>
        <w:numPr>
          <w:ilvl w:val="0"/>
          <w:numId w:val="47"/>
        </w:numPr>
      </w:pPr>
      <w:proofErr w:type="spellStart"/>
      <w:r w:rsidRPr="00F83B25">
        <w:t>CarEdge</w:t>
      </w:r>
      <w:proofErr w:type="spellEnd"/>
      <w:r w:rsidRPr="00F83B25">
        <w:t xml:space="preserve">. (2024). The average price of an electric car in America (2024 update). </w:t>
      </w:r>
      <w:proofErr w:type="spellStart"/>
      <w:r w:rsidRPr="00F83B25">
        <w:t>CarEdge</w:t>
      </w:r>
      <w:proofErr w:type="spellEnd"/>
      <w:r w:rsidRPr="00F83B25">
        <w:t xml:space="preserve">. </w:t>
      </w:r>
      <w:hyperlink r:id="rId28" w:tgtFrame="_new" w:history="1">
        <w:r w:rsidRPr="00F83B25">
          <w:rPr>
            <w:rStyle w:val="Hyperlink"/>
          </w:rPr>
          <w:t>https://caredge.com/guides/average-price-of-an-electric-car-2024</w:t>
        </w:r>
      </w:hyperlink>
    </w:p>
    <w:p w14:paraId="55CA9655" w14:textId="37CCA81F" w:rsidR="002049F6" w:rsidRPr="00F83B25" w:rsidRDefault="002049F6" w:rsidP="00E67334">
      <w:pPr>
        <w:pStyle w:val="ListParagraph"/>
        <w:numPr>
          <w:ilvl w:val="0"/>
          <w:numId w:val="47"/>
        </w:numPr>
      </w:pPr>
      <w:r w:rsidRPr="00F83B25">
        <w:t xml:space="preserve">Cox Automotive (2025). </w:t>
      </w:r>
      <w:r w:rsidR="004A5B2F" w:rsidRPr="00F83B25">
        <w:t>Kelley Blue Book Report: New-Vehicle Average Transaction Price Hits Record High in September, Surges Past $50,000 for the First Time Ever. Retr</w:t>
      </w:r>
      <w:r w:rsidR="000B2621" w:rsidRPr="00F83B25">
        <w:t xml:space="preserve">ieved from </w:t>
      </w:r>
      <w:hyperlink r:id="rId29" w:history="1">
        <w:r w:rsidR="00F709FD" w:rsidRPr="00F83B25">
          <w:rPr>
            <w:rStyle w:val="Hyperlink"/>
          </w:rPr>
          <w:t>https://www.coxautoinc.com/insights-hub/sept-2025-atp-report/</w:t>
        </w:r>
      </w:hyperlink>
      <w:r w:rsidR="00F709FD" w:rsidRPr="00F83B25">
        <w:t xml:space="preserve">. </w:t>
      </w:r>
    </w:p>
    <w:p w14:paraId="237CF78D" w14:textId="77777777" w:rsidR="002606B9" w:rsidRPr="00F83B25" w:rsidRDefault="002606B9" w:rsidP="00E67334">
      <w:pPr>
        <w:pStyle w:val="ListParagraph"/>
        <w:numPr>
          <w:ilvl w:val="0"/>
          <w:numId w:val="47"/>
        </w:numPr>
      </w:pPr>
      <w:r w:rsidRPr="00F83B25">
        <w:t xml:space="preserve">Edmunds. (2024). Elevated auto loan rates hinder new and used car shoppers in Q1 2024, according to Edmunds. Retrieved December 5, 2024, from </w:t>
      </w:r>
      <w:hyperlink r:id="rId30" w:tgtFrame="_new" w:history="1">
        <w:r w:rsidRPr="00F83B25">
          <w:rPr>
            <w:rStyle w:val="Hyperlink"/>
          </w:rPr>
          <w:t>https://www.edmunds.com/industry/press/elevated-auto-loan-rates-hinder-new-and-used-car-shoppers-in-q1-2024-according-to-edmunds.html</w:t>
        </w:r>
      </w:hyperlink>
    </w:p>
    <w:p w14:paraId="66F4DA15" w14:textId="7B96FB37" w:rsidR="002606B9" w:rsidRPr="00F83B25" w:rsidRDefault="002606B9" w:rsidP="00E67334">
      <w:pPr>
        <w:pStyle w:val="ListParagraph"/>
        <w:numPr>
          <w:ilvl w:val="0"/>
          <w:numId w:val="47"/>
        </w:numPr>
      </w:pPr>
      <w:r w:rsidRPr="00F83B25">
        <w:t xml:space="preserve">Environmental Protection Agency. (2023). Inventory of U.S. greenhouse gas emissions and sinks: 1990-2021. United States Environmental Protection Agency. </w:t>
      </w:r>
      <w:hyperlink r:id="rId31" w:history="1">
        <w:r w:rsidRPr="00F83B25">
          <w:rPr>
            <w:rStyle w:val="Hyperlink"/>
          </w:rPr>
          <w:t>https://www.epa.gov/ghgemissions/inventory-us-greenhouse-gas-emissions-and-sinks</w:t>
        </w:r>
      </w:hyperlink>
      <w:r w:rsidRPr="00F83B25">
        <w:t xml:space="preserve"> </w:t>
      </w:r>
    </w:p>
    <w:p w14:paraId="1335A088" w14:textId="2F142973" w:rsidR="002606B9" w:rsidRPr="00F83B25" w:rsidRDefault="002606B9" w:rsidP="00E67334">
      <w:pPr>
        <w:pStyle w:val="ListParagraph"/>
        <w:numPr>
          <w:ilvl w:val="0"/>
          <w:numId w:val="47"/>
        </w:numPr>
      </w:pPr>
      <w:r w:rsidRPr="00F83B25">
        <w:lastRenderedPageBreak/>
        <w:t>Experian. (2024). More people are choosing to lease</w:t>
      </w:r>
      <w:r w:rsidR="00AC3C5A" w:rsidRPr="00F83B25">
        <w:t xml:space="preserve"> BEV</w:t>
      </w:r>
      <w:r w:rsidRPr="00F83B25">
        <w:t xml:space="preserve">s. Experian. Retrieved from </w:t>
      </w:r>
      <w:hyperlink r:id="rId32" w:tgtFrame="_new" w:history="1">
        <w:r w:rsidRPr="00F83B25">
          <w:rPr>
            <w:rStyle w:val="Hyperlink"/>
          </w:rPr>
          <w:t>https://www.experian.com/blogs/ask-experian/electric-vehicle-trends/</w:t>
        </w:r>
      </w:hyperlink>
    </w:p>
    <w:p w14:paraId="6EE94B4B" w14:textId="77012BE9" w:rsidR="002606B9" w:rsidRPr="00F83B25" w:rsidRDefault="002606B9" w:rsidP="00E67334">
      <w:pPr>
        <w:pStyle w:val="ListParagraph"/>
        <w:numPr>
          <w:ilvl w:val="0"/>
          <w:numId w:val="47"/>
        </w:numPr>
      </w:pPr>
      <w:r w:rsidRPr="00F83B25">
        <w:t xml:space="preserve">Fehr &amp; Peers. (2019). </w:t>
      </w:r>
      <w:r w:rsidRPr="00F83B25">
        <w:rPr>
          <w:rStyle w:val="Emphasis"/>
          <w:i w:val="0"/>
          <w:iCs w:val="0"/>
        </w:rPr>
        <w:t>Estimated TNC share of VMT in six US metropolitan regions</w:t>
      </w:r>
      <w:r w:rsidRPr="00F83B25">
        <w:t xml:space="preserve"> (Revision 1). Retrieved from </w:t>
      </w:r>
      <w:hyperlink r:id="rId33" w:history="1">
        <w:r w:rsidRPr="00F83B25">
          <w:rPr>
            <w:rStyle w:val="Hyperlink"/>
          </w:rPr>
          <w:t>https://issuu.com/fehrandpeers/docs/tnc_vmt_findings_memo_08.06.2019</w:t>
        </w:r>
      </w:hyperlink>
      <w:r w:rsidRPr="00F83B25">
        <w:t xml:space="preserve"> </w:t>
      </w:r>
    </w:p>
    <w:p w14:paraId="20A181AE" w14:textId="77777777" w:rsidR="002606B9" w:rsidRPr="00F83B25" w:rsidRDefault="002606B9" w:rsidP="00E67334">
      <w:pPr>
        <w:pStyle w:val="ListParagraph"/>
        <w:numPr>
          <w:ilvl w:val="0"/>
          <w:numId w:val="47"/>
        </w:numPr>
      </w:pPr>
      <w:r w:rsidRPr="00F83B25">
        <w:t xml:space="preserve">Fleming, K. L., &amp; Cohen D’Agostino, M. (2020). Policy pathways to TNC electrification in California [Issue paper]. UC Davis Policy Institute for Energy, Environment, and the Economy. </w:t>
      </w:r>
      <w:hyperlink r:id="rId34" w:tgtFrame="_new" w:history="1">
        <w:r w:rsidRPr="00F83B25">
          <w:rPr>
            <w:rStyle w:val="Hyperlink"/>
          </w:rPr>
          <w:t>https://escholarship.org/uc/item/9zx112v2</w:t>
        </w:r>
      </w:hyperlink>
    </w:p>
    <w:p w14:paraId="5D38190F" w14:textId="60A6DECC" w:rsidR="002606B9" w:rsidRPr="00F83B25" w:rsidRDefault="002606B9" w:rsidP="00E67334">
      <w:pPr>
        <w:pStyle w:val="ListParagraph"/>
        <w:numPr>
          <w:ilvl w:val="0"/>
          <w:numId w:val="47"/>
        </w:numPr>
      </w:pPr>
      <w:r w:rsidRPr="00F83B25">
        <w:rPr>
          <w:lang w:val="da-DK"/>
        </w:rPr>
        <w:t xml:space="preserve">Garner, T. I., Phipps, S., &amp; Sierminska, E. (2020). </w:t>
      </w:r>
      <w:r w:rsidRPr="00F83B25">
        <w:t>Differences across place and time in household expenditure patterns: Implications for the estimation of equivalence scales. U.S. Bureau of Labor Statistics.</w:t>
      </w:r>
      <w:r w:rsidRPr="00F83B25">
        <w:rPr>
          <w:rFonts w:ascii="Arial" w:hAnsi="Arial" w:cs="Arial"/>
        </w:rPr>
        <w:t>​</w:t>
      </w:r>
      <w:r w:rsidRPr="00F83B25">
        <w:t xml:space="preserve"> </w:t>
      </w:r>
      <w:hyperlink r:id="rId35" w:history="1">
        <w:r w:rsidRPr="00F83B25">
          <w:rPr>
            <w:rStyle w:val="Hyperlink"/>
          </w:rPr>
          <w:t>https://www.bls.gov/osmr/research-papers/2020/pdf/ec200010.pdf</w:t>
        </w:r>
      </w:hyperlink>
      <w:r w:rsidRPr="00F83B25">
        <w:t xml:space="preserve"> </w:t>
      </w:r>
    </w:p>
    <w:p w14:paraId="115225A2" w14:textId="6E5DA345" w:rsidR="002606B9" w:rsidRPr="00F83B25" w:rsidRDefault="002606B9" w:rsidP="00E67334">
      <w:pPr>
        <w:pStyle w:val="ListParagraph"/>
        <w:numPr>
          <w:ilvl w:val="0"/>
          <w:numId w:val="47"/>
        </w:numPr>
      </w:pPr>
      <w:r w:rsidRPr="00F83B25">
        <w:t xml:space="preserve">GB Times. (2024, July 13). How does the surge work on Uber? GB Times. </w:t>
      </w:r>
      <w:hyperlink r:id="rId36" w:history="1">
        <w:r w:rsidRPr="00F83B25">
          <w:rPr>
            <w:rStyle w:val="Hyperlink"/>
          </w:rPr>
          <w:t>https://gbtimes.com/how-does-the-surge-work-on-uber/</w:t>
        </w:r>
      </w:hyperlink>
    </w:p>
    <w:p w14:paraId="4DBF83BA" w14:textId="2C851BF6" w:rsidR="002606B9" w:rsidRPr="00F83B25" w:rsidRDefault="002606B9" w:rsidP="00E67334">
      <w:pPr>
        <w:pStyle w:val="ListParagraph"/>
        <w:numPr>
          <w:ilvl w:val="0"/>
          <w:numId w:val="47"/>
        </w:numPr>
      </w:pPr>
      <w:r w:rsidRPr="00F83B25">
        <w:t xml:space="preserve">Hardman, S., Fleming, K. L., &amp; Khare, E. (2021). A perspective on equity in the transition to electric vehicles. MIT Science Policy Review. </w:t>
      </w:r>
      <w:hyperlink r:id="rId37">
        <w:r w:rsidRPr="00F83B25">
          <w:rPr>
            <w:rStyle w:val="Hyperlink"/>
          </w:rPr>
          <w:t>https://sciencepolicyreview.org/2021/08/equity-transition-electric-vehicles/</w:t>
        </w:r>
      </w:hyperlink>
      <w:r w:rsidRPr="00F83B25">
        <w:t xml:space="preserve"> </w:t>
      </w:r>
    </w:p>
    <w:p w14:paraId="08A6D825" w14:textId="0433F624" w:rsidR="002606B9" w:rsidRPr="006A4B43" w:rsidRDefault="002606B9" w:rsidP="00E67334">
      <w:pPr>
        <w:pStyle w:val="ListParagraph"/>
        <w:numPr>
          <w:ilvl w:val="0"/>
          <w:numId w:val="47"/>
        </w:numPr>
        <w:rPr>
          <w:lang w:val="it-IT"/>
        </w:rPr>
      </w:pPr>
      <w:r w:rsidRPr="00F83B25">
        <w:t xml:space="preserve">International Energy Agency. (2023). Net Zero Roadmap: A Global Pathway to Keep the 1.5 °C Goal in Reach. </w:t>
      </w:r>
      <w:r w:rsidRPr="00F83B25">
        <w:rPr>
          <w:lang w:val="it-IT"/>
        </w:rPr>
        <w:t xml:space="preserve">IEA. </w:t>
      </w:r>
      <w:hyperlink r:id="rId38" w:history="1">
        <w:r w:rsidR="00A24D66" w:rsidRPr="006A4B43">
          <w:rPr>
            <w:rStyle w:val="Hyperlink"/>
            <w:lang w:val="it-IT"/>
          </w:rPr>
          <w:t>https://www.iea.org/reports/net-zero-roadmap-a-global-pathway-to-keep-the-15-0c-goal-in-reach</w:t>
        </w:r>
      </w:hyperlink>
    </w:p>
    <w:p w14:paraId="453475C9" w14:textId="77777777" w:rsidR="002606B9" w:rsidRPr="00F83B25" w:rsidRDefault="002606B9" w:rsidP="00E67334">
      <w:pPr>
        <w:pStyle w:val="ListParagraph"/>
        <w:numPr>
          <w:ilvl w:val="0"/>
          <w:numId w:val="47"/>
        </w:numPr>
      </w:pPr>
      <w:r w:rsidRPr="00F83B25">
        <w:rPr>
          <w:lang w:val="it-IT"/>
        </w:rPr>
        <w:t xml:space="preserve">Lazer, L., Li, S., Marra, A. D., &amp; Cseh, J. (2021). </w:t>
      </w:r>
      <w:r w:rsidRPr="00F83B25">
        <w:t xml:space="preserve">Electrifying ride-hailing in the United States, Europe, and Canada: How to enable ride-hailing drivers to switch to electric vehicles. ResearchGate. </w:t>
      </w:r>
      <w:hyperlink r:id="rId39" w:tgtFrame="_new" w:history="1">
        <w:r w:rsidRPr="00F83B25">
          <w:rPr>
            <w:rStyle w:val="Hyperlink"/>
          </w:rPr>
          <w:t>https://www.researchgate.net/publication/356120867_Electrifying_Ride-Hailing_in_the_United_States_Europe_and_Canada_How_to_Enable_Ride-Hailing_Drivers_to_Switch_to_Electric_Vehicles</w:t>
        </w:r>
      </w:hyperlink>
    </w:p>
    <w:p w14:paraId="1F93B279" w14:textId="702ADD9E" w:rsidR="00A00054" w:rsidRPr="00F83B25" w:rsidRDefault="00A00054" w:rsidP="00E67334">
      <w:pPr>
        <w:pStyle w:val="ListParagraph"/>
        <w:numPr>
          <w:ilvl w:val="0"/>
          <w:numId w:val="47"/>
        </w:numPr>
      </w:pPr>
      <w:r w:rsidRPr="00F83B25">
        <w:t>Lyft. (202</w:t>
      </w:r>
      <w:r w:rsidR="00B85DD1" w:rsidRPr="00F83B25">
        <w:t>5</w:t>
      </w:r>
      <w:r w:rsidRPr="00F83B25">
        <w:t xml:space="preserve">). Lyft electric vehicles hit 1 million electric miles. Lyft Blog. </w:t>
      </w:r>
      <w:hyperlink r:id="rId40" w:tgtFrame="_new" w:history="1">
        <w:r w:rsidRPr="00F83B25">
          <w:rPr>
            <w:rStyle w:val="Hyperlink"/>
          </w:rPr>
          <w:t>https://www.lyft.com/blog/posts/lyft-electric-vehicle-million-miles</w:t>
        </w:r>
      </w:hyperlink>
    </w:p>
    <w:p w14:paraId="2D18480A" w14:textId="3FE0911A" w:rsidR="002606B9" w:rsidRPr="00F83B25" w:rsidRDefault="002606B9" w:rsidP="00E67334">
      <w:pPr>
        <w:pStyle w:val="ListParagraph"/>
        <w:numPr>
          <w:ilvl w:val="0"/>
          <w:numId w:val="47"/>
        </w:numPr>
      </w:pPr>
      <w:r w:rsidRPr="00F83B25">
        <w:t>Reich, M. (2020). “Pay, Passengers and Profits: Effects of Employee Status for California TNC Drivers.” IRLE Working Paper No. 107-20. http://irle.berkeley.edu/files/2020/10/Pay-Passengers-and-Profits.pdf</w:t>
      </w:r>
    </w:p>
    <w:p w14:paraId="2470153B" w14:textId="77777777" w:rsidR="002606B9" w:rsidRPr="00F83B25" w:rsidRDefault="002606B9" w:rsidP="00E67334">
      <w:pPr>
        <w:pStyle w:val="ListParagraph"/>
        <w:numPr>
          <w:ilvl w:val="0"/>
          <w:numId w:val="47"/>
        </w:numPr>
        <w:rPr>
          <w:lang w:val="it-IT"/>
        </w:rPr>
      </w:pPr>
      <w:r w:rsidRPr="00F83B25">
        <w:t xml:space="preserve">San Francisco County Transportation Authority. (2017). TNCs Today: A profile of San Francisco transportation network company activity. </w:t>
      </w:r>
      <w:r w:rsidRPr="00F83B25">
        <w:rPr>
          <w:lang w:val="it-IT"/>
        </w:rPr>
        <w:t xml:space="preserve">SFCTA. </w:t>
      </w:r>
      <w:hyperlink r:id="rId41" w:history="1">
        <w:r w:rsidRPr="00F83B25">
          <w:rPr>
            <w:rStyle w:val="Hyperlink"/>
            <w:lang w:val="it-IT"/>
          </w:rPr>
          <w:t>https://www.sfcta.org/projects/tncs-today</w:t>
        </w:r>
      </w:hyperlink>
    </w:p>
    <w:p w14:paraId="13E65C3E" w14:textId="076D82F4" w:rsidR="003276E2" w:rsidRPr="00F83B25" w:rsidRDefault="003276E2" w:rsidP="00E67334">
      <w:pPr>
        <w:pStyle w:val="ListParagraph"/>
        <w:numPr>
          <w:ilvl w:val="0"/>
          <w:numId w:val="47"/>
        </w:numPr>
      </w:pPr>
      <w:r w:rsidRPr="00F83B25">
        <w:rPr>
          <w:shd w:val="clear" w:color="auto" w:fill="FFFFFF"/>
        </w:rPr>
        <w:t xml:space="preserve">Shaheen, S., Martin, E., &amp; Ju, M. (2025). Acquiring and Operating an Electric Vehicle is Largely Out of Reach for Most </w:t>
      </w:r>
      <w:proofErr w:type="spellStart"/>
      <w:r w:rsidRPr="00F83B25">
        <w:rPr>
          <w:shd w:val="clear" w:color="auto" w:fill="FFFFFF"/>
        </w:rPr>
        <w:t>Ridehailing</w:t>
      </w:r>
      <w:proofErr w:type="spellEnd"/>
      <w:r w:rsidRPr="00F83B25">
        <w:rPr>
          <w:shd w:val="clear" w:color="auto" w:fill="FFFFFF"/>
        </w:rPr>
        <w:t xml:space="preserve"> Drivers. UC Office of the President: University of California Institute of Transportation Studies. http://dx.doi.org/10.7922/G2NG4P0T Retrieved from </w:t>
      </w:r>
      <w:hyperlink r:id="rId42" w:history="1">
        <w:r w:rsidRPr="001C1AAE">
          <w:rPr>
            <w:rStyle w:val="Hyperlink"/>
            <w:shd w:val="clear" w:color="auto" w:fill="FFFFFF"/>
          </w:rPr>
          <w:t>https://escholarship.org/uc/item/4rf2191v</w:t>
        </w:r>
      </w:hyperlink>
    </w:p>
    <w:p w14:paraId="54BCA1DD" w14:textId="1258CFF6" w:rsidR="006025AD" w:rsidRDefault="006025AD" w:rsidP="00E67334">
      <w:pPr>
        <w:pStyle w:val="ListParagraph"/>
        <w:numPr>
          <w:ilvl w:val="0"/>
          <w:numId w:val="47"/>
        </w:numPr>
      </w:pPr>
      <w:r w:rsidRPr="00F83B25">
        <w:t xml:space="preserve">SoFi. (2024). Average car loan interest rate by credit score: What to expect in 2024. </w:t>
      </w:r>
      <w:hyperlink r:id="rId43" w:tgtFrame="_new" w:history="1">
        <w:r w:rsidRPr="00F83B25">
          <w:rPr>
            <w:rStyle w:val="Hyperlink"/>
          </w:rPr>
          <w:t>https://www.sofi.com/learn/content/average-car-loan-interest-rate-by-credit-score/</w:t>
        </w:r>
      </w:hyperlink>
    </w:p>
    <w:p w14:paraId="4429E696" w14:textId="6FD56134" w:rsidR="000B32C0" w:rsidRPr="00F83B25" w:rsidRDefault="005862E9" w:rsidP="00E67334">
      <w:pPr>
        <w:pStyle w:val="ListParagraph"/>
        <w:numPr>
          <w:ilvl w:val="0"/>
          <w:numId w:val="47"/>
        </w:numPr>
      </w:pPr>
      <w:r w:rsidRPr="005862E9">
        <w:t xml:space="preserve">Stable Auto. (2025). Electric vehicle </w:t>
      </w:r>
      <w:proofErr w:type="gramStart"/>
      <w:r w:rsidRPr="005862E9">
        <w:t>charger</w:t>
      </w:r>
      <w:proofErr w:type="gramEnd"/>
      <w:r w:rsidRPr="005862E9">
        <w:t xml:space="preserve"> price by state. </w:t>
      </w:r>
      <w:hyperlink r:id="rId44" w:tgtFrame="_new" w:history="1">
        <w:r w:rsidRPr="005862E9">
          <w:rPr>
            <w:rStyle w:val="Hyperlink"/>
          </w:rPr>
          <w:t>https://stable.auto/insights/electric-vehicle-charger-price-by-state</w:t>
        </w:r>
      </w:hyperlink>
    </w:p>
    <w:p w14:paraId="2E8CB273" w14:textId="52E77B49" w:rsidR="002606B9" w:rsidRPr="00F83B25" w:rsidRDefault="001F1862" w:rsidP="00E67334">
      <w:pPr>
        <w:pStyle w:val="ListParagraph"/>
        <w:numPr>
          <w:ilvl w:val="0"/>
          <w:numId w:val="47"/>
        </w:numPr>
      </w:pPr>
      <w:r w:rsidRPr="00F83B25">
        <w:t>Gogol</w:t>
      </w:r>
      <w:r w:rsidR="00F32878" w:rsidRPr="00F83B25">
        <w:t>, F.</w:t>
      </w:r>
      <w:r w:rsidR="002606B9" w:rsidRPr="00F83B25">
        <w:t xml:space="preserve"> (2024</w:t>
      </w:r>
      <w:r w:rsidR="00F32878" w:rsidRPr="00F83B25">
        <w:t>).</w:t>
      </w:r>
      <w:r w:rsidR="002606B9" w:rsidRPr="00F83B25">
        <w:t xml:space="preserve"> </w:t>
      </w:r>
      <w:r w:rsidR="002606B9" w:rsidRPr="00F83B25">
        <w:rPr>
          <w:rStyle w:val="Emphasis"/>
          <w:i w:val="0"/>
          <w:iCs w:val="0"/>
        </w:rPr>
        <w:t>How much does Uber pay?</w:t>
      </w:r>
      <w:r w:rsidR="002606B9" w:rsidRPr="00F83B25">
        <w:t xml:space="preserve"> Stilt. </w:t>
      </w:r>
      <w:hyperlink r:id="rId45" w:tgtFrame="_new" w:history="1">
        <w:r w:rsidR="00F32878" w:rsidRPr="00F83B25">
          <w:rPr>
            <w:rStyle w:val="Hyperlink"/>
          </w:rPr>
          <w:t>https://stilt.com/careers/how-much-does-uber-pay/</w:t>
        </w:r>
      </w:hyperlink>
    </w:p>
    <w:p w14:paraId="2656DEF8" w14:textId="77777777" w:rsidR="002606B9" w:rsidRPr="00F83B25" w:rsidRDefault="002606B9" w:rsidP="00E67334">
      <w:pPr>
        <w:pStyle w:val="ListParagraph"/>
        <w:numPr>
          <w:ilvl w:val="0"/>
          <w:numId w:val="47"/>
        </w:numPr>
      </w:pPr>
      <w:r w:rsidRPr="00F83B25">
        <w:t xml:space="preserve">The Rideshare Guy. (2024). How much do Uber drivers make? The Rideshare Guy. Retrieved from </w:t>
      </w:r>
      <w:hyperlink r:id="rId46" w:history="1">
        <w:r w:rsidRPr="00F83B25">
          <w:rPr>
            <w:rStyle w:val="Hyperlink"/>
          </w:rPr>
          <w:t>https://therideshareguy.com/how-much-do-uber-drivers-make/</w:t>
        </w:r>
      </w:hyperlink>
      <w:r w:rsidRPr="00F83B25">
        <w:t xml:space="preserve"> </w:t>
      </w:r>
    </w:p>
    <w:p w14:paraId="4383EE8D" w14:textId="77777777" w:rsidR="002606B9" w:rsidRPr="00F83B25" w:rsidRDefault="002606B9" w:rsidP="00E67334">
      <w:pPr>
        <w:pStyle w:val="ListParagraph"/>
        <w:numPr>
          <w:ilvl w:val="0"/>
          <w:numId w:val="47"/>
        </w:numPr>
      </w:pPr>
      <w:r w:rsidRPr="00F83B25">
        <w:t xml:space="preserve">Timmons, M. (2024). How much does electric car insurance cost? </w:t>
      </w:r>
      <w:proofErr w:type="spellStart"/>
      <w:r w:rsidRPr="00F83B25">
        <w:t>ValuePenguin</w:t>
      </w:r>
      <w:proofErr w:type="spellEnd"/>
      <w:r w:rsidRPr="00F83B25">
        <w:t xml:space="preserve">. Retrieved December 5, 2024, from </w:t>
      </w:r>
      <w:hyperlink r:id="rId47" w:tgtFrame="_new" w:history="1">
        <w:r w:rsidRPr="00F83B25">
          <w:rPr>
            <w:rStyle w:val="Hyperlink"/>
          </w:rPr>
          <w:t>https://www.valuepenguin.com/how-having-electric-car-affects-your-auto-insurance-rates</w:t>
        </w:r>
      </w:hyperlink>
    </w:p>
    <w:p w14:paraId="092F2908" w14:textId="78D06BD2" w:rsidR="00B520BF" w:rsidRPr="00F83B25" w:rsidRDefault="00B520BF" w:rsidP="005B40E2">
      <w:pPr>
        <w:pStyle w:val="NormalWeb"/>
        <w:numPr>
          <w:ilvl w:val="0"/>
          <w:numId w:val="47"/>
        </w:numPr>
        <w:rPr>
          <w:rFonts w:ascii="Calibri" w:hAnsi="Calibri" w:cs="Calibri"/>
        </w:rPr>
      </w:pPr>
      <w:r w:rsidRPr="00F83B25">
        <w:rPr>
          <w:rStyle w:val="Strong"/>
          <w:rFonts w:ascii="Calibri" w:hAnsi="Calibri" w:cs="Calibri"/>
          <w:b w:val="0"/>
          <w:bCs w:val="0"/>
        </w:rPr>
        <w:t>Uber. (2025).</w:t>
      </w:r>
      <w:r w:rsidRPr="00F83B25">
        <w:rPr>
          <w:rFonts w:ascii="Calibri" w:hAnsi="Calibri" w:cs="Calibri"/>
        </w:rPr>
        <w:t xml:space="preserve"> </w:t>
      </w:r>
      <w:r w:rsidRPr="00F83B25">
        <w:rPr>
          <w:rStyle w:val="Emphasis"/>
          <w:rFonts w:ascii="Calibri" w:hAnsi="Calibri" w:cs="Calibri"/>
          <w:i w:val="0"/>
          <w:iCs w:val="0"/>
        </w:rPr>
        <w:t xml:space="preserve">Say hello to Uber Electric </w:t>
      </w:r>
      <w:r w:rsidRPr="00F83B25">
        <w:rPr>
          <w:rStyle w:val="Emphasis"/>
          <w:rFonts w:ascii="Segoe UI Emoji" w:hAnsi="Segoe UI Emoji" w:cs="Segoe UI Emoji"/>
          <w:i w:val="0"/>
          <w:iCs w:val="0"/>
        </w:rPr>
        <w:t>⚡</w:t>
      </w:r>
      <w:r w:rsidRPr="00F83B25">
        <w:rPr>
          <w:rFonts w:ascii="Calibri" w:hAnsi="Calibri" w:cs="Calibri"/>
        </w:rPr>
        <w:t xml:space="preserve"> Uber Newsroom. </w:t>
      </w:r>
      <w:hyperlink r:id="rId48" w:tgtFrame="_new" w:history="1">
        <w:r w:rsidRPr="00F83B25">
          <w:rPr>
            <w:rStyle w:val="Hyperlink"/>
            <w:rFonts w:ascii="Calibri" w:hAnsi="Calibri" w:cs="Calibri"/>
          </w:rPr>
          <w:t>https://www.uber.com/newsroom/uber-electric/</w:t>
        </w:r>
      </w:hyperlink>
      <w:r w:rsidRPr="00F83B25">
        <w:rPr>
          <w:rFonts w:ascii="Calibri" w:hAnsi="Calibri" w:cs="Calibri"/>
        </w:rPr>
        <w:t xml:space="preserve"> </w:t>
      </w:r>
      <w:hyperlink r:id="rId49" w:tgtFrame="_blank" w:history="1">
        <w:r w:rsidRPr="00F83B25">
          <w:rPr>
            <w:rStyle w:val="max-w-15ch"/>
            <w:rFonts w:ascii="Calibri" w:hAnsi="Calibri" w:cs="Calibri"/>
            <w:color w:val="0000FF"/>
            <w:u w:val="single"/>
          </w:rPr>
          <w:t>Uber</w:t>
        </w:r>
      </w:hyperlink>
    </w:p>
    <w:p w14:paraId="2B203574" w14:textId="77777777" w:rsidR="00B520BF" w:rsidRPr="00F83B25" w:rsidRDefault="00B520BF" w:rsidP="00F83B25">
      <w:pPr>
        <w:pStyle w:val="ListParagraph"/>
      </w:pPr>
    </w:p>
    <w:p w14:paraId="7F6DA807" w14:textId="77777777" w:rsidR="002606B9" w:rsidRPr="00F83B25" w:rsidRDefault="002606B9" w:rsidP="00E67334">
      <w:pPr>
        <w:pStyle w:val="ListParagraph"/>
        <w:numPr>
          <w:ilvl w:val="0"/>
          <w:numId w:val="47"/>
        </w:numPr>
        <w:rPr>
          <w:rStyle w:val="Hyperlink"/>
          <w:color w:val="auto"/>
          <w:u w:val="none"/>
        </w:rPr>
      </w:pPr>
      <w:r w:rsidRPr="00F83B25">
        <w:t xml:space="preserve">U.S. Department of Energy. (2024). Find and compare cars. Retrieved from </w:t>
      </w:r>
      <w:hyperlink r:id="rId50" w:history="1">
        <w:r w:rsidRPr="00F83B25">
          <w:rPr>
            <w:rStyle w:val="Hyperlink"/>
          </w:rPr>
          <w:t>https://www.fueleconomy.gov/feg/findacar.shtml</w:t>
        </w:r>
      </w:hyperlink>
      <w:r w:rsidRPr="00F83B25">
        <w:t xml:space="preserve"> </w:t>
      </w:r>
    </w:p>
    <w:p w14:paraId="6137DD98" w14:textId="415A84DA" w:rsidR="002606B9" w:rsidRPr="00F83B25" w:rsidRDefault="002606B9" w:rsidP="00E67334">
      <w:pPr>
        <w:pStyle w:val="ListParagraph"/>
        <w:numPr>
          <w:ilvl w:val="0"/>
          <w:numId w:val="47"/>
        </w:numPr>
      </w:pPr>
      <w:r w:rsidRPr="00F83B25">
        <w:t>U.S. News. (2024). Electric car charging costs: How much does it cost to charge an</w:t>
      </w:r>
      <w:r w:rsidR="00AC3C5A" w:rsidRPr="00F83B25">
        <w:t xml:space="preserve"> </w:t>
      </w:r>
      <w:r w:rsidR="00F2109E">
        <w:t>electric car</w:t>
      </w:r>
      <w:r w:rsidRPr="00F83B25">
        <w:t xml:space="preserve">? Retrieved from </w:t>
      </w:r>
      <w:hyperlink r:id="rId51" w:history="1">
        <w:r w:rsidRPr="00F83B25">
          <w:rPr>
            <w:rStyle w:val="Hyperlink"/>
          </w:rPr>
          <w:t>https://cars.usnews.com/cars-trucks/advice/electric-car-charging-costs</w:t>
        </w:r>
      </w:hyperlink>
      <w:r w:rsidRPr="00F83B25">
        <w:t xml:space="preserve"> </w:t>
      </w:r>
    </w:p>
    <w:p w14:paraId="3A7B4A20" w14:textId="77777777" w:rsidR="002606B9" w:rsidRPr="00F83B25" w:rsidRDefault="002606B9" w:rsidP="00E67334">
      <w:pPr>
        <w:pStyle w:val="ListParagraph"/>
        <w:numPr>
          <w:ilvl w:val="0"/>
          <w:numId w:val="47"/>
        </w:numPr>
      </w:pPr>
      <w:r w:rsidRPr="00F83B25">
        <w:t xml:space="preserve">Waheed, S., Herrera, L., Gonzalez-Vasquez, A. L., Shadduck-Hernández, J., Koonse, T., &amp; Leynov, D. (2018). More than a gig: A survey of ride-hailing drivers in Los Angeles. UCLA Institute for Research on Labor and Employment. </w:t>
      </w:r>
      <w:hyperlink r:id="rId52" w:tgtFrame="_new" w:history="1">
        <w:r w:rsidRPr="00F83B25">
          <w:rPr>
            <w:rStyle w:val="Hyperlink"/>
          </w:rPr>
          <w:t>https://irle.ucla.edu/wp-content/uploads/2018/05/Final-Report.-UCLA-More-than-a-Gig.pdf</w:t>
        </w:r>
      </w:hyperlink>
    </w:p>
    <w:p w14:paraId="49C5CA4A" w14:textId="15C3C0E3" w:rsidR="002606B9" w:rsidRPr="00F83B25" w:rsidRDefault="002606B9" w:rsidP="00E67334">
      <w:pPr>
        <w:pStyle w:val="ListParagraph"/>
        <w:numPr>
          <w:ilvl w:val="0"/>
          <w:numId w:val="47"/>
        </w:numPr>
      </w:pPr>
      <w:r w:rsidRPr="00F83B25">
        <w:t xml:space="preserve">Wenzel, T. P. (2024). Net change in energy use from </w:t>
      </w:r>
      <w:proofErr w:type="spellStart"/>
      <w:r w:rsidRPr="00F83B25">
        <w:t>ridehail</w:t>
      </w:r>
      <w:proofErr w:type="spellEnd"/>
      <w:r w:rsidRPr="00F83B25">
        <w:t xml:space="preserve"> services in five California regions. Future Transportation, 4(3), 891–918. </w:t>
      </w:r>
      <w:hyperlink r:id="rId53" w:history="1">
        <w:r w:rsidR="00F75679" w:rsidRPr="00F83B25">
          <w:rPr>
            <w:rStyle w:val="Hyperlink"/>
          </w:rPr>
          <w:t>https://doi.org/10.3390/futuretransp4030043</w:t>
        </w:r>
      </w:hyperlink>
    </w:p>
    <w:p w14:paraId="0C767032" w14:textId="770E4BC4" w:rsidR="00F75679" w:rsidRPr="00B36C5A" w:rsidRDefault="00F75679" w:rsidP="003A2353"/>
    <w:p w14:paraId="3A34D7DE" w14:textId="77F222F9" w:rsidR="00C36E17" w:rsidRPr="000F4334" w:rsidRDefault="00C36E17" w:rsidP="004D2562">
      <w:pPr>
        <w:pStyle w:val="Heading1"/>
      </w:pPr>
      <w:bookmarkStart w:id="10" w:name="_Ref185933354"/>
      <w:r w:rsidRPr="000F4334">
        <w:t>Appendix A</w:t>
      </w:r>
      <w:bookmarkEnd w:id="10"/>
    </w:p>
    <w:p w14:paraId="2F179197" w14:textId="4AD6F9CB" w:rsidR="003E26AF" w:rsidRPr="000F4334" w:rsidRDefault="003E26AF" w:rsidP="008E0DFF">
      <w:pPr>
        <w:pStyle w:val="Heading2"/>
      </w:pPr>
      <w:r w:rsidRPr="000F4334">
        <w:t>Findings on TNC Drivers from the CVRP Consumer Survey (2020-2023)</w:t>
      </w:r>
    </w:p>
    <w:p w14:paraId="36392140" w14:textId="77777777" w:rsidR="003E26AF" w:rsidRPr="006C5DDB" w:rsidRDefault="003E26AF" w:rsidP="003A2353">
      <w:r w:rsidRPr="00355619">
        <w:t>The Clean Vehicle Rebate Project (CVRP), administered by the California Air Resources Board (CARB), provided financial incentives to promote the adoption of zero-emission vehicles (ZEVs) among California residents</w:t>
      </w:r>
      <w:r>
        <w:t xml:space="preserve"> from 2010 to 2023</w:t>
      </w:r>
      <w:r w:rsidRPr="006C5DDB">
        <w:t xml:space="preserve">. In 2016, CVRP increased rebate </w:t>
      </w:r>
      <w:r>
        <w:t>amounts</w:t>
      </w:r>
      <w:r w:rsidRPr="006C5DDB">
        <w:t xml:space="preserve"> for low- and moderate-income consumers and established income eligibility caps to make clean vehicles more accessible</w:t>
      </w:r>
      <w:r>
        <w:t xml:space="preserve"> to lower-income consumers, thus concentrating state resources among California new-car shoppers of more moderate financial means</w:t>
      </w:r>
      <w:r w:rsidRPr="006C5DDB">
        <w:t xml:space="preserve"> (CARB, 2016).</w:t>
      </w:r>
    </w:p>
    <w:p w14:paraId="48BD7475" w14:textId="3439C274" w:rsidR="003E26AF" w:rsidRPr="00355619" w:rsidRDefault="003E26AF" w:rsidP="003A2353">
      <w:r w:rsidRPr="6866EEE8">
        <w:t xml:space="preserve">To better understand program participation, as well as to assess the program’s impact and increase understanding of participant perceptions, motivations, and car-buying experience, CVRP conducted surveys among rebate recipients. </w:t>
      </w:r>
      <w:r w:rsidRPr="00BA1930">
        <w:t>The 2020–2023 CVRP Consumer Survey edition analyzed here covered participants who purchased their vehicles between December 1, 2020, and July 31, 2023,</w:t>
      </w:r>
      <w:r w:rsidRPr="6866EEE8">
        <w:t xml:space="preserve"> and included questions on vehicle use, including TNC driving. These data offer valuable insights into TNC-related characteristics associated with ZEV adoption, as outlined below.</w:t>
      </w:r>
    </w:p>
    <w:p w14:paraId="27298F09" w14:textId="48A785FF" w:rsidR="003E26AF" w:rsidRPr="00980A5D" w:rsidRDefault="003E26AF" w:rsidP="003A2353">
      <w:r w:rsidRPr="00355619">
        <w:t xml:space="preserve">To better represent the full population of </w:t>
      </w:r>
      <w:r w:rsidRPr="000F4334">
        <w:t xml:space="preserve">all nonfleet </w:t>
      </w:r>
      <w:r w:rsidRPr="00980A5D">
        <w:t>CVRP rebate recipients, all percentages reported in this section are weighted based on vehicle model, technology type, county, and purchase/lease status.</w:t>
      </w:r>
    </w:p>
    <w:p w14:paraId="006120A5" w14:textId="77777777" w:rsidR="003E26AF" w:rsidRPr="00FF2747" w:rsidRDefault="003E26AF" w:rsidP="003A2353">
      <w:pPr>
        <w:pStyle w:val="Heading3"/>
      </w:pPr>
      <w:r w:rsidRPr="00FF2747">
        <w:t>TNC Driver Participation and Demographics</w:t>
      </w:r>
    </w:p>
    <w:p w14:paraId="292DFB49" w14:textId="26E5B096" w:rsidR="003E26AF" w:rsidRPr="00FF2747" w:rsidRDefault="003E26AF" w:rsidP="003A2353">
      <w:r w:rsidRPr="00FF2747">
        <w:t>Among the 25,052 survey respondents</w:t>
      </w:r>
      <w:r w:rsidRPr="008C0E88">
        <w:t>, 610 individuals—or 2.4%—</w:t>
      </w:r>
      <w:r w:rsidRPr="00FF2747">
        <w:t>reported using their CVRP-rebated vehicle for TNC driving. Of these participants, the largest share resided in Los Angeles County (29%), followed by Orange County (18%) and San Diego County (8%).</w:t>
      </w:r>
    </w:p>
    <w:p w14:paraId="640DF2D7" w14:textId="77777777" w:rsidR="003E26AF" w:rsidRPr="00FF2747" w:rsidRDefault="003E26AF" w:rsidP="003A2353">
      <w:r w:rsidRPr="00FF2747">
        <w:t>The most frequently reported household size among TNC-driving participants was four people, and the most common household income range was $50,000 to $74,999. Regarding housing status, 61% of TNC drivers reported owning their homes, while 39% indicated they rent.</w:t>
      </w:r>
    </w:p>
    <w:p w14:paraId="062A09BC" w14:textId="77777777" w:rsidR="003E26AF" w:rsidRPr="00FF2747" w:rsidRDefault="003E26AF" w:rsidP="003A2353">
      <w:pPr>
        <w:pStyle w:val="Heading3"/>
      </w:pPr>
      <w:r w:rsidRPr="00FF2747">
        <w:t>Rebate Distribution and Vehicle Preferences</w:t>
      </w:r>
    </w:p>
    <w:p w14:paraId="15C42CCB" w14:textId="54B4392A" w:rsidR="003E26AF" w:rsidRPr="00C46642" w:rsidRDefault="003E26AF" w:rsidP="003E26AF">
      <w:r w:rsidRPr="00FF2747">
        <w:t xml:space="preserve">Among TNC drivers in the CVRP survey dataset, </w:t>
      </w:r>
      <w:r w:rsidRPr="008C0E88">
        <w:t>approximately 51% received the Increased Rebate designed for low- to moderate-income households</w:t>
      </w:r>
      <w:r w:rsidRPr="00FF2747">
        <w:t xml:space="preserve">, while 49% received the Standard Rebate. In contrast, among non-TNC participants, 26% received the Increased Rebate and 74% received the Standard Rebate. </w:t>
      </w:r>
      <w:r w:rsidRPr="00C46642">
        <w:t xml:space="preserve">In terms of vehicle </w:t>
      </w:r>
      <w:r w:rsidRPr="00C46642">
        <w:lastRenderedPageBreak/>
        <w:t>preference, the Tesla Model 3 emerged as the most rebated vehicle, accounting for 36% of weighted responses. It was followed closely by the Tesla Model Y at 34% and the Toyota Mirai Fuel Cell Vehicle at 4%.</w:t>
      </w:r>
    </w:p>
    <w:p w14:paraId="21F723C4" w14:textId="2101F5D3" w:rsidR="003E26AF" w:rsidRDefault="003E26AF" w:rsidP="003A2353">
      <w:pPr>
        <w:pStyle w:val="Heading3"/>
      </w:pPr>
      <w:r w:rsidRPr="00FF2747">
        <w:t>Charging Preferences</w:t>
      </w:r>
    </w:p>
    <w:p w14:paraId="2123DCA3" w14:textId="29748F5E" w:rsidR="003E26AF" w:rsidRPr="00C46642" w:rsidRDefault="003E26AF" w:rsidP="003E26AF">
      <w:r w:rsidRPr="008C0E88">
        <w:t>Access to reliable home charging remains a central concern and barrier for many potential</w:t>
      </w:r>
      <w:r w:rsidR="00AC3C5A">
        <w:t xml:space="preserve"> BEV</w:t>
      </w:r>
      <w:r w:rsidRPr="008C0E88">
        <w:t xml:space="preserve"> adopters</w:t>
      </w:r>
      <w:r>
        <w:t xml:space="preserve">. </w:t>
      </w:r>
      <w:r>
        <w:fldChar w:fldCharType="begin"/>
      </w:r>
      <w:r>
        <w:instrText xml:space="preserve"> REF _Ref195777889 \h </w:instrText>
      </w:r>
      <w:r w:rsidR="0082759B">
        <w:instrText xml:space="preserve"> \* MERGEFORMAT </w:instrText>
      </w:r>
      <w:r>
        <w:fldChar w:fldCharType="separate"/>
      </w:r>
      <w:r w:rsidR="003E5E9B" w:rsidRPr="003E5E9B">
        <w:t xml:space="preserve">Table </w:t>
      </w:r>
      <w:r>
        <w:fldChar w:fldCharType="end"/>
      </w:r>
      <w:r w:rsidR="00C70D1E">
        <w:t>3</w:t>
      </w:r>
      <w:r w:rsidR="008D749D">
        <w:t xml:space="preserve"> </w:t>
      </w:r>
      <w:r>
        <w:t>shows the most common charging patterns reported by TNC and non-TNC drivers.</w:t>
      </w:r>
    </w:p>
    <w:p w14:paraId="23B7D7FE" w14:textId="77777777" w:rsidR="002C666C" w:rsidRPr="002C666C" w:rsidRDefault="003E26AF" w:rsidP="0037689E">
      <w:pPr>
        <w:keepNext/>
        <w:keepLines/>
        <w:spacing w:after="0" w:line="278" w:lineRule="auto"/>
        <w:rPr>
          <w:sz w:val="16"/>
          <w:szCs w:val="16"/>
        </w:rPr>
      </w:pPr>
      <w:bookmarkStart w:id="11" w:name="_Ref195777889"/>
      <w:r w:rsidRPr="002C666C">
        <w:rPr>
          <w:sz w:val="16"/>
          <w:szCs w:val="16"/>
        </w:rPr>
        <w:t xml:space="preserve">Table </w:t>
      </w:r>
      <w:bookmarkEnd w:id="11"/>
      <w:r w:rsidR="003A2353" w:rsidRPr="002C666C">
        <w:rPr>
          <w:sz w:val="16"/>
          <w:szCs w:val="16"/>
        </w:rPr>
        <w:t>3</w:t>
      </w:r>
    </w:p>
    <w:p w14:paraId="73E76C49" w14:textId="7D9C0CAC" w:rsidR="007E61A9" w:rsidRDefault="003E26AF" w:rsidP="007E61A9">
      <w:pPr>
        <w:keepNext/>
        <w:keepLines/>
        <w:spacing w:after="0" w:line="278" w:lineRule="auto"/>
        <w:rPr>
          <w:b/>
          <w:bCs/>
          <w:sz w:val="28"/>
          <w:szCs w:val="28"/>
        </w:rPr>
      </w:pPr>
      <w:r w:rsidRPr="002C666C">
        <w:rPr>
          <w:b/>
          <w:sz w:val="28"/>
          <w:szCs w:val="28"/>
        </w:rPr>
        <w:t xml:space="preserve">Weighted responses to </w:t>
      </w:r>
      <w:r w:rsidR="007E61A9">
        <w:rPr>
          <w:b/>
          <w:bCs/>
          <w:sz w:val="28"/>
          <w:szCs w:val="28"/>
        </w:rPr>
        <w:t>Survey Charging Question</w:t>
      </w:r>
    </w:p>
    <w:p w14:paraId="77D42929" w14:textId="1AEFB994" w:rsidR="003E26AF" w:rsidRPr="007E61A9" w:rsidRDefault="0037689E" w:rsidP="4B464DFE">
      <w:pPr>
        <w:keepNext/>
        <w:keepLines/>
        <w:spacing w:line="278" w:lineRule="auto"/>
        <w:rPr>
          <w:i/>
          <w:iCs/>
          <w:sz w:val="24"/>
          <w:szCs w:val="24"/>
        </w:rPr>
      </w:pPr>
      <w:r w:rsidRPr="4B464DFE">
        <w:rPr>
          <w:sz w:val="24"/>
          <w:szCs w:val="24"/>
        </w:rPr>
        <w:t xml:space="preserve">Question: </w:t>
      </w:r>
      <w:r w:rsidR="003E26AF" w:rsidRPr="4B464DFE">
        <w:rPr>
          <w:sz w:val="24"/>
          <w:szCs w:val="24"/>
        </w:rPr>
        <w:t xml:space="preserve">"Where do you </w:t>
      </w:r>
      <w:proofErr w:type="spellStart"/>
      <w:r w:rsidR="003E26AF" w:rsidRPr="4B464DFE">
        <w:rPr>
          <w:sz w:val="24"/>
          <w:szCs w:val="24"/>
        </w:rPr>
        <w:t>charge</w:t>
      </w:r>
      <w:proofErr w:type="spellEnd"/>
      <w:r w:rsidR="003E26AF" w:rsidRPr="4B464DFE">
        <w:rPr>
          <w:sz w:val="24"/>
          <w:szCs w:val="24"/>
        </w:rPr>
        <w:t xml:space="preserve"> your</w:t>
      </w:r>
      <w:r w:rsidR="00AC3C5A" w:rsidRPr="4B464DFE">
        <w:rPr>
          <w:sz w:val="24"/>
          <w:szCs w:val="24"/>
        </w:rPr>
        <w:t xml:space="preserve"> BEV</w:t>
      </w:r>
      <w:r w:rsidR="003E26AF" w:rsidRPr="4B464DFE">
        <w:rPr>
          <w:sz w:val="24"/>
          <w:szCs w:val="24"/>
        </w:rPr>
        <w:t>?” (multiple selections allowed)</w:t>
      </w:r>
    </w:p>
    <w:tbl>
      <w:tblPr>
        <w:tblStyle w:val="CSETable"/>
        <w:tblW w:w="0" w:type="auto"/>
        <w:tblLook w:val="04A0" w:firstRow="1" w:lastRow="0" w:firstColumn="1" w:lastColumn="0" w:noHBand="0" w:noVBand="1"/>
      </w:tblPr>
      <w:tblGrid>
        <w:gridCol w:w="3116"/>
        <w:gridCol w:w="3117"/>
        <w:gridCol w:w="3117"/>
      </w:tblGrid>
      <w:tr w:rsidR="003E26AF" w:rsidRPr="009642EC" w14:paraId="7F7A6633" w14:textId="77777777" w:rsidTr="000237FB">
        <w:trPr>
          <w:cnfStyle w:val="100000000000" w:firstRow="1" w:lastRow="0" w:firstColumn="0" w:lastColumn="0" w:oddVBand="0" w:evenVBand="0" w:oddHBand="0" w:evenHBand="0" w:firstRowFirstColumn="0" w:firstRowLastColumn="0" w:lastRowFirstColumn="0" w:lastRowLastColumn="0"/>
        </w:trPr>
        <w:tc>
          <w:tcPr>
            <w:tcW w:w="3116" w:type="dxa"/>
          </w:tcPr>
          <w:p w14:paraId="213C02D5" w14:textId="77777777" w:rsidR="003E26AF" w:rsidRPr="002C666C" w:rsidRDefault="003E26AF" w:rsidP="002C666C">
            <w:pPr>
              <w:keepNext/>
              <w:keepLines/>
              <w:rPr>
                <w:color w:val="FFFFFF" w:themeColor="background1"/>
              </w:rPr>
            </w:pPr>
            <w:r w:rsidRPr="002C666C">
              <w:rPr>
                <w:color w:val="FFFFFF" w:themeColor="background1"/>
              </w:rPr>
              <w:t>Charging location</w:t>
            </w:r>
          </w:p>
        </w:tc>
        <w:tc>
          <w:tcPr>
            <w:tcW w:w="3117" w:type="dxa"/>
          </w:tcPr>
          <w:p w14:paraId="16455F74" w14:textId="77777777" w:rsidR="003E26AF" w:rsidRPr="002C666C" w:rsidRDefault="003E26AF" w:rsidP="002C666C">
            <w:pPr>
              <w:keepNext/>
              <w:keepLines/>
              <w:rPr>
                <w:color w:val="FFFFFF" w:themeColor="background1"/>
              </w:rPr>
            </w:pPr>
            <w:r w:rsidRPr="002C666C">
              <w:rPr>
                <w:color w:val="FFFFFF" w:themeColor="background1"/>
              </w:rPr>
              <w:t>TNC</w:t>
            </w:r>
          </w:p>
        </w:tc>
        <w:tc>
          <w:tcPr>
            <w:tcW w:w="3117" w:type="dxa"/>
          </w:tcPr>
          <w:p w14:paraId="7E6B8FD9" w14:textId="77777777" w:rsidR="003E26AF" w:rsidRPr="002C666C" w:rsidRDefault="003E26AF" w:rsidP="002C666C">
            <w:pPr>
              <w:keepNext/>
              <w:keepLines/>
              <w:rPr>
                <w:color w:val="FFFFFF" w:themeColor="background1"/>
              </w:rPr>
            </w:pPr>
            <w:r w:rsidRPr="002C666C">
              <w:rPr>
                <w:color w:val="FFFFFF" w:themeColor="background1"/>
              </w:rPr>
              <w:t>Non-TNC</w:t>
            </w:r>
          </w:p>
        </w:tc>
      </w:tr>
      <w:tr w:rsidR="003E26AF" w:rsidRPr="00594447" w14:paraId="1F466D52" w14:textId="77777777" w:rsidTr="002C666C">
        <w:tc>
          <w:tcPr>
            <w:tcW w:w="3116" w:type="dxa"/>
          </w:tcPr>
          <w:p w14:paraId="15AFA1CC" w14:textId="77777777" w:rsidR="003E26AF" w:rsidRPr="00FF2747" w:rsidRDefault="003E26AF" w:rsidP="002C666C">
            <w:pPr>
              <w:keepNext/>
              <w:keepLines/>
            </w:pPr>
            <w:r w:rsidRPr="00FF2747">
              <w:t>Public only</w:t>
            </w:r>
          </w:p>
        </w:tc>
        <w:tc>
          <w:tcPr>
            <w:tcW w:w="3117" w:type="dxa"/>
          </w:tcPr>
          <w:p w14:paraId="0DDEDEE9" w14:textId="35B94B0D" w:rsidR="003E26AF" w:rsidRPr="00FF2747" w:rsidRDefault="003E26AF" w:rsidP="007E61A9">
            <w:pPr>
              <w:keepNext/>
              <w:keepLines/>
              <w:jc w:val="center"/>
            </w:pPr>
            <w:r w:rsidRPr="00FF2747">
              <w:t>26%</w:t>
            </w:r>
          </w:p>
        </w:tc>
        <w:tc>
          <w:tcPr>
            <w:tcW w:w="3117" w:type="dxa"/>
          </w:tcPr>
          <w:p w14:paraId="3A1A5548" w14:textId="77777777" w:rsidR="003E26AF" w:rsidRPr="00FF2747" w:rsidRDefault="003E26AF" w:rsidP="007E61A9">
            <w:pPr>
              <w:keepNext/>
              <w:keepLines/>
              <w:jc w:val="center"/>
            </w:pPr>
            <w:r w:rsidRPr="00FF2747">
              <w:t>10%</w:t>
            </w:r>
          </w:p>
        </w:tc>
      </w:tr>
      <w:tr w:rsidR="003E26AF" w:rsidRPr="00594447" w14:paraId="61428326" w14:textId="77777777" w:rsidTr="002C666C">
        <w:trPr>
          <w:cnfStyle w:val="000000010000" w:firstRow="0" w:lastRow="0" w:firstColumn="0" w:lastColumn="0" w:oddVBand="0" w:evenVBand="0" w:oddHBand="0" w:evenHBand="1" w:firstRowFirstColumn="0" w:firstRowLastColumn="0" w:lastRowFirstColumn="0" w:lastRowLastColumn="0"/>
          <w:trHeight w:val="70"/>
        </w:trPr>
        <w:tc>
          <w:tcPr>
            <w:tcW w:w="3116" w:type="dxa"/>
          </w:tcPr>
          <w:p w14:paraId="6BDCA52C" w14:textId="77777777" w:rsidR="003E26AF" w:rsidRPr="00FF2747" w:rsidRDefault="003E26AF" w:rsidP="002C666C">
            <w:pPr>
              <w:keepNext/>
              <w:keepLines/>
            </w:pPr>
            <w:r>
              <w:t>Home and Public</w:t>
            </w:r>
          </w:p>
        </w:tc>
        <w:tc>
          <w:tcPr>
            <w:tcW w:w="3117" w:type="dxa"/>
          </w:tcPr>
          <w:p w14:paraId="0AB986A5" w14:textId="77777777" w:rsidR="003E26AF" w:rsidRPr="00FF2747" w:rsidRDefault="003E26AF" w:rsidP="007E61A9">
            <w:pPr>
              <w:keepNext/>
              <w:keepLines/>
              <w:jc w:val="center"/>
            </w:pPr>
            <w:r>
              <w:t>19%</w:t>
            </w:r>
          </w:p>
        </w:tc>
        <w:tc>
          <w:tcPr>
            <w:tcW w:w="3117" w:type="dxa"/>
          </w:tcPr>
          <w:p w14:paraId="0A6F0C96" w14:textId="77777777" w:rsidR="003E26AF" w:rsidRPr="00FF2747" w:rsidRDefault="003E26AF" w:rsidP="007E61A9">
            <w:pPr>
              <w:keepNext/>
              <w:keepLines/>
              <w:jc w:val="center"/>
            </w:pPr>
            <w:r>
              <w:t>25%</w:t>
            </w:r>
          </w:p>
        </w:tc>
      </w:tr>
      <w:tr w:rsidR="003E26AF" w:rsidRPr="00594447" w14:paraId="6CFD2B96" w14:textId="77777777" w:rsidTr="002C666C">
        <w:trPr>
          <w:trHeight w:val="70"/>
        </w:trPr>
        <w:tc>
          <w:tcPr>
            <w:tcW w:w="3116" w:type="dxa"/>
          </w:tcPr>
          <w:p w14:paraId="4FAE2C89" w14:textId="77777777" w:rsidR="003E26AF" w:rsidRPr="00FF2747" w:rsidRDefault="003E26AF" w:rsidP="002C666C">
            <w:pPr>
              <w:keepNext/>
              <w:keepLines/>
            </w:pPr>
            <w:r w:rsidRPr="00FF2747">
              <w:t>Home only</w:t>
            </w:r>
          </w:p>
        </w:tc>
        <w:tc>
          <w:tcPr>
            <w:tcW w:w="3117" w:type="dxa"/>
          </w:tcPr>
          <w:p w14:paraId="67EF548A" w14:textId="77777777" w:rsidR="003E26AF" w:rsidRPr="00FF2747" w:rsidRDefault="003E26AF" w:rsidP="007E61A9">
            <w:pPr>
              <w:keepNext/>
              <w:keepLines/>
              <w:jc w:val="center"/>
            </w:pPr>
            <w:r w:rsidRPr="00FF2747">
              <w:t>31%</w:t>
            </w:r>
          </w:p>
        </w:tc>
        <w:tc>
          <w:tcPr>
            <w:tcW w:w="3117" w:type="dxa"/>
          </w:tcPr>
          <w:p w14:paraId="638B2AFE" w14:textId="77777777" w:rsidR="003E26AF" w:rsidRPr="00FF2747" w:rsidRDefault="003E26AF" w:rsidP="007E61A9">
            <w:pPr>
              <w:keepNext/>
              <w:keepLines/>
              <w:jc w:val="center"/>
            </w:pPr>
            <w:r w:rsidRPr="00FF2747">
              <w:t>40%</w:t>
            </w:r>
          </w:p>
        </w:tc>
      </w:tr>
    </w:tbl>
    <w:p w14:paraId="477E071D" w14:textId="77777777" w:rsidR="003E26AF" w:rsidRDefault="003E26AF" w:rsidP="003E26AF"/>
    <w:p w14:paraId="5D25544F" w14:textId="05FAC907" w:rsidR="00EB3AD5" w:rsidRDefault="003E26AF" w:rsidP="003E26AF">
      <w:r w:rsidRPr="00950A60">
        <w:t>Survey respondents</w:t>
      </w:r>
      <w:r w:rsidRPr="7FBEB347">
        <w:t xml:space="preserve"> c</w:t>
      </w:r>
      <w:r w:rsidRPr="00950A60">
        <w:t>ould select multiple charging locations, allowing for the identification of combined charging behaviors such as "Home and Public</w:t>
      </w:r>
      <w:r w:rsidR="00E842F3">
        <w:t>.</w:t>
      </w:r>
      <w:r w:rsidR="00B4537C" w:rsidRPr="00950A60">
        <w:t>"</w:t>
      </w:r>
      <w:r w:rsidR="00E53C0A">
        <w:t xml:space="preserve"> Public charging includes Level 2 an</w:t>
      </w:r>
      <w:r w:rsidR="00F51C84">
        <w:t xml:space="preserve">d/or DC </w:t>
      </w:r>
      <w:r w:rsidR="00CA52CC">
        <w:t>fast charging</w:t>
      </w:r>
      <w:r w:rsidR="00733BA0">
        <w:t>. Percentage</w:t>
      </w:r>
      <w:r w:rsidR="00F8770F">
        <w:t>s are weighted and calculated</w:t>
      </w:r>
      <w:r w:rsidR="00B72444">
        <w:t xml:space="preserve"> using all </w:t>
      </w:r>
      <w:r w:rsidR="001279DC">
        <w:t>respondents in each group</w:t>
      </w:r>
      <w:r w:rsidR="00413FC3">
        <w:t xml:space="preserve"> </w:t>
      </w:r>
      <w:r w:rsidR="00B44320">
        <w:t>as the denominator</w:t>
      </w:r>
      <w:r w:rsidR="002C30D4">
        <w:t>; respondents who did not select any charging</w:t>
      </w:r>
      <w:r w:rsidR="00FF66B7">
        <w:t xml:space="preserve"> location are include</w:t>
      </w:r>
      <w:r w:rsidR="00482E4F">
        <w:t>d</w:t>
      </w:r>
      <w:r w:rsidR="00FF66B7">
        <w:t xml:space="preserve"> in the denominator but </w:t>
      </w:r>
      <w:r w:rsidR="006A5240">
        <w:t>not shown as a separate group.</w:t>
      </w:r>
      <w:r w:rsidRPr="00950A60">
        <w:t xml:space="preserve"> </w:t>
      </w:r>
      <w:r w:rsidRPr="00C46642">
        <w:t xml:space="preserve">Because responses were not mutually exclusive, percentages </w:t>
      </w:r>
      <w:r>
        <w:t>do</w:t>
      </w:r>
      <w:r w:rsidRPr="00C46642">
        <w:t xml:space="preserve"> not sum to 100%.</w:t>
      </w:r>
      <w:r w:rsidRPr="00950A60">
        <w:t xml:space="preserve"> </w:t>
      </w:r>
    </w:p>
    <w:p w14:paraId="48E3B37C" w14:textId="43F30576" w:rsidR="003E26AF" w:rsidRPr="00950A60" w:rsidRDefault="003E26AF" w:rsidP="003E26AF">
      <w:r w:rsidRPr="00950A60">
        <w:t>Home charging emerged as the most common charging method among both TNC and non-TNC drivers, though usage patterns varied between the two groups. Among TNC drivers, 31% relied exclusively on home charging. An additional 19% reported using both home and public charging infrastructure.</w:t>
      </w:r>
    </w:p>
    <w:p w14:paraId="62696E9E" w14:textId="0DAEB2A4" w:rsidR="003E26AF" w:rsidRPr="00950A60" w:rsidRDefault="003E26AF" w:rsidP="003E26AF">
      <w:r w:rsidRPr="008C0E88">
        <w:t>Notably, over one-quarter of TNC drivers (26%) relied exclusively on public charging—more than double the rate observed among non-TNC drivers (10%).</w:t>
      </w:r>
      <w:r w:rsidRPr="00950A60">
        <w:t xml:space="preserve"> In contrast, a smaller share of TNC drivers relied solely on home charging (31% vs. 40%).</w:t>
      </w:r>
    </w:p>
    <w:p w14:paraId="01C583AF" w14:textId="0207ED89" w:rsidR="003E26AF" w:rsidRPr="000F4334" w:rsidRDefault="003E26AF" w:rsidP="003E26AF">
      <w:r w:rsidRPr="00950A60">
        <w:t>These differences suggest that TNC drivers may face greater dependence on public charging infrastructure to support their work-related driving needs.</w:t>
      </w:r>
    </w:p>
    <w:p w14:paraId="57674038" w14:textId="2DFCD50B" w:rsidR="003E26AF" w:rsidRPr="003E26AF" w:rsidRDefault="00C73C24" w:rsidP="008E0DFF">
      <w:pPr>
        <w:pStyle w:val="Heading1"/>
      </w:pPr>
      <w:r>
        <w:t>Appendix B</w:t>
      </w:r>
    </w:p>
    <w:p w14:paraId="6AE922CB" w14:textId="77777777" w:rsidR="00A33391" w:rsidRPr="00B02B73" w:rsidRDefault="00A33391" w:rsidP="008E0DFF">
      <w:pPr>
        <w:pStyle w:val="Heading2"/>
      </w:pPr>
      <w:r w:rsidRPr="00B02B73">
        <w:t>Computations</w:t>
      </w:r>
    </w:p>
    <w:p w14:paraId="0CE8BC10" w14:textId="7280E516" w:rsidR="00A33391" w:rsidRPr="006D1D31" w:rsidRDefault="00A33391" w:rsidP="003014A0">
      <w:pPr>
        <w:pStyle w:val="ListParagraph"/>
        <w:numPr>
          <w:ilvl w:val="0"/>
          <w:numId w:val="37"/>
        </w:numPr>
        <w:spacing w:line="278" w:lineRule="auto"/>
      </w:pPr>
      <w:r>
        <w:t xml:space="preserve">Equivalized income is used to adjust household income to account for the economies of scale. For example, a family of four does not need four times the income of a </w:t>
      </w:r>
      <w:r w:rsidR="00E842F3">
        <w:t>one-person household</w:t>
      </w:r>
      <w:r>
        <w:t>. Computing the monthly equivalized income:</w:t>
      </w:r>
      <w:r>
        <w:br/>
      </w:r>
      <m:oMathPara>
        <m:oMath>
          <m:r>
            <w:rPr>
              <w:rFonts w:ascii="Cambria Math" w:hAnsi="Cambria Math"/>
            </w:rPr>
            <m:t>Equivalized Monthly Income =</m:t>
          </m:r>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Annual Income</m:t>
                      </m:r>
                    </m:num>
                    <m:den>
                      <m:r>
                        <w:rPr>
                          <w:rFonts w:ascii="Cambria Math" w:hAnsi="Cambria Math"/>
                        </w:rPr>
                        <m:t>12 months</m:t>
                      </m:r>
                    </m:den>
                  </m:f>
                </m:e>
              </m:d>
            </m:num>
            <m:den>
              <m:rad>
                <m:radPr>
                  <m:degHide m:val="1"/>
                  <m:ctrlPr>
                    <w:rPr>
                      <w:rFonts w:ascii="Cambria Math" w:hAnsi="Cambria Math"/>
                      <w:i/>
                    </w:rPr>
                  </m:ctrlPr>
                </m:radPr>
                <m:deg/>
                <m:e>
                  <m:r>
                    <w:rPr>
                      <w:rFonts w:ascii="Cambria Math" w:hAnsi="Cambria Math"/>
                    </w:rPr>
                    <m:t>HH Size</m:t>
                  </m:r>
                </m:e>
              </m:rad>
            </m:den>
          </m:f>
        </m:oMath>
      </m:oMathPara>
    </w:p>
    <w:p w14:paraId="57835E18" w14:textId="77777777" w:rsidR="00A33391" w:rsidRDefault="00A33391" w:rsidP="003014A0">
      <w:pPr>
        <w:pStyle w:val="ListParagraph"/>
        <w:numPr>
          <w:ilvl w:val="0"/>
          <w:numId w:val="37"/>
        </w:numPr>
        <w:spacing w:line="278" w:lineRule="auto"/>
      </w:pPr>
      <w:r>
        <w:t>Monthly miles based on incentive program eligibility requirements:</w:t>
      </w:r>
    </w:p>
    <w:p w14:paraId="65BDA5F8" w14:textId="77777777" w:rsidR="00A33391" w:rsidRPr="00F94A72" w:rsidRDefault="00C57543" w:rsidP="004D05AA">
      <m:oMathPara>
        <m:oMath>
          <m:f>
            <m:fPr>
              <m:ctrlPr>
                <w:rPr>
                  <w:rFonts w:ascii="Cambria Math" w:hAnsi="Cambria Math"/>
                  <w:i/>
                </w:rPr>
              </m:ctrlPr>
            </m:fPr>
            <m:num>
              <m:r>
                <w:rPr>
                  <w:rFonts w:ascii="Cambria Math" w:hAnsi="Cambria Math"/>
                </w:rPr>
                <m:t>4,500</m:t>
              </m:r>
              <m:r>
                <w:rPr>
                  <w:rFonts w:ascii="Cambria Math" w:hAnsi="Cambria Math"/>
                </w:rPr>
                <m:t>trips</m:t>
              </m:r>
            </m:num>
            <m:den>
              <m:r>
                <w:rPr>
                  <w:rFonts w:ascii="Cambria Math" w:hAnsi="Cambria Math"/>
                </w:rPr>
                <m:t>year</m:t>
              </m:r>
            </m:den>
          </m:f>
          <m:r>
            <w:rPr>
              <w:rFonts w:ascii="Cambria Math" w:hAnsi="Cambria Math"/>
            </w:rPr>
            <m:t>*</m:t>
          </m:r>
          <m:f>
            <m:fPr>
              <m:ctrlPr>
                <w:rPr>
                  <w:rFonts w:ascii="Cambria Math" w:hAnsi="Cambria Math"/>
                  <w:i/>
                </w:rPr>
              </m:ctrlPr>
            </m:fPr>
            <m:num>
              <m:r>
                <w:rPr>
                  <w:rFonts w:ascii="Cambria Math" w:hAnsi="Cambria Math"/>
                </w:rPr>
                <m:t>10</m:t>
              </m:r>
              <m:r>
                <w:rPr>
                  <w:rFonts w:ascii="Cambria Math" w:hAnsi="Cambria Math"/>
                </w:rPr>
                <m:t>miles</m:t>
              </m:r>
            </m:num>
            <m:den>
              <m:r>
                <w:rPr>
                  <w:rFonts w:ascii="Cambria Math" w:hAnsi="Cambria Math"/>
                </w:rPr>
                <m:t>trip</m:t>
              </m:r>
            </m:den>
          </m:f>
          <m:r>
            <w:rPr>
              <w:rFonts w:ascii="Cambria Math" w:hAnsi="Cambria Math"/>
            </w:rPr>
            <m:t>*</m:t>
          </m:r>
          <m:f>
            <m:fPr>
              <m:ctrlPr>
                <w:rPr>
                  <w:rFonts w:ascii="Cambria Math" w:hAnsi="Cambria Math"/>
                  <w:i/>
                </w:rPr>
              </m:ctrlPr>
            </m:fPr>
            <m:num>
              <m:r>
                <w:rPr>
                  <w:rFonts w:ascii="Cambria Math" w:hAnsi="Cambria Math"/>
                </w:rPr>
                <m:t>year</m:t>
              </m:r>
            </m:num>
            <m:den>
              <m:r>
                <w:rPr>
                  <w:rFonts w:ascii="Cambria Math" w:hAnsi="Cambria Math"/>
                </w:rPr>
                <m:t>50</m:t>
              </m:r>
            </m:den>
          </m:f>
          <m:r>
            <w:rPr>
              <w:rFonts w:ascii="Cambria Math" w:hAnsi="Cambria Math"/>
            </w:rPr>
            <m:t>weeks</m:t>
          </m:r>
          <m:r>
            <w:rPr>
              <w:rFonts w:ascii="Cambria Math" w:hAnsi="Cambria Math"/>
            </w:rPr>
            <m:t>=</m:t>
          </m:r>
          <m:f>
            <m:fPr>
              <m:ctrlPr>
                <w:rPr>
                  <w:rFonts w:ascii="Cambria Math" w:hAnsi="Cambria Math"/>
                  <w:i/>
                </w:rPr>
              </m:ctrlPr>
            </m:fPr>
            <m:num>
              <m:r>
                <w:rPr>
                  <w:rFonts w:ascii="Cambria Math" w:hAnsi="Cambria Math"/>
                </w:rPr>
                <m:t xml:space="preserve">900 </m:t>
              </m:r>
              <m:r>
                <w:rPr>
                  <w:rFonts w:ascii="Cambria Math" w:hAnsi="Cambria Math"/>
                </w:rPr>
                <m:t>miles</m:t>
              </m:r>
            </m:num>
            <m:den>
              <m:r>
                <w:rPr>
                  <w:rFonts w:ascii="Cambria Math" w:hAnsi="Cambria Math"/>
                </w:rPr>
                <m:t>week</m:t>
              </m:r>
            </m:den>
          </m:f>
        </m:oMath>
      </m:oMathPara>
    </w:p>
    <w:p w14:paraId="37950079" w14:textId="22B23BEF" w:rsidR="00A33391" w:rsidRDefault="00A33391" w:rsidP="00355D94">
      <w:pPr>
        <w:pStyle w:val="ListParagraph"/>
        <w:numPr>
          <w:ilvl w:val="0"/>
          <w:numId w:val="37"/>
        </w:numPr>
        <w:spacing w:line="278" w:lineRule="auto"/>
      </w:pPr>
      <w:r>
        <w:t xml:space="preserve">TNC Revenue Calculation based on the assumption that drivers are only able to bill about 60% of their miles due to “deadhead” miles. The reported rate for </w:t>
      </w:r>
      <w:r w:rsidR="00E75334">
        <w:t xml:space="preserve">California </w:t>
      </w:r>
      <w:r>
        <w:t>is $1.31 per mile including tips.</w:t>
      </w:r>
    </w:p>
    <w:p w14:paraId="6A3FF294" w14:textId="77777777" w:rsidR="00A33391" w:rsidRDefault="00A33391" w:rsidP="004D05AA">
      <w:pPr>
        <w:pStyle w:val="ListParagraph"/>
        <w:numPr>
          <w:ilvl w:val="0"/>
          <w:numId w:val="37"/>
        </w:numPr>
        <w:spacing w:line="278" w:lineRule="auto"/>
      </w:pPr>
      <w:r w:rsidRPr="00E20A1F">
        <w:t>Monthly TNC Revenue = Monthly Miles × Billable Ratio × Wage Rate</w:t>
      </w:r>
    </w:p>
    <w:p w14:paraId="324A02B1" w14:textId="49B76962" w:rsidR="00A33391" w:rsidRPr="00E33F33" w:rsidRDefault="00A33391" w:rsidP="003014A0">
      <w:pPr>
        <w:pStyle w:val="ListParagraph"/>
        <w:numPr>
          <w:ilvl w:val="0"/>
          <w:numId w:val="37"/>
        </w:numPr>
        <w:spacing w:line="278" w:lineRule="auto"/>
      </w:pPr>
      <w:r>
        <w:t xml:space="preserve">Loan payments </w:t>
      </w:r>
      <w:r w:rsidR="00E842F3">
        <w:t>are</w:t>
      </w:r>
      <w:r>
        <w:t xml:space="preserve"> computed using the standard amortization formula where the fixed monthly payment (P) is determined as the ratio of t</w:t>
      </w:r>
      <w:r w:rsidRPr="00407C95">
        <w:t>he monthly interest rate</w:t>
      </w:r>
      <w:r>
        <w:t xml:space="preserve"> (r)</w:t>
      </w:r>
      <w:r w:rsidRPr="00407C95">
        <w:t>, the number of payments</w:t>
      </w:r>
      <w:r>
        <w:t xml:space="preserve"> (n)</w:t>
      </w:r>
      <w:r w:rsidRPr="00407C95">
        <w:t>, and the principal loan amount</w:t>
      </w:r>
      <w:r>
        <w:t xml:space="preserve"> (L). It is important to note that the APR determines the monthly interest rate (APR/12), and the loan amount assumes a 10% down payment on the original MSRP.</w:t>
      </w:r>
      <w:r>
        <w:br/>
      </w:r>
      <m:oMathPara>
        <m:oMath>
          <m:r>
            <w:rPr>
              <w:rFonts w:ascii="Cambria Math" w:hAnsi="Cambria Math"/>
            </w:rPr>
            <m:t>P = L ×</m:t>
          </m:r>
          <m:f>
            <m:fPr>
              <m:ctrlPr>
                <w:rPr>
                  <w:rFonts w:ascii="Cambria Math" w:hAnsi="Cambria Math"/>
                  <w:i/>
                </w:rPr>
              </m:ctrlPr>
            </m:fPr>
            <m:num>
              <m:d>
                <m:dPr>
                  <m:begChr m:val="["/>
                  <m:endChr m:val="]"/>
                  <m:ctrlPr>
                    <w:rPr>
                      <w:rFonts w:ascii="Cambria Math" w:hAnsi="Cambria Math"/>
                      <w:i/>
                    </w:rPr>
                  </m:ctrlPr>
                </m:dPr>
                <m:e>
                  <m:r>
                    <w:rPr>
                      <w:rFonts w:ascii="Cambria Math" w:hAnsi="Cambria Math"/>
                    </w:rPr>
                    <m:t>r</m:t>
                  </m:r>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n</m:t>
                      </m:r>
                    </m:sup>
                  </m:sSup>
                </m:e>
              </m:d>
            </m:num>
            <m:den>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n</m:t>
                      </m:r>
                    </m:sup>
                  </m:sSup>
                  <m:r>
                    <w:rPr>
                      <w:rFonts w:ascii="Cambria Math" w:hAnsi="Cambria Math"/>
                    </w:rPr>
                    <m:t>- 1</m:t>
                  </m:r>
                </m:e>
              </m:d>
            </m:den>
          </m:f>
        </m:oMath>
      </m:oMathPara>
    </w:p>
    <w:p w14:paraId="4E386365" w14:textId="0BC3BC67" w:rsidR="00C36E17" w:rsidRPr="00A33391" w:rsidRDefault="00A33391" w:rsidP="003014A0">
      <w:pPr>
        <w:pStyle w:val="ListParagraph"/>
        <w:numPr>
          <w:ilvl w:val="0"/>
          <w:numId w:val="37"/>
        </w:numPr>
        <w:spacing w:line="278" w:lineRule="auto"/>
      </w:pPr>
      <w:r>
        <w:t>Lease payments are calculated as the sum of the depreciation component and the finance component. The depreciation component represents the dollar amount the car is expected to depreciate over time – a ratio of the initial cost less any incentives divided by the lease term (in this case 36 months). The finance component determines the amount of money the lessor makes. This is computed as a fraction of the sum of the vehicle at beginning and end of lease. In this case, the fractional value is APR/2400</w:t>
      </w:r>
      <w:r w:rsidR="00E842F3">
        <w:t>,</w:t>
      </w:r>
      <w:r>
        <w:t xml:space="preserve"> and the residual value is set to 55%</w:t>
      </w:r>
      <w:r w:rsidR="00F2109E">
        <w:t>.</w:t>
      </w:r>
    </w:p>
    <w:p w14:paraId="20EDEC72" w14:textId="61B0A4DD" w:rsidR="009140C0" w:rsidRDefault="009140C0" w:rsidP="00837426">
      <w:pPr>
        <w:pStyle w:val="Heading1"/>
      </w:pPr>
      <w:r>
        <w:t>Appendix C</w:t>
      </w:r>
    </w:p>
    <w:p w14:paraId="7E8E4833" w14:textId="3FA40FCD" w:rsidR="00E17412" w:rsidRPr="00E17412" w:rsidRDefault="00E17412" w:rsidP="00E17412">
      <w:r>
        <w:t xml:space="preserve">This appendix shows additional sensitivity analyses </w:t>
      </w:r>
      <w:r w:rsidR="008B5D27">
        <w:t>conducted for additional input variables, including monthly insurance, maintenance cost,</w:t>
      </w:r>
      <w:r w:rsidR="00A52AFD">
        <w:t xml:space="preserve"> </w:t>
      </w:r>
      <w:r w:rsidR="008B5D27">
        <w:t xml:space="preserve">APR, and TNC wages. </w:t>
      </w:r>
    </w:p>
    <w:p w14:paraId="75F1D2B0" w14:textId="79583923" w:rsidR="00261816" w:rsidRDefault="00261816" w:rsidP="001952A6">
      <w:pPr>
        <w:pStyle w:val="Caption"/>
        <w:keepNext/>
        <w:spacing w:after="0"/>
      </w:pPr>
      <w:bookmarkStart w:id="12" w:name="_Ref215498700"/>
      <w:r>
        <w:t xml:space="preserve">Figure </w:t>
      </w:r>
      <w:r>
        <w:fldChar w:fldCharType="begin"/>
      </w:r>
      <w:r>
        <w:instrText>SEQ Figure \* ARABIC</w:instrText>
      </w:r>
      <w:r>
        <w:fldChar w:fldCharType="separate"/>
      </w:r>
      <w:r w:rsidR="003E5E9B">
        <w:rPr>
          <w:noProof/>
        </w:rPr>
        <w:t>7</w:t>
      </w:r>
      <w:r>
        <w:fldChar w:fldCharType="end"/>
      </w:r>
      <w:bookmarkEnd w:id="12"/>
    </w:p>
    <w:p w14:paraId="0D2806BA" w14:textId="62C9C25B" w:rsidR="00261816" w:rsidRPr="00261816" w:rsidRDefault="001928F0" w:rsidP="0064699B">
      <w:pPr>
        <w:pStyle w:val="Heading3"/>
      </w:pPr>
      <w:r>
        <w:t>Sensitivity Analysis for Monthly Insurance</w:t>
      </w:r>
    </w:p>
    <w:p w14:paraId="0CADB2E9" w14:textId="4B36172D" w:rsidR="008920B6" w:rsidRPr="008920B6" w:rsidRDefault="003E17B0" w:rsidP="00C404B0">
      <w:pPr>
        <w:rPr>
          <w:lang w:eastAsia="zh-CN"/>
        </w:rPr>
      </w:pPr>
      <w:r>
        <w:rPr>
          <w:noProof/>
        </w:rPr>
        <w:drawing>
          <wp:inline distT="0" distB="0" distL="0" distR="0" wp14:anchorId="6DEAC8C5" wp14:editId="6487A7A9">
            <wp:extent cx="5943600" cy="1796415"/>
            <wp:effectExtent l="0" t="0" r="0" b="0"/>
            <wp:docPr id="2015748331" name="Picture 1" descr="A chart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48331" name="Picture 1" descr="A chart with different colors&#10;&#10;AI-generated content may be incorrect."/>
                    <pic:cNvPicPr/>
                  </pic:nvPicPr>
                  <pic:blipFill>
                    <a:blip r:embed="rId54"/>
                    <a:stretch>
                      <a:fillRect/>
                    </a:stretch>
                  </pic:blipFill>
                  <pic:spPr>
                    <a:xfrm>
                      <a:off x="0" y="0"/>
                      <a:ext cx="5943600" cy="1796415"/>
                    </a:xfrm>
                    <a:prstGeom prst="rect">
                      <a:avLst/>
                    </a:prstGeom>
                  </pic:spPr>
                </pic:pic>
              </a:graphicData>
            </a:graphic>
          </wp:inline>
        </w:drawing>
      </w:r>
    </w:p>
    <w:p w14:paraId="646B11DC" w14:textId="353D145E" w:rsidR="009140C0" w:rsidRDefault="009140C0" w:rsidP="009140C0">
      <w:r>
        <w:t>Varying the insurance amounts leads to moderate improvements to affordability</w:t>
      </w:r>
      <w:r w:rsidR="001928F0">
        <w:t xml:space="preserve"> (</w:t>
      </w:r>
      <w:r w:rsidR="001928F0">
        <w:fldChar w:fldCharType="begin"/>
      </w:r>
      <w:r w:rsidR="001928F0">
        <w:instrText xml:space="preserve"> REF _Ref215498700 \h </w:instrText>
      </w:r>
      <w:r w:rsidR="001928F0">
        <w:fldChar w:fldCharType="separate"/>
      </w:r>
      <w:r w:rsidR="003E5E9B">
        <w:t xml:space="preserve">Figure </w:t>
      </w:r>
      <w:r w:rsidR="003E5E9B">
        <w:rPr>
          <w:noProof/>
        </w:rPr>
        <w:t>7</w:t>
      </w:r>
      <w:r w:rsidR="001928F0">
        <w:fldChar w:fldCharType="end"/>
      </w:r>
      <w:r w:rsidR="001928F0">
        <w:t>)</w:t>
      </w:r>
      <w:r>
        <w:t>. Although the capacity to reduce costs is relatively moderate (i.e.</w:t>
      </w:r>
      <w:r w:rsidR="001D6951">
        <w:t>,</w:t>
      </w:r>
      <w:r>
        <w:t xml:space="preserve"> decreasing the insurance cost by 30% would only reduce the requisite incentive by less than $10,000), it may be worthwhile for policymakers to explore setting rules on insurance rates for BEVs. For example, governments can create their own insurance program (e.g.</w:t>
      </w:r>
      <w:r w:rsidR="001D6951">
        <w:t>,</w:t>
      </w:r>
      <w:r>
        <w:t xml:space="preserve"> California offers fire insurance that is prohibitive in the market) or supplement insurance for TNC drivers specifically. This would likely save money from a government spending perspective as the supplemental insurance would reduce the amount of incentive dollars needed to reach a given equity goal. </w:t>
      </w:r>
    </w:p>
    <w:p w14:paraId="06B49465" w14:textId="500D1AC2" w:rsidR="001928F0" w:rsidRDefault="001928F0" w:rsidP="001952A6">
      <w:pPr>
        <w:pStyle w:val="Caption"/>
        <w:keepNext/>
        <w:keepLines/>
        <w:spacing w:after="0"/>
      </w:pPr>
      <w:r>
        <w:lastRenderedPageBreak/>
        <w:t xml:space="preserve">Figure </w:t>
      </w:r>
      <w:r>
        <w:fldChar w:fldCharType="begin"/>
      </w:r>
      <w:r>
        <w:instrText>SEQ Figure \* ARABIC</w:instrText>
      </w:r>
      <w:r>
        <w:fldChar w:fldCharType="separate"/>
      </w:r>
      <w:r w:rsidR="003E5E9B">
        <w:rPr>
          <w:noProof/>
        </w:rPr>
        <w:t>8</w:t>
      </w:r>
      <w:r>
        <w:fldChar w:fldCharType="end"/>
      </w:r>
    </w:p>
    <w:p w14:paraId="5C4ED850" w14:textId="6AE3923A" w:rsidR="001928F0" w:rsidRPr="004A5835" w:rsidRDefault="001928F0" w:rsidP="0064699B">
      <w:pPr>
        <w:pStyle w:val="Heading3"/>
      </w:pPr>
      <w:r w:rsidRPr="004A5835">
        <w:t xml:space="preserve">Sensitivity Analysis for BEV Maintenance Costs </w:t>
      </w:r>
    </w:p>
    <w:p w14:paraId="4577E80B" w14:textId="0A7DEDCF" w:rsidR="008920B6" w:rsidRPr="008920B6" w:rsidRDefault="007425FC" w:rsidP="004A5835">
      <w:pPr>
        <w:keepNext/>
        <w:keepLines/>
      </w:pPr>
      <w:r>
        <w:rPr>
          <w:noProof/>
        </w:rPr>
        <w:drawing>
          <wp:inline distT="0" distB="0" distL="0" distR="0" wp14:anchorId="1C18CFE1" wp14:editId="1B511EFC">
            <wp:extent cx="6499738" cy="1987420"/>
            <wp:effectExtent l="0" t="0" r="0" b="0"/>
            <wp:docPr id="1384725869" name="Picture 1" descr="A chart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25869" name="Picture 1" descr="A chart of different colors&#10;&#10;AI-generated content may be incorrect."/>
                    <pic:cNvPicPr/>
                  </pic:nvPicPr>
                  <pic:blipFill>
                    <a:blip r:embed="rId55"/>
                    <a:stretch>
                      <a:fillRect/>
                    </a:stretch>
                  </pic:blipFill>
                  <pic:spPr>
                    <a:xfrm>
                      <a:off x="0" y="0"/>
                      <a:ext cx="6508580" cy="1990124"/>
                    </a:xfrm>
                    <a:prstGeom prst="rect">
                      <a:avLst/>
                    </a:prstGeom>
                  </pic:spPr>
                </pic:pic>
              </a:graphicData>
            </a:graphic>
          </wp:inline>
        </w:drawing>
      </w:r>
    </w:p>
    <w:p w14:paraId="666F8672" w14:textId="47998100" w:rsidR="009140C0" w:rsidRPr="005D3073" w:rsidRDefault="009140C0" w:rsidP="009140C0">
      <w:r>
        <w:t xml:space="preserve">Altering the cost of maintenance has a minor to moderate impact on overall affordability. Reducing maintenance costs by 30% could reduce the requisite incentive by roughly $10,000. However, policymakers may have little control over the maintenance cost of a BEV. One possible area of research is battery health that policymakers could improve, though that would be unlikely to be realized economic benefits to TNC drivers. </w:t>
      </w:r>
    </w:p>
    <w:p w14:paraId="1EFC80D2" w14:textId="77777777" w:rsidR="00E63904" w:rsidRDefault="00E63904" w:rsidP="00E43662">
      <w:pPr>
        <w:rPr>
          <w:lang w:eastAsia="zh-CN"/>
        </w:rPr>
      </w:pPr>
    </w:p>
    <w:p w14:paraId="0007BD24" w14:textId="6BD64078" w:rsidR="00E63904" w:rsidRDefault="00E63904" w:rsidP="00F9086B">
      <w:pPr>
        <w:pStyle w:val="Caption"/>
        <w:keepNext/>
        <w:spacing w:after="0"/>
      </w:pPr>
      <w:r>
        <w:t xml:space="preserve">Figure </w:t>
      </w:r>
      <w:r>
        <w:fldChar w:fldCharType="begin"/>
      </w:r>
      <w:r>
        <w:instrText>SEQ Figure \* ARABIC</w:instrText>
      </w:r>
      <w:r>
        <w:fldChar w:fldCharType="separate"/>
      </w:r>
      <w:r w:rsidR="003E5E9B">
        <w:rPr>
          <w:noProof/>
        </w:rPr>
        <w:t>9</w:t>
      </w:r>
      <w:r>
        <w:fldChar w:fldCharType="end"/>
      </w:r>
    </w:p>
    <w:p w14:paraId="47811F7F" w14:textId="21E3CBF9" w:rsidR="00E63904" w:rsidRPr="00E63904" w:rsidRDefault="00E63904" w:rsidP="0064699B">
      <w:pPr>
        <w:pStyle w:val="Heading3"/>
      </w:pPr>
      <w:r w:rsidRPr="00E63904">
        <w:t>Sensitivity Analysis for Loan/Lease Amount APR</w:t>
      </w:r>
    </w:p>
    <w:p w14:paraId="563A3AA4" w14:textId="521D3C73" w:rsidR="00842111" w:rsidRPr="00842111" w:rsidRDefault="002D5686" w:rsidP="00E43662">
      <w:pPr>
        <w:rPr>
          <w:lang w:eastAsia="zh-CN"/>
        </w:rPr>
      </w:pPr>
      <w:r>
        <w:rPr>
          <w:noProof/>
        </w:rPr>
        <w:drawing>
          <wp:inline distT="0" distB="0" distL="0" distR="0" wp14:anchorId="4821DEF4" wp14:editId="21FA91DD">
            <wp:extent cx="6800849" cy="2033684"/>
            <wp:effectExtent l="0" t="0" r="635" b="5080"/>
            <wp:docPr id="2031089549" name="Picture 1" descr="A chart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89549" name="Picture 1" descr="A chart with different colors&#10;&#10;AI-generated content may be incorrect."/>
                    <pic:cNvPicPr/>
                  </pic:nvPicPr>
                  <pic:blipFill rotWithShape="1">
                    <a:blip r:embed="rId56"/>
                    <a:srcRect t="10290"/>
                    <a:stretch>
                      <a:fillRect/>
                    </a:stretch>
                  </pic:blipFill>
                  <pic:spPr bwMode="auto">
                    <a:xfrm>
                      <a:off x="0" y="0"/>
                      <a:ext cx="6802016" cy="2034033"/>
                    </a:xfrm>
                    <a:prstGeom prst="rect">
                      <a:avLst/>
                    </a:prstGeom>
                    <a:ln>
                      <a:noFill/>
                    </a:ln>
                    <a:extLst>
                      <a:ext uri="{53640926-AAD7-44D8-BBD7-CCE9431645EC}">
                        <a14:shadowObscured xmlns:a14="http://schemas.microsoft.com/office/drawing/2010/main"/>
                      </a:ext>
                    </a:extLst>
                  </pic:spPr>
                </pic:pic>
              </a:graphicData>
            </a:graphic>
          </wp:inline>
        </w:drawing>
      </w:r>
    </w:p>
    <w:p w14:paraId="388FF516" w14:textId="00FED3DC" w:rsidR="009140C0" w:rsidRDefault="009140C0" w:rsidP="009140C0">
      <w:r>
        <w:t xml:space="preserve">Next, varying the APR for the loan rate makes essentially no difference across various rates nor purchase types. Though loan guarantees can help certain segments that may face specific problems with loan origination, the cost of financing overall not </w:t>
      </w:r>
      <w:proofErr w:type="gramStart"/>
      <w:r>
        <w:t>the majority of</w:t>
      </w:r>
      <w:proofErr w:type="gramEnd"/>
      <w:r>
        <w:t xml:space="preserve"> the monthly cost of the BEV. As such, this limits the capability of APR to improve the affordability of BEVs for the representative household modeled here. Instead, policymakers should use other tools to improve general affordability (such as reducing the cost of electricity) and use APR as a tool only for niche cases. </w:t>
      </w:r>
      <w:r>
        <w:tab/>
      </w:r>
    </w:p>
    <w:p w14:paraId="1D603FF3" w14:textId="36B5464D" w:rsidR="00E63904" w:rsidRDefault="00E63904" w:rsidP="00E43662"/>
    <w:p w14:paraId="10820148" w14:textId="50FB9012" w:rsidR="00E63904" w:rsidRDefault="00E63904" w:rsidP="004A27C9">
      <w:pPr>
        <w:pStyle w:val="Caption"/>
        <w:keepNext/>
        <w:keepLines/>
        <w:spacing w:after="0"/>
      </w:pPr>
      <w:bookmarkStart w:id="13" w:name="_Ref215498955"/>
      <w:r>
        <w:lastRenderedPageBreak/>
        <w:t xml:space="preserve">Figure </w:t>
      </w:r>
      <w:r>
        <w:fldChar w:fldCharType="begin"/>
      </w:r>
      <w:r>
        <w:instrText>SEQ Figure \* ARABIC</w:instrText>
      </w:r>
      <w:r>
        <w:fldChar w:fldCharType="separate"/>
      </w:r>
      <w:r w:rsidR="003E5E9B">
        <w:rPr>
          <w:noProof/>
        </w:rPr>
        <w:t>10</w:t>
      </w:r>
      <w:r>
        <w:fldChar w:fldCharType="end"/>
      </w:r>
      <w:bookmarkEnd w:id="13"/>
    </w:p>
    <w:p w14:paraId="2059260A" w14:textId="6071E3B3" w:rsidR="00E63904" w:rsidRPr="00E63904" w:rsidRDefault="00E63904" w:rsidP="0064699B">
      <w:pPr>
        <w:pStyle w:val="Heading3"/>
      </w:pPr>
      <w:r w:rsidRPr="00E63904">
        <w:t>Sensitivity Analysis for TNC Wage Rates</w:t>
      </w:r>
    </w:p>
    <w:p w14:paraId="49DE5E0F" w14:textId="26B23321" w:rsidR="006D1A5E" w:rsidRPr="006D1A5E" w:rsidRDefault="00204A3A" w:rsidP="00F334F0">
      <w:pPr>
        <w:keepNext/>
        <w:keepLines/>
        <w:rPr>
          <w:lang w:eastAsia="zh-CN"/>
        </w:rPr>
      </w:pPr>
      <w:r>
        <w:rPr>
          <w:noProof/>
        </w:rPr>
        <w:drawing>
          <wp:inline distT="0" distB="0" distL="0" distR="0" wp14:anchorId="3E3F65D6" wp14:editId="6F079C1A">
            <wp:extent cx="5943600" cy="1817370"/>
            <wp:effectExtent l="0" t="0" r="0" b="0"/>
            <wp:docPr id="2098925700" name="Picture 1" descr="A chart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25700" name="Picture 1" descr="A chart of different colors&#10;&#10;AI-generated content may be incorrect."/>
                    <pic:cNvPicPr/>
                  </pic:nvPicPr>
                  <pic:blipFill>
                    <a:blip r:embed="rId57"/>
                    <a:stretch>
                      <a:fillRect/>
                    </a:stretch>
                  </pic:blipFill>
                  <pic:spPr>
                    <a:xfrm>
                      <a:off x="0" y="0"/>
                      <a:ext cx="5943600" cy="1817370"/>
                    </a:xfrm>
                    <a:prstGeom prst="rect">
                      <a:avLst/>
                    </a:prstGeom>
                  </pic:spPr>
                </pic:pic>
              </a:graphicData>
            </a:graphic>
          </wp:inline>
        </w:drawing>
      </w:r>
    </w:p>
    <w:p w14:paraId="276F82E3" w14:textId="078C0554" w:rsidR="009140C0" w:rsidRPr="00A52AFD" w:rsidRDefault="009140C0">
      <w:pPr>
        <w:rPr>
          <w:rFonts w:eastAsia="Times New Roman" w:cs="Times New Roman"/>
          <w:lang w:eastAsia="zh-CN"/>
        </w:rPr>
      </w:pPr>
      <w:r w:rsidRPr="00A52AFD">
        <w:rPr>
          <w:rFonts w:eastAsia="Times New Roman" w:cs="Times New Roman"/>
          <w:lang w:eastAsia="zh-CN"/>
        </w:rPr>
        <w:t>Improving the TNC wage unsurprisingly improves affordability, though not as much as one might assume. For example, improvements to household income outperform improvements to TNC wage rate</w:t>
      </w:r>
      <w:r w:rsidR="00E842F3" w:rsidRPr="6345BC90">
        <w:rPr>
          <w:rFonts w:eastAsia="Times New Roman"/>
          <w:lang w:eastAsia="zh-CN"/>
        </w:rPr>
        <w:t>—</w:t>
      </w:r>
      <w:r w:rsidRPr="00A52AFD">
        <w:rPr>
          <w:rFonts w:eastAsia="Times New Roman" w:cs="Times New Roman"/>
          <w:lang w:eastAsia="zh-CN"/>
        </w:rPr>
        <w:t xml:space="preserve">this is interrelated to the </w:t>
      </w:r>
      <w:r w:rsidR="00E842F3" w:rsidRPr="6345BC90">
        <w:rPr>
          <w:rFonts w:eastAsia="Times New Roman" w:cs="Times New Roman"/>
          <w:lang w:eastAsia="zh-CN"/>
        </w:rPr>
        <w:t>number</w:t>
      </w:r>
      <w:r w:rsidRPr="00A52AFD">
        <w:rPr>
          <w:rFonts w:eastAsia="Times New Roman" w:cs="Times New Roman"/>
          <w:lang w:eastAsia="zh-CN"/>
        </w:rPr>
        <w:t xml:space="preserve"> of miles that can be billed to the TNC</w:t>
      </w:r>
      <w:r w:rsidR="004443BA">
        <w:rPr>
          <w:rFonts w:eastAsia="Times New Roman" w:cs="Times New Roman"/>
          <w:lang w:eastAsia="zh-CN"/>
        </w:rPr>
        <w:t xml:space="preserve"> (</w:t>
      </w:r>
      <w:r w:rsidR="004443BA">
        <w:rPr>
          <w:rFonts w:eastAsia="Times New Roman" w:cs="Times New Roman"/>
          <w:lang w:eastAsia="zh-CN"/>
        </w:rPr>
        <w:fldChar w:fldCharType="begin"/>
      </w:r>
      <w:r w:rsidR="004443BA">
        <w:rPr>
          <w:rFonts w:eastAsia="Times New Roman" w:cs="Times New Roman"/>
          <w:lang w:eastAsia="zh-CN"/>
        </w:rPr>
        <w:instrText xml:space="preserve"> REF _Ref215498955 \h </w:instrText>
      </w:r>
      <w:r w:rsidR="004443BA">
        <w:rPr>
          <w:rFonts w:eastAsia="Times New Roman" w:cs="Times New Roman"/>
          <w:lang w:eastAsia="zh-CN"/>
        </w:rPr>
      </w:r>
      <w:r w:rsidR="004443BA">
        <w:rPr>
          <w:rFonts w:eastAsia="Times New Roman" w:cs="Times New Roman"/>
          <w:lang w:eastAsia="zh-CN"/>
        </w:rPr>
        <w:fldChar w:fldCharType="separate"/>
      </w:r>
      <w:r w:rsidR="003E5E9B">
        <w:t xml:space="preserve">Figure </w:t>
      </w:r>
      <w:r w:rsidR="003E5E9B">
        <w:rPr>
          <w:noProof/>
        </w:rPr>
        <w:t>10</w:t>
      </w:r>
      <w:r w:rsidR="004443BA">
        <w:rPr>
          <w:rFonts w:eastAsia="Times New Roman" w:cs="Times New Roman"/>
          <w:lang w:eastAsia="zh-CN"/>
        </w:rPr>
        <w:fldChar w:fldCharType="end"/>
      </w:r>
      <w:r w:rsidR="004443BA">
        <w:rPr>
          <w:rFonts w:eastAsia="Times New Roman" w:cs="Times New Roman"/>
          <w:lang w:eastAsia="zh-CN"/>
        </w:rPr>
        <w:t>)</w:t>
      </w:r>
      <w:r w:rsidRPr="00A52AFD">
        <w:rPr>
          <w:rFonts w:eastAsia="Times New Roman" w:cs="Times New Roman"/>
          <w:lang w:eastAsia="zh-CN"/>
        </w:rPr>
        <w:t xml:space="preserve">. Due to this, there </w:t>
      </w:r>
      <w:r w:rsidR="36CC1826" w:rsidRPr="6345BC90">
        <w:rPr>
          <w:rFonts w:eastAsia="Times New Roman" w:cs="Times New Roman"/>
          <w:lang w:eastAsia="zh-CN"/>
        </w:rPr>
        <w:t xml:space="preserve">are </w:t>
      </w:r>
      <w:r w:rsidRPr="6345BC90">
        <w:rPr>
          <w:rFonts w:eastAsia="Times New Roman" w:cs="Times New Roman"/>
          <w:lang w:eastAsia="zh-CN"/>
        </w:rPr>
        <w:t>some efficiency losses when increasing per-mile wages. Increasing TNC wages through higher taxes on TNC users for EVs could also be unpopular, so policymakers who consider this as a tool for improving affordability should take caution, given that it would necessitate very high increases (e.g.</w:t>
      </w:r>
      <w:r w:rsidR="001D6951" w:rsidRPr="6345BC90">
        <w:rPr>
          <w:rFonts w:eastAsia="Times New Roman" w:cs="Times New Roman"/>
          <w:lang w:eastAsia="zh-CN"/>
        </w:rPr>
        <w:t>,</w:t>
      </w:r>
      <w:r w:rsidRPr="6345BC90">
        <w:rPr>
          <w:rFonts w:eastAsia="Times New Roman" w:cs="Times New Roman"/>
          <w:lang w:eastAsia="zh-CN"/>
        </w:rPr>
        <w:t xml:space="preserve"> 30% higher costs) to improve affordability for TNC drivers. Instead, policymakers should use a more moderate increase and complement it with other tools to improve affordability</w:t>
      </w:r>
      <w:bookmarkStart w:id="14" w:name="_Int_Ohvt7LYa"/>
      <w:r w:rsidRPr="6345BC90">
        <w:rPr>
          <w:rFonts w:eastAsia="Times New Roman" w:cs="Times New Roman"/>
          <w:lang w:eastAsia="zh-CN"/>
        </w:rPr>
        <w:t xml:space="preserve">.  </w:t>
      </w:r>
      <w:bookmarkEnd w:id="14"/>
    </w:p>
    <w:p w14:paraId="3DCC391D" w14:textId="77777777" w:rsidR="009140C0" w:rsidRPr="009140C0" w:rsidRDefault="009140C0" w:rsidP="009140C0"/>
    <w:p w14:paraId="675BBAC1" w14:textId="29CB1CA8" w:rsidR="00C36E17" w:rsidRPr="001059E4" w:rsidRDefault="00C36E17" w:rsidP="002B03E7"/>
    <w:p w14:paraId="56B0B66E" w14:textId="77777777" w:rsidR="00A23D5D" w:rsidRPr="000F4334" w:rsidRDefault="00A23D5D" w:rsidP="00B904E7"/>
    <w:p w14:paraId="7A9DADEE" w14:textId="77777777" w:rsidR="0087131A" w:rsidRPr="001059E4" w:rsidRDefault="0087131A" w:rsidP="0087131A"/>
    <w:sectPr w:rsidR="0087131A" w:rsidRPr="001059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8BFBBD" w14:textId="77777777" w:rsidR="00432127" w:rsidRDefault="00432127" w:rsidP="00A32514">
      <w:r>
        <w:separator/>
      </w:r>
    </w:p>
  </w:endnote>
  <w:endnote w:type="continuationSeparator" w:id="0">
    <w:p w14:paraId="18553DD8" w14:textId="77777777" w:rsidR="00432127" w:rsidRDefault="00432127" w:rsidP="00375D8E">
      <w:r>
        <w:continuationSeparator/>
      </w:r>
    </w:p>
  </w:endnote>
  <w:endnote w:type="continuationNotice" w:id="1">
    <w:p w14:paraId="3A761746" w14:textId="77777777" w:rsidR="00432127" w:rsidRDefault="00432127" w:rsidP="00A325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08786" w14:textId="77777777" w:rsidR="00432127" w:rsidRDefault="00432127" w:rsidP="00A32514">
      <w:r>
        <w:separator/>
      </w:r>
    </w:p>
  </w:footnote>
  <w:footnote w:type="continuationSeparator" w:id="0">
    <w:p w14:paraId="1BDB69C1" w14:textId="77777777" w:rsidR="00432127" w:rsidRDefault="00432127" w:rsidP="00A32514">
      <w:r>
        <w:continuationSeparator/>
      </w:r>
    </w:p>
  </w:footnote>
  <w:footnote w:type="continuationNotice" w:id="1">
    <w:p w14:paraId="5E584778" w14:textId="77777777" w:rsidR="00432127" w:rsidRDefault="00432127" w:rsidP="00A32514"/>
  </w:footnote>
</w:footnotes>
</file>

<file path=word/intelligence2.xml><?xml version="1.0" encoding="utf-8"?>
<int2:intelligence xmlns:int2="http://schemas.microsoft.com/office/intelligence/2020/intelligence" xmlns:oel="http://schemas.microsoft.com/office/2019/extlst">
  <int2:observations>
    <int2:textHash int2:hashCode="9KX9EkBx6Wy0yI" int2:id="1WZC1ymB">
      <int2:state int2:value="Rejected" int2:type="AugLoop_Text_Critique"/>
    </int2:textHash>
    <int2:textHash int2:hashCode="cTyYNy2hEowFpL" int2:id="2E2akXX0">
      <int2:state int2:value="Rejected" int2:type="AugLoop_Text_Critique"/>
      <int2:state int2:value="Rejected" int2:type="spell"/>
    </int2:textHash>
    <int2:textHash int2:hashCode="DKyEJSQMZ7hLFm" int2:id="BWXzaHGN">
      <int2:state int2:value="Rejected" int2:type="AugLoop_Text_Critique"/>
      <int2:state int2:value="Rejected" int2:type="spell"/>
    </int2:textHash>
    <int2:textHash int2:hashCode="4PFUA000ujvsg6" int2:id="MhMDPB7z">
      <int2:state int2:value="Rejected" int2:type="AugLoop_Text_Critique"/>
      <int2:state int2:value="Rejected" int2:type="spell"/>
    </int2:textHash>
    <int2:textHash int2:hashCode="4MPNXZz0FvG5Xm" int2:id="aZSgtaZT">
      <int2:state int2:value="Rejected" int2:type="AugLoop_Text_Critique"/>
      <int2:state int2:value="Rejected" int2:type="spell"/>
    </int2:textHash>
    <int2:textHash int2:hashCode="BycV9TmWgmMRK4" int2:id="ceOltYM4">
      <int2:state int2:value="Rejected" int2:type="AugLoop_Text_Critique"/>
    </int2:textHash>
    <int2:textHash int2:hashCode="TVykCN3iMNSXKb" int2:id="ebZUnPGr">
      <int2:state int2:value="Rejected" int2:type="AugLoop_Text_Critique"/>
    </int2:textHash>
    <int2:textHash int2:hashCode="1+JK8SJXTRzdMC" int2:id="fhSqnEmA">
      <int2:state int2:value="Rejected" int2:type="AugLoop_Text_Critique"/>
      <int2:state int2:value="Rejected" int2:type="spell"/>
    </int2:textHash>
    <int2:textHash int2:hashCode="gDT6D1BfBkhbpr" int2:id="gJNgTWz3">
      <int2:state int2:value="Rejected" int2:type="spell"/>
    </int2:textHash>
    <int2:textHash int2:hashCode="MzY9lwjUroWAhH" int2:id="hkgaYtpB">
      <int2:state int2:value="Rejected" int2:type="spell"/>
    </int2:textHash>
    <int2:textHash int2:hashCode="pNjmG0n4GDg6FZ" int2:id="nZzbdDdh">
      <int2:state int2:value="Rejected" int2:type="AugLoop_Text_Critique"/>
    </int2:textHash>
    <int2:textHash int2:hashCode="1v5Zxp+ltN4Zmg" int2:id="np5EbBoA">
      <int2:state int2:value="Rejected" int2:type="AugLoop_Text_Critique"/>
      <int2:state int2:value="Rejected" int2:type="spell"/>
    </int2:textHash>
    <int2:textHash int2:hashCode="sUVNa+Zi6Oadjl" int2:id="q9aDcvcb">
      <int2:state int2:value="Rejected" int2:type="AugLoop_Text_Critique"/>
    </int2:textHash>
    <int2:textHash int2:hashCode="/nZw+UFI/nH7bm" int2:id="tyhPF58Y">
      <int2:state int2:value="Rejected" int2:type="AugLoop_Text_Critique"/>
      <int2:state int2:value="Rejected" int2:type="spell"/>
    </int2:textHash>
    <int2:textHash int2:hashCode="w9zkx7X7xl9Oyh" int2:id="w71zOr60">
      <int2:state int2:value="Rejected" int2:type="AugLoop_Text_Critique"/>
      <int2:state int2:value="Rejected" int2:type="spell"/>
    </int2:textHash>
    <int2:bookmark int2:bookmarkName="_Int_rVKKRgXJ" int2:invalidationBookmarkName="" int2:hashCode="RoHRJMxsS3O6q/" int2:id="0p1tsr1n">
      <int2:state int2:value="Rejected" int2:type="style"/>
    </int2:bookmark>
    <int2:bookmark int2:bookmarkName="_Int_Ohvt7LYa" int2:invalidationBookmarkName="" int2:hashCode="RoHRJMxsS3O6q/" int2:id="2BYbvxsP">
      <int2:state int2:value="Rejected" int2:type="style"/>
    </int2:bookmark>
    <int2:bookmark int2:bookmarkName="_Int_iBOMdPBL" int2:invalidationBookmarkName="" int2:hashCode="9KsYjua5qLjgEI" int2:id="9AaWTZ3r">
      <int2:state int2:value="Rejected" int2:type="style"/>
    </int2:bookmark>
    <int2:bookmark int2:bookmarkName="_Int_M9yTOBnC" int2:invalidationBookmarkName="" int2:hashCode="RoHRJMxsS3O6q/" int2:id="9ohqA3Sh">
      <int2:state int2:value="Rejected" int2:type="style"/>
    </int2:bookmark>
    <int2:bookmark int2:bookmarkName="_Int_80tKbTxG" int2:invalidationBookmarkName="" int2:hashCode="RoHRJMxsS3O6q/" int2:id="scEarYPh">
      <int2:state int2:value="Rejected" int2:type="style"/>
    </int2:bookmark>
    <int2:bookmark int2:bookmarkName="_Int_RCtgY56d" int2:invalidationBookmarkName="" int2:hashCode="vWke2tgi64RM80" int2:id="xY8YFh1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1655E"/>
    <w:multiLevelType w:val="hybridMultilevel"/>
    <w:tmpl w:val="E75078EA"/>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2C02FD4"/>
    <w:multiLevelType w:val="multilevel"/>
    <w:tmpl w:val="32E28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F2135E"/>
    <w:multiLevelType w:val="hybridMultilevel"/>
    <w:tmpl w:val="66C28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43F39"/>
    <w:multiLevelType w:val="hybridMultilevel"/>
    <w:tmpl w:val="7D0C9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033DDC"/>
    <w:multiLevelType w:val="hybridMultilevel"/>
    <w:tmpl w:val="BF50F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E73D24"/>
    <w:multiLevelType w:val="multilevel"/>
    <w:tmpl w:val="9822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040B0D"/>
    <w:multiLevelType w:val="multilevel"/>
    <w:tmpl w:val="4D3C6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0327AC"/>
    <w:multiLevelType w:val="hybridMultilevel"/>
    <w:tmpl w:val="5D3EA910"/>
    <w:lvl w:ilvl="0" w:tplc="352406B2">
      <w:start w:val="1"/>
      <w:numFmt w:val="bullet"/>
      <w:lvlText w:val=""/>
      <w:lvlJc w:val="left"/>
      <w:pPr>
        <w:ind w:left="1020" w:hanging="360"/>
      </w:pPr>
      <w:rPr>
        <w:rFonts w:ascii="Symbol" w:hAnsi="Symbol"/>
      </w:rPr>
    </w:lvl>
    <w:lvl w:ilvl="1" w:tplc="2DBE3F52">
      <w:start w:val="1"/>
      <w:numFmt w:val="bullet"/>
      <w:lvlText w:val=""/>
      <w:lvlJc w:val="left"/>
      <w:pPr>
        <w:ind w:left="1020" w:hanging="360"/>
      </w:pPr>
      <w:rPr>
        <w:rFonts w:ascii="Symbol" w:hAnsi="Symbol"/>
      </w:rPr>
    </w:lvl>
    <w:lvl w:ilvl="2" w:tplc="81ECC7BC">
      <w:start w:val="1"/>
      <w:numFmt w:val="bullet"/>
      <w:lvlText w:val=""/>
      <w:lvlJc w:val="left"/>
      <w:pPr>
        <w:ind w:left="1020" w:hanging="360"/>
      </w:pPr>
      <w:rPr>
        <w:rFonts w:ascii="Symbol" w:hAnsi="Symbol"/>
      </w:rPr>
    </w:lvl>
    <w:lvl w:ilvl="3" w:tplc="20D29314">
      <w:start w:val="1"/>
      <w:numFmt w:val="bullet"/>
      <w:lvlText w:val=""/>
      <w:lvlJc w:val="left"/>
      <w:pPr>
        <w:ind w:left="1020" w:hanging="360"/>
      </w:pPr>
      <w:rPr>
        <w:rFonts w:ascii="Symbol" w:hAnsi="Symbol"/>
      </w:rPr>
    </w:lvl>
    <w:lvl w:ilvl="4" w:tplc="0C965A46">
      <w:start w:val="1"/>
      <w:numFmt w:val="bullet"/>
      <w:lvlText w:val=""/>
      <w:lvlJc w:val="left"/>
      <w:pPr>
        <w:ind w:left="1020" w:hanging="360"/>
      </w:pPr>
      <w:rPr>
        <w:rFonts w:ascii="Symbol" w:hAnsi="Symbol"/>
      </w:rPr>
    </w:lvl>
    <w:lvl w:ilvl="5" w:tplc="98D25A6E">
      <w:start w:val="1"/>
      <w:numFmt w:val="bullet"/>
      <w:lvlText w:val=""/>
      <w:lvlJc w:val="left"/>
      <w:pPr>
        <w:ind w:left="1020" w:hanging="360"/>
      </w:pPr>
      <w:rPr>
        <w:rFonts w:ascii="Symbol" w:hAnsi="Symbol"/>
      </w:rPr>
    </w:lvl>
    <w:lvl w:ilvl="6" w:tplc="9192FE1A">
      <w:start w:val="1"/>
      <w:numFmt w:val="bullet"/>
      <w:lvlText w:val=""/>
      <w:lvlJc w:val="left"/>
      <w:pPr>
        <w:ind w:left="1020" w:hanging="360"/>
      </w:pPr>
      <w:rPr>
        <w:rFonts w:ascii="Symbol" w:hAnsi="Symbol"/>
      </w:rPr>
    </w:lvl>
    <w:lvl w:ilvl="7" w:tplc="F23ED028">
      <w:start w:val="1"/>
      <w:numFmt w:val="bullet"/>
      <w:lvlText w:val=""/>
      <w:lvlJc w:val="left"/>
      <w:pPr>
        <w:ind w:left="1020" w:hanging="360"/>
      </w:pPr>
      <w:rPr>
        <w:rFonts w:ascii="Symbol" w:hAnsi="Symbol"/>
      </w:rPr>
    </w:lvl>
    <w:lvl w:ilvl="8" w:tplc="318E8E04">
      <w:start w:val="1"/>
      <w:numFmt w:val="bullet"/>
      <w:lvlText w:val=""/>
      <w:lvlJc w:val="left"/>
      <w:pPr>
        <w:ind w:left="1020" w:hanging="360"/>
      </w:pPr>
      <w:rPr>
        <w:rFonts w:ascii="Symbol" w:hAnsi="Symbol"/>
      </w:rPr>
    </w:lvl>
  </w:abstractNum>
  <w:abstractNum w:abstractNumId="8" w15:restartNumberingAfterBreak="0">
    <w:nsid w:val="17A720C2"/>
    <w:multiLevelType w:val="hybridMultilevel"/>
    <w:tmpl w:val="BE8C8FB0"/>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4F3976"/>
    <w:multiLevelType w:val="hybridMultilevel"/>
    <w:tmpl w:val="587283AA"/>
    <w:lvl w:ilvl="0" w:tplc="8FD2E098">
      <w:start w:val="1"/>
      <w:numFmt w:val="bullet"/>
      <w:lvlText w:val=""/>
      <w:lvlJc w:val="left"/>
      <w:pPr>
        <w:ind w:left="1020" w:hanging="360"/>
      </w:pPr>
      <w:rPr>
        <w:rFonts w:ascii="Symbol" w:hAnsi="Symbol"/>
      </w:rPr>
    </w:lvl>
    <w:lvl w:ilvl="1" w:tplc="E33E4806">
      <w:start w:val="1"/>
      <w:numFmt w:val="bullet"/>
      <w:lvlText w:val=""/>
      <w:lvlJc w:val="left"/>
      <w:pPr>
        <w:ind w:left="1020" w:hanging="360"/>
      </w:pPr>
      <w:rPr>
        <w:rFonts w:ascii="Symbol" w:hAnsi="Symbol"/>
      </w:rPr>
    </w:lvl>
    <w:lvl w:ilvl="2" w:tplc="9DD8E11E">
      <w:start w:val="1"/>
      <w:numFmt w:val="bullet"/>
      <w:lvlText w:val=""/>
      <w:lvlJc w:val="left"/>
      <w:pPr>
        <w:ind w:left="1020" w:hanging="360"/>
      </w:pPr>
      <w:rPr>
        <w:rFonts w:ascii="Symbol" w:hAnsi="Symbol"/>
      </w:rPr>
    </w:lvl>
    <w:lvl w:ilvl="3" w:tplc="D46CBB48">
      <w:start w:val="1"/>
      <w:numFmt w:val="bullet"/>
      <w:lvlText w:val=""/>
      <w:lvlJc w:val="left"/>
      <w:pPr>
        <w:ind w:left="1020" w:hanging="360"/>
      </w:pPr>
      <w:rPr>
        <w:rFonts w:ascii="Symbol" w:hAnsi="Symbol"/>
      </w:rPr>
    </w:lvl>
    <w:lvl w:ilvl="4" w:tplc="5D04B974">
      <w:start w:val="1"/>
      <w:numFmt w:val="bullet"/>
      <w:lvlText w:val=""/>
      <w:lvlJc w:val="left"/>
      <w:pPr>
        <w:ind w:left="1020" w:hanging="360"/>
      </w:pPr>
      <w:rPr>
        <w:rFonts w:ascii="Symbol" w:hAnsi="Symbol"/>
      </w:rPr>
    </w:lvl>
    <w:lvl w:ilvl="5" w:tplc="2C562CEC">
      <w:start w:val="1"/>
      <w:numFmt w:val="bullet"/>
      <w:lvlText w:val=""/>
      <w:lvlJc w:val="left"/>
      <w:pPr>
        <w:ind w:left="1020" w:hanging="360"/>
      </w:pPr>
      <w:rPr>
        <w:rFonts w:ascii="Symbol" w:hAnsi="Symbol"/>
      </w:rPr>
    </w:lvl>
    <w:lvl w:ilvl="6" w:tplc="D44AD8B0">
      <w:start w:val="1"/>
      <w:numFmt w:val="bullet"/>
      <w:lvlText w:val=""/>
      <w:lvlJc w:val="left"/>
      <w:pPr>
        <w:ind w:left="1020" w:hanging="360"/>
      </w:pPr>
      <w:rPr>
        <w:rFonts w:ascii="Symbol" w:hAnsi="Symbol"/>
      </w:rPr>
    </w:lvl>
    <w:lvl w:ilvl="7" w:tplc="955EE29C">
      <w:start w:val="1"/>
      <w:numFmt w:val="bullet"/>
      <w:lvlText w:val=""/>
      <w:lvlJc w:val="left"/>
      <w:pPr>
        <w:ind w:left="1020" w:hanging="360"/>
      </w:pPr>
      <w:rPr>
        <w:rFonts w:ascii="Symbol" w:hAnsi="Symbol"/>
      </w:rPr>
    </w:lvl>
    <w:lvl w:ilvl="8" w:tplc="1CC03D80">
      <w:start w:val="1"/>
      <w:numFmt w:val="bullet"/>
      <w:lvlText w:val=""/>
      <w:lvlJc w:val="left"/>
      <w:pPr>
        <w:ind w:left="1020" w:hanging="360"/>
      </w:pPr>
      <w:rPr>
        <w:rFonts w:ascii="Symbol" w:hAnsi="Symbol"/>
      </w:rPr>
    </w:lvl>
  </w:abstractNum>
  <w:abstractNum w:abstractNumId="10" w15:restartNumberingAfterBreak="0">
    <w:nsid w:val="19EA6A7D"/>
    <w:multiLevelType w:val="multilevel"/>
    <w:tmpl w:val="3498F4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F806BC"/>
    <w:multiLevelType w:val="hybridMultilevel"/>
    <w:tmpl w:val="11A08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245662"/>
    <w:multiLevelType w:val="multilevel"/>
    <w:tmpl w:val="900466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6D4FB3"/>
    <w:multiLevelType w:val="multilevel"/>
    <w:tmpl w:val="9124A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01E5FE2"/>
    <w:multiLevelType w:val="multilevel"/>
    <w:tmpl w:val="5E0C49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C26BDA"/>
    <w:multiLevelType w:val="multilevel"/>
    <w:tmpl w:val="D6D6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34020D"/>
    <w:multiLevelType w:val="hybridMultilevel"/>
    <w:tmpl w:val="CF463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CD787E"/>
    <w:multiLevelType w:val="multilevel"/>
    <w:tmpl w:val="B238B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4F21F2"/>
    <w:multiLevelType w:val="hybridMultilevel"/>
    <w:tmpl w:val="7BDC2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796D2A"/>
    <w:multiLevelType w:val="multilevel"/>
    <w:tmpl w:val="7D128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E35115"/>
    <w:multiLevelType w:val="multilevel"/>
    <w:tmpl w:val="B93A94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96A61A9"/>
    <w:multiLevelType w:val="hybridMultilevel"/>
    <w:tmpl w:val="A12A4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0D303D"/>
    <w:multiLevelType w:val="multilevel"/>
    <w:tmpl w:val="C6A4F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C405D2"/>
    <w:multiLevelType w:val="hybridMultilevel"/>
    <w:tmpl w:val="1B08639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C59C5B"/>
    <w:multiLevelType w:val="hybridMultilevel"/>
    <w:tmpl w:val="E24C4114"/>
    <w:lvl w:ilvl="0" w:tplc="A112AE22">
      <w:start w:val="1"/>
      <w:numFmt w:val="bullet"/>
      <w:lvlText w:val=""/>
      <w:lvlJc w:val="left"/>
      <w:pPr>
        <w:ind w:left="1080" w:hanging="360"/>
      </w:pPr>
      <w:rPr>
        <w:rFonts w:ascii="Symbol" w:hAnsi="Symbol" w:hint="default"/>
      </w:rPr>
    </w:lvl>
    <w:lvl w:ilvl="1" w:tplc="0409000F">
      <w:start w:val="1"/>
      <w:numFmt w:val="decimal"/>
      <w:lvlText w:val="%2."/>
      <w:lvlJc w:val="left"/>
      <w:pPr>
        <w:ind w:left="1800" w:hanging="360"/>
      </w:pPr>
    </w:lvl>
    <w:lvl w:ilvl="2" w:tplc="C798A8FA">
      <w:start w:val="1"/>
      <w:numFmt w:val="bullet"/>
      <w:lvlText w:val=""/>
      <w:lvlJc w:val="left"/>
      <w:pPr>
        <w:ind w:left="2520" w:hanging="360"/>
      </w:pPr>
      <w:rPr>
        <w:rFonts w:ascii="Wingdings" w:hAnsi="Wingdings" w:hint="default"/>
      </w:rPr>
    </w:lvl>
    <w:lvl w:ilvl="3" w:tplc="FF284ED4">
      <w:start w:val="1"/>
      <w:numFmt w:val="bullet"/>
      <w:lvlText w:val=""/>
      <w:lvlJc w:val="left"/>
      <w:pPr>
        <w:ind w:left="3240" w:hanging="360"/>
      </w:pPr>
      <w:rPr>
        <w:rFonts w:ascii="Symbol" w:hAnsi="Symbol" w:hint="default"/>
      </w:rPr>
    </w:lvl>
    <w:lvl w:ilvl="4" w:tplc="B2D8A0AC">
      <w:start w:val="1"/>
      <w:numFmt w:val="bullet"/>
      <w:lvlText w:val="o"/>
      <w:lvlJc w:val="left"/>
      <w:pPr>
        <w:ind w:left="3960" w:hanging="360"/>
      </w:pPr>
      <w:rPr>
        <w:rFonts w:ascii="Courier New" w:hAnsi="Courier New" w:hint="default"/>
      </w:rPr>
    </w:lvl>
    <w:lvl w:ilvl="5" w:tplc="8A54372E">
      <w:start w:val="1"/>
      <w:numFmt w:val="bullet"/>
      <w:lvlText w:val=""/>
      <w:lvlJc w:val="left"/>
      <w:pPr>
        <w:ind w:left="4680" w:hanging="360"/>
      </w:pPr>
      <w:rPr>
        <w:rFonts w:ascii="Wingdings" w:hAnsi="Wingdings" w:hint="default"/>
      </w:rPr>
    </w:lvl>
    <w:lvl w:ilvl="6" w:tplc="6FE420A2">
      <w:start w:val="1"/>
      <w:numFmt w:val="bullet"/>
      <w:lvlText w:val=""/>
      <w:lvlJc w:val="left"/>
      <w:pPr>
        <w:ind w:left="5400" w:hanging="360"/>
      </w:pPr>
      <w:rPr>
        <w:rFonts w:ascii="Symbol" w:hAnsi="Symbol" w:hint="default"/>
      </w:rPr>
    </w:lvl>
    <w:lvl w:ilvl="7" w:tplc="3ED27F58">
      <w:start w:val="1"/>
      <w:numFmt w:val="bullet"/>
      <w:lvlText w:val="o"/>
      <w:lvlJc w:val="left"/>
      <w:pPr>
        <w:ind w:left="6120" w:hanging="360"/>
      </w:pPr>
      <w:rPr>
        <w:rFonts w:ascii="Courier New" w:hAnsi="Courier New" w:hint="default"/>
      </w:rPr>
    </w:lvl>
    <w:lvl w:ilvl="8" w:tplc="FB2427FA">
      <w:start w:val="1"/>
      <w:numFmt w:val="bullet"/>
      <w:lvlText w:val=""/>
      <w:lvlJc w:val="left"/>
      <w:pPr>
        <w:ind w:left="6840" w:hanging="360"/>
      </w:pPr>
      <w:rPr>
        <w:rFonts w:ascii="Wingdings" w:hAnsi="Wingdings" w:hint="default"/>
      </w:rPr>
    </w:lvl>
  </w:abstractNum>
  <w:abstractNum w:abstractNumId="25" w15:restartNumberingAfterBreak="0">
    <w:nsid w:val="413C6253"/>
    <w:multiLevelType w:val="hybridMultilevel"/>
    <w:tmpl w:val="B87CF9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1DC5CC3"/>
    <w:multiLevelType w:val="multilevel"/>
    <w:tmpl w:val="F350E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AA711A"/>
    <w:multiLevelType w:val="hybridMultilevel"/>
    <w:tmpl w:val="BE8C8FB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476B23DE"/>
    <w:multiLevelType w:val="hybridMultilevel"/>
    <w:tmpl w:val="47E8EBD0"/>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93373E"/>
    <w:multiLevelType w:val="multilevel"/>
    <w:tmpl w:val="15CEC7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E6C4AB4"/>
    <w:multiLevelType w:val="hybridMultilevel"/>
    <w:tmpl w:val="266C7554"/>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A8200F"/>
    <w:multiLevelType w:val="hybridMultilevel"/>
    <w:tmpl w:val="9B488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5D05D5"/>
    <w:multiLevelType w:val="hybridMultilevel"/>
    <w:tmpl w:val="E0A4A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180C14"/>
    <w:multiLevelType w:val="hybridMultilevel"/>
    <w:tmpl w:val="EFE83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A914A4"/>
    <w:multiLevelType w:val="hybridMultilevel"/>
    <w:tmpl w:val="63A66EF6"/>
    <w:lvl w:ilvl="0" w:tplc="35929AAA">
      <w:start w:val="1"/>
      <w:numFmt w:val="bullet"/>
      <w:lvlText w:val=""/>
      <w:lvlJc w:val="left"/>
      <w:pPr>
        <w:ind w:left="1080" w:hanging="360"/>
      </w:pPr>
      <w:rPr>
        <w:rFonts w:ascii="Symbol" w:hAnsi="Symbol" w:hint="default"/>
      </w:rPr>
    </w:lvl>
    <w:lvl w:ilvl="1" w:tplc="019615FA">
      <w:start w:val="1"/>
      <w:numFmt w:val="bullet"/>
      <w:lvlText w:val="o"/>
      <w:lvlJc w:val="left"/>
      <w:pPr>
        <w:ind w:left="1800" w:hanging="360"/>
      </w:pPr>
      <w:rPr>
        <w:rFonts w:ascii="Courier New" w:hAnsi="Courier New" w:hint="default"/>
      </w:rPr>
    </w:lvl>
    <w:lvl w:ilvl="2" w:tplc="9528B6DC">
      <w:start w:val="1"/>
      <w:numFmt w:val="bullet"/>
      <w:lvlText w:val=""/>
      <w:lvlJc w:val="left"/>
      <w:pPr>
        <w:ind w:left="2520" w:hanging="360"/>
      </w:pPr>
      <w:rPr>
        <w:rFonts w:ascii="Wingdings" w:hAnsi="Wingdings" w:hint="default"/>
      </w:rPr>
    </w:lvl>
    <w:lvl w:ilvl="3" w:tplc="8348CAB4">
      <w:start w:val="1"/>
      <w:numFmt w:val="bullet"/>
      <w:lvlText w:val=""/>
      <w:lvlJc w:val="left"/>
      <w:pPr>
        <w:ind w:left="3240" w:hanging="360"/>
      </w:pPr>
      <w:rPr>
        <w:rFonts w:ascii="Symbol" w:hAnsi="Symbol" w:hint="default"/>
      </w:rPr>
    </w:lvl>
    <w:lvl w:ilvl="4" w:tplc="0D70D620">
      <w:start w:val="1"/>
      <w:numFmt w:val="bullet"/>
      <w:lvlText w:val="o"/>
      <w:lvlJc w:val="left"/>
      <w:pPr>
        <w:ind w:left="3960" w:hanging="360"/>
      </w:pPr>
      <w:rPr>
        <w:rFonts w:ascii="Courier New" w:hAnsi="Courier New" w:hint="default"/>
      </w:rPr>
    </w:lvl>
    <w:lvl w:ilvl="5" w:tplc="03FC1388">
      <w:start w:val="1"/>
      <w:numFmt w:val="bullet"/>
      <w:lvlText w:val=""/>
      <w:lvlJc w:val="left"/>
      <w:pPr>
        <w:ind w:left="4680" w:hanging="360"/>
      </w:pPr>
      <w:rPr>
        <w:rFonts w:ascii="Wingdings" w:hAnsi="Wingdings" w:hint="default"/>
      </w:rPr>
    </w:lvl>
    <w:lvl w:ilvl="6" w:tplc="8A346C70">
      <w:start w:val="1"/>
      <w:numFmt w:val="bullet"/>
      <w:lvlText w:val=""/>
      <w:lvlJc w:val="left"/>
      <w:pPr>
        <w:ind w:left="5400" w:hanging="360"/>
      </w:pPr>
      <w:rPr>
        <w:rFonts w:ascii="Symbol" w:hAnsi="Symbol" w:hint="default"/>
      </w:rPr>
    </w:lvl>
    <w:lvl w:ilvl="7" w:tplc="A328A138">
      <w:start w:val="1"/>
      <w:numFmt w:val="bullet"/>
      <w:lvlText w:val="o"/>
      <w:lvlJc w:val="left"/>
      <w:pPr>
        <w:ind w:left="6120" w:hanging="360"/>
      </w:pPr>
      <w:rPr>
        <w:rFonts w:ascii="Courier New" w:hAnsi="Courier New" w:hint="default"/>
      </w:rPr>
    </w:lvl>
    <w:lvl w:ilvl="8" w:tplc="7DEE8946">
      <w:start w:val="1"/>
      <w:numFmt w:val="bullet"/>
      <w:lvlText w:val=""/>
      <w:lvlJc w:val="left"/>
      <w:pPr>
        <w:ind w:left="6840" w:hanging="360"/>
      </w:pPr>
      <w:rPr>
        <w:rFonts w:ascii="Wingdings" w:hAnsi="Wingdings" w:hint="default"/>
      </w:rPr>
    </w:lvl>
  </w:abstractNum>
  <w:abstractNum w:abstractNumId="35" w15:restartNumberingAfterBreak="0">
    <w:nsid w:val="62DA2225"/>
    <w:multiLevelType w:val="hybridMultilevel"/>
    <w:tmpl w:val="978E9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2E2E2E"/>
    <w:multiLevelType w:val="hybridMultilevel"/>
    <w:tmpl w:val="BA1A18EA"/>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8172A2"/>
    <w:multiLevelType w:val="multilevel"/>
    <w:tmpl w:val="1B96C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4FC5DEF"/>
    <w:multiLevelType w:val="hybridMultilevel"/>
    <w:tmpl w:val="BE8C8FB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66121353"/>
    <w:multiLevelType w:val="multilevel"/>
    <w:tmpl w:val="1504BE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A910DEB"/>
    <w:multiLevelType w:val="hybridMultilevel"/>
    <w:tmpl w:val="28A465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BAF6C18"/>
    <w:multiLevelType w:val="hybridMultilevel"/>
    <w:tmpl w:val="5F687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D90337"/>
    <w:multiLevelType w:val="hybridMultilevel"/>
    <w:tmpl w:val="0966D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EC4891"/>
    <w:multiLevelType w:val="multilevel"/>
    <w:tmpl w:val="4AB46F3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0A11D75"/>
    <w:multiLevelType w:val="multilevel"/>
    <w:tmpl w:val="749CF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4F47EC8"/>
    <w:multiLevelType w:val="hybridMultilevel"/>
    <w:tmpl w:val="13BC9B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5DE1E4E"/>
    <w:multiLevelType w:val="hybridMultilevel"/>
    <w:tmpl w:val="B49AF19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6934371"/>
    <w:multiLevelType w:val="hybridMultilevel"/>
    <w:tmpl w:val="45BEF9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D4427A"/>
    <w:multiLevelType w:val="hybridMultilevel"/>
    <w:tmpl w:val="D4242942"/>
    <w:lvl w:ilvl="0" w:tplc="3F3EAE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125229270">
    <w:abstractNumId w:val="34"/>
  </w:num>
  <w:num w:numId="2" w16cid:durableId="528955411">
    <w:abstractNumId w:val="24"/>
  </w:num>
  <w:num w:numId="3" w16cid:durableId="389616276">
    <w:abstractNumId w:val="33"/>
  </w:num>
  <w:num w:numId="4" w16cid:durableId="902327894">
    <w:abstractNumId w:val="11"/>
  </w:num>
  <w:num w:numId="5" w16cid:durableId="2048136197">
    <w:abstractNumId w:val="18"/>
  </w:num>
  <w:num w:numId="6" w16cid:durableId="571889300">
    <w:abstractNumId w:val="13"/>
  </w:num>
  <w:num w:numId="7" w16cid:durableId="238255923">
    <w:abstractNumId w:val="15"/>
  </w:num>
  <w:num w:numId="8" w16cid:durableId="1363436745">
    <w:abstractNumId w:val="14"/>
  </w:num>
  <w:num w:numId="9" w16cid:durableId="1145052486">
    <w:abstractNumId w:val="17"/>
  </w:num>
  <w:num w:numId="10" w16cid:durableId="1081873930">
    <w:abstractNumId w:val="20"/>
  </w:num>
  <w:num w:numId="11" w16cid:durableId="448818208">
    <w:abstractNumId w:val="26"/>
  </w:num>
  <w:num w:numId="12" w16cid:durableId="1742945168">
    <w:abstractNumId w:val="39"/>
  </w:num>
  <w:num w:numId="13" w16cid:durableId="1770273706">
    <w:abstractNumId w:val="19"/>
  </w:num>
  <w:num w:numId="14" w16cid:durableId="2074884536">
    <w:abstractNumId w:val="10"/>
  </w:num>
  <w:num w:numId="15" w16cid:durableId="533423201">
    <w:abstractNumId w:val="5"/>
  </w:num>
  <w:num w:numId="16" w16cid:durableId="1400248325">
    <w:abstractNumId w:val="12"/>
  </w:num>
  <w:num w:numId="17" w16cid:durableId="1618029186">
    <w:abstractNumId w:val="22"/>
  </w:num>
  <w:num w:numId="18" w16cid:durableId="1940866512">
    <w:abstractNumId w:val="43"/>
  </w:num>
  <w:num w:numId="19" w16cid:durableId="1066415090">
    <w:abstractNumId w:val="1"/>
  </w:num>
  <w:num w:numId="20" w16cid:durableId="1376537317">
    <w:abstractNumId w:val="45"/>
  </w:num>
  <w:num w:numId="21" w16cid:durableId="1754889606">
    <w:abstractNumId w:val="35"/>
  </w:num>
  <w:num w:numId="22" w16cid:durableId="1060136685">
    <w:abstractNumId w:val="46"/>
  </w:num>
  <w:num w:numId="23" w16cid:durableId="970330066">
    <w:abstractNumId w:val="29"/>
  </w:num>
  <w:num w:numId="24" w16cid:durableId="1863933266">
    <w:abstractNumId w:val="42"/>
  </w:num>
  <w:num w:numId="25" w16cid:durableId="1567522641">
    <w:abstractNumId w:val="37"/>
  </w:num>
  <w:num w:numId="26" w16cid:durableId="1783063521">
    <w:abstractNumId w:val="6"/>
  </w:num>
  <w:num w:numId="27" w16cid:durableId="1951476379">
    <w:abstractNumId w:val="44"/>
  </w:num>
  <w:num w:numId="28" w16cid:durableId="857816063">
    <w:abstractNumId w:val="41"/>
  </w:num>
  <w:num w:numId="29" w16cid:durableId="1710260039">
    <w:abstractNumId w:val="16"/>
  </w:num>
  <w:num w:numId="30" w16cid:durableId="1451435590">
    <w:abstractNumId w:val="3"/>
  </w:num>
  <w:num w:numId="31" w16cid:durableId="1733623920">
    <w:abstractNumId w:val="2"/>
  </w:num>
  <w:num w:numId="32" w16cid:durableId="1914588048">
    <w:abstractNumId w:val="4"/>
  </w:num>
  <w:num w:numId="33" w16cid:durableId="958951909">
    <w:abstractNumId w:val="21"/>
  </w:num>
  <w:num w:numId="34" w16cid:durableId="810706891">
    <w:abstractNumId w:val="47"/>
  </w:num>
  <w:num w:numId="35" w16cid:durableId="1052384178">
    <w:abstractNumId w:val="48"/>
  </w:num>
  <w:num w:numId="36" w16cid:durableId="967323697">
    <w:abstractNumId w:val="8"/>
  </w:num>
  <w:num w:numId="37" w16cid:durableId="1541236109">
    <w:abstractNumId w:val="23"/>
  </w:num>
  <w:num w:numId="38" w16cid:durableId="458227729">
    <w:abstractNumId w:val="25"/>
  </w:num>
  <w:num w:numId="39" w16cid:durableId="444232480">
    <w:abstractNumId w:val="0"/>
  </w:num>
  <w:num w:numId="40" w16cid:durableId="1664310793">
    <w:abstractNumId w:val="32"/>
  </w:num>
  <w:num w:numId="41" w16cid:durableId="1683431670">
    <w:abstractNumId w:val="9"/>
  </w:num>
  <w:num w:numId="42" w16cid:durableId="1831019038">
    <w:abstractNumId w:val="7"/>
  </w:num>
  <w:num w:numId="43" w16cid:durableId="1235774055">
    <w:abstractNumId w:val="27"/>
  </w:num>
  <w:num w:numId="44" w16cid:durableId="1610889750">
    <w:abstractNumId w:val="38"/>
  </w:num>
  <w:num w:numId="45" w16cid:durableId="1007903612">
    <w:abstractNumId w:val="28"/>
  </w:num>
  <w:num w:numId="46" w16cid:durableId="1688363796">
    <w:abstractNumId w:val="31"/>
  </w:num>
  <w:num w:numId="47" w16cid:durableId="278295753">
    <w:abstractNumId w:val="40"/>
  </w:num>
  <w:num w:numId="48" w16cid:durableId="1971552243">
    <w:abstractNumId w:val="36"/>
  </w:num>
  <w:num w:numId="49" w16cid:durableId="68460010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A8D4476"/>
    <w:rsid w:val="0000021D"/>
    <w:rsid w:val="000006E7"/>
    <w:rsid w:val="00000CE0"/>
    <w:rsid w:val="00000F81"/>
    <w:rsid w:val="00001217"/>
    <w:rsid w:val="000018AE"/>
    <w:rsid w:val="000021B2"/>
    <w:rsid w:val="00002A34"/>
    <w:rsid w:val="00002FCB"/>
    <w:rsid w:val="0000343D"/>
    <w:rsid w:val="0000387F"/>
    <w:rsid w:val="00003AE2"/>
    <w:rsid w:val="00003D28"/>
    <w:rsid w:val="000042A9"/>
    <w:rsid w:val="00004C84"/>
    <w:rsid w:val="00004E8B"/>
    <w:rsid w:val="0000515E"/>
    <w:rsid w:val="00005498"/>
    <w:rsid w:val="00006918"/>
    <w:rsid w:val="00006B33"/>
    <w:rsid w:val="00006E19"/>
    <w:rsid w:val="000072CD"/>
    <w:rsid w:val="00007615"/>
    <w:rsid w:val="000077DE"/>
    <w:rsid w:val="00007E64"/>
    <w:rsid w:val="00007F55"/>
    <w:rsid w:val="00007F5D"/>
    <w:rsid w:val="000100FA"/>
    <w:rsid w:val="000103C0"/>
    <w:rsid w:val="00010A67"/>
    <w:rsid w:val="00010BF5"/>
    <w:rsid w:val="000113D3"/>
    <w:rsid w:val="00011589"/>
    <w:rsid w:val="00011591"/>
    <w:rsid w:val="000115FB"/>
    <w:rsid w:val="0001190C"/>
    <w:rsid w:val="00011A6D"/>
    <w:rsid w:val="00011B62"/>
    <w:rsid w:val="00011E8D"/>
    <w:rsid w:val="00012479"/>
    <w:rsid w:val="00012AD6"/>
    <w:rsid w:val="00012F9E"/>
    <w:rsid w:val="00013021"/>
    <w:rsid w:val="00013574"/>
    <w:rsid w:val="000140C8"/>
    <w:rsid w:val="000140F6"/>
    <w:rsid w:val="0001426E"/>
    <w:rsid w:val="00014312"/>
    <w:rsid w:val="00014937"/>
    <w:rsid w:val="00014F26"/>
    <w:rsid w:val="00015424"/>
    <w:rsid w:val="000160E4"/>
    <w:rsid w:val="00016383"/>
    <w:rsid w:val="000163C1"/>
    <w:rsid w:val="0001658B"/>
    <w:rsid w:val="000167E3"/>
    <w:rsid w:val="000168A8"/>
    <w:rsid w:val="000168BF"/>
    <w:rsid w:val="00016BE6"/>
    <w:rsid w:val="00016FB4"/>
    <w:rsid w:val="00017058"/>
    <w:rsid w:val="00017414"/>
    <w:rsid w:val="0001745D"/>
    <w:rsid w:val="00017650"/>
    <w:rsid w:val="00017A8B"/>
    <w:rsid w:val="00021081"/>
    <w:rsid w:val="000215CF"/>
    <w:rsid w:val="00021684"/>
    <w:rsid w:val="0002172F"/>
    <w:rsid w:val="00021745"/>
    <w:rsid w:val="000218BA"/>
    <w:rsid w:val="0002198A"/>
    <w:rsid w:val="00021DD6"/>
    <w:rsid w:val="00022141"/>
    <w:rsid w:val="000223C4"/>
    <w:rsid w:val="00022A4A"/>
    <w:rsid w:val="00022E12"/>
    <w:rsid w:val="000230C5"/>
    <w:rsid w:val="0002318F"/>
    <w:rsid w:val="0002372D"/>
    <w:rsid w:val="000237FB"/>
    <w:rsid w:val="0002386F"/>
    <w:rsid w:val="00023980"/>
    <w:rsid w:val="00023F14"/>
    <w:rsid w:val="000244CE"/>
    <w:rsid w:val="0002453A"/>
    <w:rsid w:val="000246BB"/>
    <w:rsid w:val="0002482E"/>
    <w:rsid w:val="00025184"/>
    <w:rsid w:val="0002558D"/>
    <w:rsid w:val="0002575E"/>
    <w:rsid w:val="000258BA"/>
    <w:rsid w:val="00025AFB"/>
    <w:rsid w:val="00025B3A"/>
    <w:rsid w:val="00027379"/>
    <w:rsid w:val="00027513"/>
    <w:rsid w:val="00027540"/>
    <w:rsid w:val="000275C4"/>
    <w:rsid w:val="00027692"/>
    <w:rsid w:val="00030227"/>
    <w:rsid w:val="0003037A"/>
    <w:rsid w:val="000303D1"/>
    <w:rsid w:val="00030A50"/>
    <w:rsid w:val="0003103C"/>
    <w:rsid w:val="0003156E"/>
    <w:rsid w:val="00031844"/>
    <w:rsid w:val="00031854"/>
    <w:rsid w:val="000318CA"/>
    <w:rsid w:val="00031BEF"/>
    <w:rsid w:val="00031F37"/>
    <w:rsid w:val="00032AA9"/>
    <w:rsid w:val="00032B81"/>
    <w:rsid w:val="00032FF8"/>
    <w:rsid w:val="0003365B"/>
    <w:rsid w:val="00033A86"/>
    <w:rsid w:val="00033A9F"/>
    <w:rsid w:val="00033BB6"/>
    <w:rsid w:val="000341AF"/>
    <w:rsid w:val="000351C9"/>
    <w:rsid w:val="000358D9"/>
    <w:rsid w:val="00035E52"/>
    <w:rsid w:val="00035F40"/>
    <w:rsid w:val="00035F99"/>
    <w:rsid w:val="000360A2"/>
    <w:rsid w:val="000363DD"/>
    <w:rsid w:val="00036737"/>
    <w:rsid w:val="00036C07"/>
    <w:rsid w:val="00036F07"/>
    <w:rsid w:val="00037029"/>
    <w:rsid w:val="0003743D"/>
    <w:rsid w:val="0003757A"/>
    <w:rsid w:val="000375C6"/>
    <w:rsid w:val="0003761B"/>
    <w:rsid w:val="00037771"/>
    <w:rsid w:val="00037E2E"/>
    <w:rsid w:val="00037F35"/>
    <w:rsid w:val="000403E1"/>
    <w:rsid w:val="00040A99"/>
    <w:rsid w:val="0004158D"/>
    <w:rsid w:val="000415FD"/>
    <w:rsid w:val="000416D7"/>
    <w:rsid w:val="000419C2"/>
    <w:rsid w:val="00041FCC"/>
    <w:rsid w:val="00042EF2"/>
    <w:rsid w:val="00044380"/>
    <w:rsid w:val="00044778"/>
    <w:rsid w:val="00044E78"/>
    <w:rsid w:val="00045EC4"/>
    <w:rsid w:val="00046158"/>
    <w:rsid w:val="000466C3"/>
    <w:rsid w:val="00046C08"/>
    <w:rsid w:val="00046CEE"/>
    <w:rsid w:val="00046F99"/>
    <w:rsid w:val="00047A40"/>
    <w:rsid w:val="00050151"/>
    <w:rsid w:val="000503F2"/>
    <w:rsid w:val="0005074B"/>
    <w:rsid w:val="0005094B"/>
    <w:rsid w:val="00050C1B"/>
    <w:rsid w:val="00050EB7"/>
    <w:rsid w:val="000514D8"/>
    <w:rsid w:val="00051E34"/>
    <w:rsid w:val="00052492"/>
    <w:rsid w:val="00052697"/>
    <w:rsid w:val="00052A8D"/>
    <w:rsid w:val="00052B27"/>
    <w:rsid w:val="00052D31"/>
    <w:rsid w:val="0005332D"/>
    <w:rsid w:val="000534DA"/>
    <w:rsid w:val="00053606"/>
    <w:rsid w:val="00053D3A"/>
    <w:rsid w:val="00054CD7"/>
    <w:rsid w:val="00054CD9"/>
    <w:rsid w:val="00054D4C"/>
    <w:rsid w:val="0005562F"/>
    <w:rsid w:val="00055894"/>
    <w:rsid w:val="00055A03"/>
    <w:rsid w:val="00055A75"/>
    <w:rsid w:val="00056531"/>
    <w:rsid w:val="00056A4A"/>
    <w:rsid w:val="00056B6C"/>
    <w:rsid w:val="00056C81"/>
    <w:rsid w:val="00056EF9"/>
    <w:rsid w:val="00057ECD"/>
    <w:rsid w:val="00057FC3"/>
    <w:rsid w:val="00060094"/>
    <w:rsid w:val="000603B7"/>
    <w:rsid w:val="0006122D"/>
    <w:rsid w:val="000614A9"/>
    <w:rsid w:val="00061BE3"/>
    <w:rsid w:val="00061D23"/>
    <w:rsid w:val="00061E2D"/>
    <w:rsid w:val="00062506"/>
    <w:rsid w:val="00062555"/>
    <w:rsid w:val="000628F1"/>
    <w:rsid w:val="00062B34"/>
    <w:rsid w:val="000632FA"/>
    <w:rsid w:val="000634C4"/>
    <w:rsid w:val="00063644"/>
    <w:rsid w:val="000639F4"/>
    <w:rsid w:val="0006401C"/>
    <w:rsid w:val="000641E9"/>
    <w:rsid w:val="00064438"/>
    <w:rsid w:val="0006476E"/>
    <w:rsid w:val="000655F6"/>
    <w:rsid w:val="000656BE"/>
    <w:rsid w:val="00065781"/>
    <w:rsid w:val="000659E0"/>
    <w:rsid w:val="00065F0C"/>
    <w:rsid w:val="00066124"/>
    <w:rsid w:val="00066EE2"/>
    <w:rsid w:val="00067119"/>
    <w:rsid w:val="000676D3"/>
    <w:rsid w:val="000679DA"/>
    <w:rsid w:val="0007089E"/>
    <w:rsid w:val="000710DB"/>
    <w:rsid w:val="00071E94"/>
    <w:rsid w:val="00071FE8"/>
    <w:rsid w:val="000721FC"/>
    <w:rsid w:val="00072591"/>
    <w:rsid w:val="000725FA"/>
    <w:rsid w:val="00072613"/>
    <w:rsid w:val="00072792"/>
    <w:rsid w:val="0007299C"/>
    <w:rsid w:val="00072C9E"/>
    <w:rsid w:val="00072E1A"/>
    <w:rsid w:val="000733B3"/>
    <w:rsid w:val="00073558"/>
    <w:rsid w:val="000741C2"/>
    <w:rsid w:val="000745DD"/>
    <w:rsid w:val="000745F2"/>
    <w:rsid w:val="00074744"/>
    <w:rsid w:val="00074C26"/>
    <w:rsid w:val="0007528C"/>
    <w:rsid w:val="00075614"/>
    <w:rsid w:val="0007596A"/>
    <w:rsid w:val="00075ADE"/>
    <w:rsid w:val="00076172"/>
    <w:rsid w:val="000761A4"/>
    <w:rsid w:val="00076229"/>
    <w:rsid w:val="0007664B"/>
    <w:rsid w:val="000774F3"/>
    <w:rsid w:val="00080338"/>
    <w:rsid w:val="00080D4A"/>
    <w:rsid w:val="00080EB1"/>
    <w:rsid w:val="000811AC"/>
    <w:rsid w:val="00081660"/>
    <w:rsid w:val="0008168D"/>
    <w:rsid w:val="0008178B"/>
    <w:rsid w:val="000817D3"/>
    <w:rsid w:val="0008184D"/>
    <w:rsid w:val="00082481"/>
    <w:rsid w:val="00083326"/>
    <w:rsid w:val="00083F6A"/>
    <w:rsid w:val="000843CF"/>
    <w:rsid w:val="0008499D"/>
    <w:rsid w:val="00085189"/>
    <w:rsid w:val="0008548A"/>
    <w:rsid w:val="00085E29"/>
    <w:rsid w:val="00085F2F"/>
    <w:rsid w:val="00086018"/>
    <w:rsid w:val="000860CE"/>
    <w:rsid w:val="0008620C"/>
    <w:rsid w:val="0008632C"/>
    <w:rsid w:val="00086612"/>
    <w:rsid w:val="000866F7"/>
    <w:rsid w:val="000867BF"/>
    <w:rsid w:val="00086BDF"/>
    <w:rsid w:val="00086BF2"/>
    <w:rsid w:val="000878C5"/>
    <w:rsid w:val="00087B63"/>
    <w:rsid w:val="000904B1"/>
    <w:rsid w:val="00090571"/>
    <w:rsid w:val="000909CC"/>
    <w:rsid w:val="00090AF7"/>
    <w:rsid w:val="00090F6E"/>
    <w:rsid w:val="0009106A"/>
    <w:rsid w:val="0009135F"/>
    <w:rsid w:val="00091598"/>
    <w:rsid w:val="000916CE"/>
    <w:rsid w:val="000918D4"/>
    <w:rsid w:val="00091D66"/>
    <w:rsid w:val="00092698"/>
    <w:rsid w:val="0009295A"/>
    <w:rsid w:val="00093150"/>
    <w:rsid w:val="00093504"/>
    <w:rsid w:val="0009378E"/>
    <w:rsid w:val="0009507C"/>
    <w:rsid w:val="000950F5"/>
    <w:rsid w:val="0009541A"/>
    <w:rsid w:val="00095B21"/>
    <w:rsid w:val="00095B4D"/>
    <w:rsid w:val="00095CBF"/>
    <w:rsid w:val="00095EA7"/>
    <w:rsid w:val="00095EB3"/>
    <w:rsid w:val="00096ED3"/>
    <w:rsid w:val="00097101"/>
    <w:rsid w:val="000978C9"/>
    <w:rsid w:val="00097A18"/>
    <w:rsid w:val="00097D05"/>
    <w:rsid w:val="000A03AC"/>
    <w:rsid w:val="000A082C"/>
    <w:rsid w:val="000A09D5"/>
    <w:rsid w:val="000A0A8D"/>
    <w:rsid w:val="000A0CC6"/>
    <w:rsid w:val="000A0D02"/>
    <w:rsid w:val="000A17BA"/>
    <w:rsid w:val="000A1809"/>
    <w:rsid w:val="000A1BE3"/>
    <w:rsid w:val="000A1D66"/>
    <w:rsid w:val="000A20D8"/>
    <w:rsid w:val="000A222B"/>
    <w:rsid w:val="000A2314"/>
    <w:rsid w:val="000A247E"/>
    <w:rsid w:val="000A24D0"/>
    <w:rsid w:val="000A2C0F"/>
    <w:rsid w:val="000A2CBC"/>
    <w:rsid w:val="000A2F81"/>
    <w:rsid w:val="000A3553"/>
    <w:rsid w:val="000A3CAE"/>
    <w:rsid w:val="000A425D"/>
    <w:rsid w:val="000A4438"/>
    <w:rsid w:val="000A4544"/>
    <w:rsid w:val="000A4647"/>
    <w:rsid w:val="000A4884"/>
    <w:rsid w:val="000A4A48"/>
    <w:rsid w:val="000A4EEA"/>
    <w:rsid w:val="000A5520"/>
    <w:rsid w:val="000A5A3B"/>
    <w:rsid w:val="000A619E"/>
    <w:rsid w:val="000A6333"/>
    <w:rsid w:val="000A6358"/>
    <w:rsid w:val="000A6595"/>
    <w:rsid w:val="000A6652"/>
    <w:rsid w:val="000A6672"/>
    <w:rsid w:val="000A740E"/>
    <w:rsid w:val="000A7763"/>
    <w:rsid w:val="000A7819"/>
    <w:rsid w:val="000B0213"/>
    <w:rsid w:val="000B05C1"/>
    <w:rsid w:val="000B106D"/>
    <w:rsid w:val="000B12F9"/>
    <w:rsid w:val="000B15D4"/>
    <w:rsid w:val="000B1E08"/>
    <w:rsid w:val="000B2558"/>
    <w:rsid w:val="000B2621"/>
    <w:rsid w:val="000B2C5B"/>
    <w:rsid w:val="000B32C0"/>
    <w:rsid w:val="000B32F9"/>
    <w:rsid w:val="000B3A51"/>
    <w:rsid w:val="000B3FBC"/>
    <w:rsid w:val="000B455B"/>
    <w:rsid w:val="000B5315"/>
    <w:rsid w:val="000B5EEE"/>
    <w:rsid w:val="000B5F2D"/>
    <w:rsid w:val="000B600A"/>
    <w:rsid w:val="000B6025"/>
    <w:rsid w:val="000B63CF"/>
    <w:rsid w:val="000B66D9"/>
    <w:rsid w:val="000B6DCC"/>
    <w:rsid w:val="000B7953"/>
    <w:rsid w:val="000B7A7C"/>
    <w:rsid w:val="000C0360"/>
    <w:rsid w:val="000C05DC"/>
    <w:rsid w:val="000C0C29"/>
    <w:rsid w:val="000C1987"/>
    <w:rsid w:val="000C1B28"/>
    <w:rsid w:val="000C1F3D"/>
    <w:rsid w:val="000C20D0"/>
    <w:rsid w:val="000C24C6"/>
    <w:rsid w:val="000C25C8"/>
    <w:rsid w:val="000C2668"/>
    <w:rsid w:val="000C2788"/>
    <w:rsid w:val="000C27A0"/>
    <w:rsid w:val="000C28F6"/>
    <w:rsid w:val="000C38D7"/>
    <w:rsid w:val="000C4085"/>
    <w:rsid w:val="000C4249"/>
    <w:rsid w:val="000C43D2"/>
    <w:rsid w:val="000C459A"/>
    <w:rsid w:val="000C4903"/>
    <w:rsid w:val="000C50EF"/>
    <w:rsid w:val="000C51C7"/>
    <w:rsid w:val="000C51E9"/>
    <w:rsid w:val="000C5C0E"/>
    <w:rsid w:val="000C5D0F"/>
    <w:rsid w:val="000C6312"/>
    <w:rsid w:val="000C6858"/>
    <w:rsid w:val="000C6994"/>
    <w:rsid w:val="000C7DD1"/>
    <w:rsid w:val="000C7F06"/>
    <w:rsid w:val="000D0254"/>
    <w:rsid w:val="000D0425"/>
    <w:rsid w:val="000D09C9"/>
    <w:rsid w:val="000D0F34"/>
    <w:rsid w:val="000D1048"/>
    <w:rsid w:val="000D11E6"/>
    <w:rsid w:val="000D17C2"/>
    <w:rsid w:val="000D1922"/>
    <w:rsid w:val="000D1B63"/>
    <w:rsid w:val="000D2250"/>
    <w:rsid w:val="000D226B"/>
    <w:rsid w:val="000D253B"/>
    <w:rsid w:val="000D2751"/>
    <w:rsid w:val="000D30DC"/>
    <w:rsid w:val="000D34EF"/>
    <w:rsid w:val="000D3B3D"/>
    <w:rsid w:val="000D3B56"/>
    <w:rsid w:val="000D3C07"/>
    <w:rsid w:val="000D3C60"/>
    <w:rsid w:val="000D4923"/>
    <w:rsid w:val="000D54D3"/>
    <w:rsid w:val="000D5DE6"/>
    <w:rsid w:val="000D5E62"/>
    <w:rsid w:val="000D612F"/>
    <w:rsid w:val="000D62CF"/>
    <w:rsid w:val="000D662D"/>
    <w:rsid w:val="000D69FF"/>
    <w:rsid w:val="000D6B43"/>
    <w:rsid w:val="000D6C65"/>
    <w:rsid w:val="000D709B"/>
    <w:rsid w:val="000D74E7"/>
    <w:rsid w:val="000D78CC"/>
    <w:rsid w:val="000D7DA4"/>
    <w:rsid w:val="000D7EE5"/>
    <w:rsid w:val="000D7FA9"/>
    <w:rsid w:val="000E03E4"/>
    <w:rsid w:val="000E0788"/>
    <w:rsid w:val="000E129F"/>
    <w:rsid w:val="000E1E8A"/>
    <w:rsid w:val="000E2A25"/>
    <w:rsid w:val="000E342A"/>
    <w:rsid w:val="000E3445"/>
    <w:rsid w:val="000E3AD9"/>
    <w:rsid w:val="000E43D0"/>
    <w:rsid w:val="000E53D6"/>
    <w:rsid w:val="000E5531"/>
    <w:rsid w:val="000E573E"/>
    <w:rsid w:val="000E57B1"/>
    <w:rsid w:val="000E6B8E"/>
    <w:rsid w:val="000E6F64"/>
    <w:rsid w:val="000E748F"/>
    <w:rsid w:val="000E7554"/>
    <w:rsid w:val="000E77F2"/>
    <w:rsid w:val="000E797B"/>
    <w:rsid w:val="000E7A36"/>
    <w:rsid w:val="000F00BA"/>
    <w:rsid w:val="000F0123"/>
    <w:rsid w:val="000F04AB"/>
    <w:rsid w:val="000F0809"/>
    <w:rsid w:val="000F09FD"/>
    <w:rsid w:val="000F0A0C"/>
    <w:rsid w:val="000F0DCE"/>
    <w:rsid w:val="000F17F2"/>
    <w:rsid w:val="000F1CE1"/>
    <w:rsid w:val="000F2222"/>
    <w:rsid w:val="000F27B7"/>
    <w:rsid w:val="000F28ED"/>
    <w:rsid w:val="000F2E4F"/>
    <w:rsid w:val="000F3057"/>
    <w:rsid w:val="000F306A"/>
    <w:rsid w:val="000F31E9"/>
    <w:rsid w:val="000F35B5"/>
    <w:rsid w:val="000F37B0"/>
    <w:rsid w:val="000F3BDB"/>
    <w:rsid w:val="000F3EB3"/>
    <w:rsid w:val="000F3FAA"/>
    <w:rsid w:val="000F41BD"/>
    <w:rsid w:val="000F4334"/>
    <w:rsid w:val="000F4347"/>
    <w:rsid w:val="000F4AEF"/>
    <w:rsid w:val="000F4B05"/>
    <w:rsid w:val="000F4FD6"/>
    <w:rsid w:val="000F519F"/>
    <w:rsid w:val="000F52E2"/>
    <w:rsid w:val="000F5406"/>
    <w:rsid w:val="000F57F8"/>
    <w:rsid w:val="000F5CD2"/>
    <w:rsid w:val="000F5E47"/>
    <w:rsid w:val="000F6709"/>
    <w:rsid w:val="000F6FB5"/>
    <w:rsid w:val="000F755C"/>
    <w:rsid w:val="000F78F5"/>
    <w:rsid w:val="000F79A6"/>
    <w:rsid w:val="0010035E"/>
    <w:rsid w:val="00100360"/>
    <w:rsid w:val="001003F3"/>
    <w:rsid w:val="00100936"/>
    <w:rsid w:val="00100984"/>
    <w:rsid w:val="00100EE6"/>
    <w:rsid w:val="00100FCC"/>
    <w:rsid w:val="0010107F"/>
    <w:rsid w:val="00101199"/>
    <w:rsid w:val="001013B0"/>
    <w:rsid w:val="00102DEC"/>
    <w:rsid w:val="0010378E"/>
    <w:rsid w:val="00103984"/>
    <w:rsid w:val="001039AD"/>
    <w:rsid w:val="00103C5D"/>
    <w:rsid w:val="001043C0"/>
    <w:rsid w:val="00104D31"/>
    <w:rsid w:val="00104EF7"/>
    <w:rsid w:val="0010507C"/>
    <w:rsid w:val="001058DD"/>
    <w:rsid w:val="001059E4"/>
    <w:rsid w:val="00105E1C"/>
    <w:rsid w:val="00105EE1"/>
    <w:rsid w:val="00106716"/>
    <w:rsid w:val="0010673B"/>
    <w:rsid w:val="00106DE3"/>
    <w:rsid w:val="00107830"/>
    <w:rsid w:val="00107890"/>
    <w:rsid w:val="00107D24"/>
    <w:rsid w:val="0011006C"/>
    <w:rsid w:val="001102CE"/>
    <w:rsid w:val="0011048F"/>
    <w:rsid w:val="00110E8B"/>
    <w:rsid w:val="00110F95"/>
    <w:rsid w:val="001111F0"/>
    <w:rsid w:val="00111421"/>
    <w:rsid w:val="001115B4"/>
    <w:rsid w:val="00111884"/>
    <w:rsid w:val="00112120"/>
    <w:rsid w:val="001121CD"/>
    <w:rsid w:val="00112272"/>
    <w:rsid w:val="001124E6"/>
    <w:rsid w:val="00112872"/>
    <w:rsid w:val="001129C7"/>
    <w:rsid w:val="001129D5"/>
    <w:rsid w:val="0011339D"/>
    <w:rsid w:val="00113553"/>
    <w:rsid w:val="00113B97"/>
    <w:rsid w:val="00113E78"/>
    <w:rsid w:val="00114207"/>
    <w:rsid w:val="00114517"/>
    <w:rsid w:val="00114B2C"/>
    <w:rsid w:val="00114F10"/>
    <w:rsid w:val="00115722"/>
    <w:rsid w:val="00115A78"/>
    <w:rsid w:val="00116644"/>
    <w:rsid w:val="001173F6"/>
    <w:rsid w:val="0012068E"/>
    <w:rsid w:val="001206DE"/>
    <w:rsid w:val="00120705"/>
    <w:rsid w:val="001208C6"/>
    <w:rsid w:val="00120D60"/>
    <w:rsid w:val="00120EEC"/>
    <w:rsid w:val="00120FCA"/>
    <w:rsid w:val="00121B70"/>
    <w:rsid w:val="001226D8"/>
    <w:rsid w:val="00122F51"/>
    <w:rsid w:val="00122FD9"/>
    <w:rsid w:val="0012346B"/>
    <w:rsid w:val="00123512"/>
    <w:rsid w:val="0012399E"/>
    <w:rsid w:val="001241EF"/>
    <w:rsid w:val="00124595"/>
    <w:rsid w:val="00124701"/>
    <w:rsid w:val="00124E8D"/>
    <w:rsid w:val="00125326"/>
    <w:rsid w:val="00126B42"/>
    <w:rsid w:val="00126C3D"/>
    <w:rsid w:val="00126FFD"/>
    <w:rsid w:val="0012716E"/>
    <w:rsid w:val="001273B1"/>
    <w:rsid w:val="001279DC"/>
    <w:rsid w:val="00127ED5"/>
    <w:rsid w:val="00130037"/>
    <w:rsid w:val="00130165"/>
    <w:rsid w:val="0013022D"/>
    <w:rsid w:val="001313E5"/>
    <w:rsid w:val="001314B7"/>
    <w:rsid w:val="00131AC9"/>
    <w:rsid w:val="00131B0F"/>
    <w:rsid w:val="00131BB4"/>
    <w:rsid w:val="001328F9"/>
    <w:rsid w:val="001329E7"/>
    <w:rsid w:val="00133521"/>
    <w:rsid w:val="00133999"/>
    <w:rsid w:val="00133D3F"/>
    <w:rsid w:val="00133E86"/>
    <w:rsid w:val="00133F56"/>
    <w:rsid w:val="00134360"/>
    <w:rsid w:val="00134691"/>
    <w:rsid w:val="0013524C"/>
    <w:rsid w:val="0013574C"/>
    <w:rsid w:val="00135A24"/>
    <w:rsid w:val="00135C14"/>
    <w:rsid w:val="0013670E"/>
    <w:rsid w:val="00136AB8"/>
    <w:rsid w:val="0013705C"/>
    <w:rsid w:val="0013717F"/>
    <w:rsid w:val="001372A1"/>
    <w:rsid w:val="001375C4"/>
    <w:rsid w:val="00137BC0"/>
    <w:rsid w:val="00137BD7"/>
    <w:rsid w:val="001402BF"/>
    <w:rsid w:val="001405EE"/>
    <w:rsid w:val="00140806"/>
    <w:rsid w:val="0014115B"/>
    <w:rsid w:val="00141C41"/>
    <w:rsid w:val="00141CB6"/>
    <w:rsid w:val="00141FCB"/>
    <w:rsid w:val="001420B5"/>
    <w:rsid w:val="00142435"/>
    <w:rsid w:val="001426AF"/>
    <w:rsid w:val="001429AF"/>
    <w:rsid w:val="00142C97"/>
    <w:rsid w:val="00142D9E"/>
    <w:rsid w:val="001437F4"/>
    <w:rsid w:val="00143A2B"/>
    <w:rsid w:val="00144012"/>
    <w:rsid w:val="00144437"/>
    <w:rsid w:val="00144B15"/>
    <w:rsid w:val="00144B74"/>
    <w:rsid w:val="00145301"/>
    <w:rsid w:val="0014555E"/>
    <w:rsid w:val="00145934"/>
    <w:rsid w:val="00145DAD"/>
    <w:rsid w:val="00145F00"/>
    <w:rsid w:val="00146734"/>
    <w:rsid w:val="001468A5"/>
    <w:rsid w:val="0014692D"/>
    <w:rsid w:val="001470D8"/>
    <w:rsid w:val="001473A1"/>
    <w:rsid w:val="001473E2"/>
    <w:rsid w:val="00147627"/>
    <w:rsid w:val="00147D67"/>
    <w:rsid w:val="0015075C"/>
    <w:rsid w:val="00150764"/>
    <w:rsid w:val="001509FD"/>
    <w:rsid w:val="00150EFF"/>
    <w:rsid w:val="001513B3"/>
    <w:rsid w:val="0015150E"/>
    <w:rsid w:val="00151CCA"/>
    <w:rsid w:val="00151E2F"/>
    <w:rsid w:val="00151FF0"/>
    <w:rsid w:val="00152F4C"/>
    <w:rsid w:val="001530A3"/>
    <w:rsid w:val="00153C35"/>
    <w:rsid w:val="00153C79"/>
    <w:rsid w:val="0015406F"/>
    <w:rsid w:val="001541BC"/>
    <w:rsid w:val="00154799"/>
    <w:rsid w:val="00154A86"/>
    <w:rsid w:val="00154C79"/>
    <w:rsid w:val="00154DB4"/>
    <w:rsid w:val="00154E1E"/>
    <w:rsid w:val="00155061"/>
    <w:rsid w:val="0015625A"/>
    <w:rsid w:val="001562F5"/>
    <w:rsid w:val="00156486"/>
    <w:rsid w:val="001565D0"/>
    <w:rsid w:val="0015664A"/>
    <w:rsid w:val="001568CF"/>
    <w:rsid w:val="00156911"/>
    <w:rsid w:val="00156FDA"/>
    <w:rsid w:val="00157FB9"/>
    <w:rsid w:val="0016054B"/>
    <w:rsid w:val="00160853"/>
    <w:rsid w:val="00160B32"/>
    <w:rsid w:val="00160C01"/>
    <w:rsid w:val="00160C72"/>
    <w:rsid w:val="00160D6E"/>
    <w:rsid w:val="00160E72"/>
    <w:rsid w:val="0016109D"/>
    <w:rsid w:val="00161ACB"/>
    <w:rsid w:val="00161E7A"/>
    <w:rsid w:val="001625E3"/>
    <w:rsid w:val="00162CEF"/>
    <w:rsid w:val="001635D5"/>
    <w:rsid w:val="0016386D"/>
    <w:rsid w:val="00163C51"/>
    <w:rsid w:val="00163E1D"/>
    <w:rsid w:val="0016441F"/>
    <w:rsid w:val="0016464E"/>
    <w:rsid w:val="00164CB2"/>
    <w:rsid w:val="0016520F"/>
    <w:rsid w:val="001654D8"/>
    <w:rsid w:val="001654E3"/>
    <w:rsid w:val="00165860"/>
    <w:rsid w:val="00165A58"/>
    <w:rsid w:val="0016607F"/>
    <w:rsid w:val="00166987"/>
    <w:rsid w:val="00166990"/>
    <w:rsid w:val="00166E3E"/>
    <w:rsid w:val="001678E1"/>
    <w:rsid w:val="00167AEF"/>
    <w:rsid w:val="00167B76"/>
    <w:rsid w:val="001708CB"/>
    <w:rsid w:val="00170ADF"/>
    <w:rsid w:val="00170B76"/>
    <w:rsid w:val="00170B99"/>
    <w:rsid w:val="00170E50"/>
    <w:rsid w:val="00171DED"/>
    <w:rsid w:val="00171E0B"/>
    <w:rsid w:val="0017231B"/>
    <w:rsid w:val="00172D40"/>
    <w:rsid w:val="00172E2A"/>
    <w:rsid w:val="00172E4E"/>
    <w:rsid w:val="0017331D"/>
    <w:rsid w:val="001738C7"/>
    <w:rsid w:val="0017395F"/>
    <w:rsid w:val="00174489"/>
    <w:rsid w:val="001745E6"/>
    <w:rsid w:val="00174FBB"/>
    <w:rsid w:val="0017532E"/>
    <w:rsid w:val="001757BC"/>
    <w:rsid w:val="00175DA2"/>
    <w:rsid w:val="001760C9"/>
    <w:rsid w:val="00176391"/>
    <w:rsid w:val="00176500"/>
    <w:rsid w:val="00176915"/>
    <w:rsid w:val="00176D21"/>
    <w:rsid w:val="00177142"/>
    <w:rsid w:val="0017714E"/>
    <w:rsid w:val="001775A3"/>
    <w:rsid w:val="00177BB4"/>
    <w:rsid w:val="00177C6A"/>
    <w:rsid w:val="00177C87"/>
    <w:rsid w:val="00177EB3"/>
    <w:rsid w:val="001801F6"/>
    <w:rsid w:val="0018051E"/>
    <w:rsid w:val="0018071D"/>
    <w:rsid w:val="00180DF4"/>
    <w:rsid w:val="0018116B"/>
    <w:rsid w:val="0018163B"/>
    <w:rsid w:val="001818D9"/>
    <w:rsid w:val="00181A57"/>
    <w:rsid w:val="00181BBB"/>
    <w:rsid w:val="00181C1D"/>
    <w:rsid w:val="00181D96"/>
    <w:rsid w:val="00181DEE"/>
    <w:rsid w:val="001828E9"/>
    <w:rsid w:val="00182A84"/>
    <w:rsid w:val="00182C5F"/>
    <w:rsid w:val="00182F54"/>
    <w:rsid w:val="001832B7"/>
    <w:rsid w:val="001833E1"/>
    <w:rsid w:val="00183668"/>
    <w:rsid w:val="001836E5"/>
    <w:rsid w:val="001837E3"/>
    <w:rsid w:val="00183BED"/>
    <w:rsid w:val="00183D81"/>
    <w:rsid w:val="001841A1"/>
    <w:rsid w:val="001843BB"/>
    <w:rsid w:val="00184E9A"/>
    <w:rsid w:val="00184F0B"/>
    <w:rsid w:val="00185526"/>
    <w:rsid w:val="00185DF6"/>
    <w:rsid w:val="0018601A"/>
    <w:rsid w:val="00186852"/>
    <w:rsid w:val="00186962"/>
    <w:rsid w:val="00186B71"/>
    <w:rsid w:val="00186BE1"/>
    <w:rsid w:val="00186C22"/>
    <w:rsid w:val="00187467"/>
    <w:rsid w:val="001875E0"/>
    <w:rsid w:val="0018761C"/>
    <w:rsid w:val="00187636"/>
    <w:rsid w:val="001878FC"/>
    <w:rsid w:val="00187FCD"/>
    <w:rsid w:val="0019051D"/>
    <w:rsid w:val="001906C6"/>
    <w:rsid w:val="001924CF"/>
    <w:rsid w:val="001928F0"/>
    <w:rsid w:val="001929F9"/>
    <w:rsid w:val="00192AB9"/>
    <w:rsid w:val="00192B21"/>
    <w:rsid w:val="00192B67"/>
    <w:rsid w:val="00193037"/>
    <w:rsid w:val="00193BFB"/>
    <w:rsid w:val="00193F63"/>
    <w:rsid w:val="001942A6"/>
    <w:rsid w:val="001952A6"/>
    <w:rsid w:val="00195A8F"/>
    <w:rsid w:val="00196277"/>
    <w:rsid w:val="00196386"/>
    <w:rsid w:val="00197098"/>
    <w:rsid w:val="00197783"/>
    <w:rsid w:val="00197F76"/>
    <w:rsid w:val="001A07F9"/>
    <w:rsid w:val="001A0847"/>
    <w:rsid w:val="001A0A0F"/>
    <w:rsid w:val="001A0C75"/>
    <w:rsid w:val="001A0FB6"/>
    <w:rsid w:val="001A1066"/>
    <w:rsid w:val="001A121C"/>
    <w:rsid w:val="001A1D5F"/>
    <w:rsid w:val="001A1DDF"/>
    <w:rsid w:val="001A25BF"/>
    <w:rsid w:val="001A293A"/>
    <w:rsid w:val="001A3711"/>
    <w:rsid w:val="001A37D1"/>
    <w:rsid w:val="001A380E"/>
    <w:rsid w:val="001A3815"/>
    <w:rsid w:val="001A3C84"/>
    <w:rsid w:val="001A3D00"/>
    <w:rsid w:val="001A3F87"/>
    <w:rsid w:val="001A3FD6"/>
    <w:rsid w:val="001A43CD"/>
    <w:rsid w:val="001A4B63"/>
    <w:rsid w:val="001A54A6"/>
    <w:rsid w:val="001A569E"/>
    <w:rsid w:val="001A5E70"/>
    <w:rsid w:val="001A6DB9"/>
    <w:rsid w:val="001A702E"/>
    <w:rsid w:val="001A7395"/>
    <w:rsid w:val="001A74BA"/>
    <w:rsid w:val="001A7D1A"/>
    <w:rsid w:val="001B0273"/>
    <w:rsid w:val="001B0297"/>
    <w:rsid w:val="001B05F0"/>
    <w:rsid w:val="001B07E0"/>
    <w:rsid w:val="001B09CF"/>
    <w:rsid w:val="001B1233"/>
    <w:rsid w:val="001B1758"/>
    <w:rsid w:val="001B17E5"/>
    <w:rsid w:val="001B1954"/>
    <w:rsid w:val="001B1DF0"/>
    <w:rsid w:val="001B1F3D"/>
    <w:rsid w:val="001B2473"/>
    <w:rsid w:val="001B24C2"/>
    <w:rsid w:val="001B2C69"/>
    <w:rsid w:val="001B3AA5"/>
    <w:rsid w:val="001B3C80"/>
    <w:rsid w:val="001B3F2E"/>
    <w:rsid w:val="001B418C"/>
    <w:rsid w:val="001B447B"/>
    <w:rsid w:val="001B460C"/>
    <w:rsid w:val="001B4669"/>
    <w:rsid w:val="001B4738"/>
    <w:rsid w:val="001B58B1"/>
    <w:rsid w:val="001B5A3E"/>
    <w:rsid w:val="001B5AE2"/>
    <w:rsid w:val="001B5B4F"/>
    <w:rsid w:val="001B5E9A"/>
    <w:rsid w:val="001B5EEE"/>
    <w:rsid w:val="001B6571"/>
    <w:rsid w:val="001B6C9A"/>
    <w:rsid w:val="001B6D29"/>
    <w:rsid w:val="001B7030"/>
    <w:rsid w:val="001B736A"/>
    <w:rsid w:val="001B7EC0"/>
    <w:rsid w:val="001C0129"/>
    <w:rsid w:val="001C0209"/>
    <w:rsid w:val="001C051D"/>
    <w:rsid w:val="001C076B"/>
    <w:rsid w:val="001C0A1C"/>
    <w:rsid w:val="001C0D00"/>
    <w:rsid w:val="001C0D62"/>
    <w:rsid w:val="001C12AE"/>
    <w:rsid w:val="001C149A"/>
    <w:rsid w:val="001C1539"/>
    <w:rsid w:val="001C1822"/>
    <w:rsid w:val="001C1AAE"/>
    <w:rsid w:val="001C21F7"/>
    <w:rsid w:val="001C22E7"/>
    <w:rsid w:val="001C2596"/>
    <w:rsid w:val="001C25EB"/>
    <w:rsid w:val="001C28F8"/>
    <w:rsid w:val="001C2D41"/>
    <w:rsid w:val="001C2F49"/>
    <w:rsid w:val="001C2F99"/>
    <w:rsid w:val="001C2FF8"/>
    <w:rsid w:val="001C348E"/>
    <w:rsid w:val="001C35E8"/>
    <w:rsid w:val="001C38E1"/>
    <w:rsid w:val="001C3CB2"/>
    <w:rsid w:val="001C3DAC"/>
    <w:rsid w:val="001C4235"/>
    <w:rsid w:val="001C4362"/>
    <w:rsid w:val="001C4393"/>
    <w:rsid w:val="001C5862"/>
    <w:rsid w:val="001C5866"/>
    <w:rsid w:val="001C63EC"/>
    <w:rsid w:val="001C6B59"/>
    <w:rsid w:val="001C72DA"/>
    <w:rsid w:val="001C73DB"/>
    <w:rsid w:val="001C77BC"/>
    <w:rsid w:val="001C796D"/>
    <w:rsid w:val="001D03E2"/>
    <w:rsid w:val="001D0482"/>
    <w:rsid w:val="001D051F"/>
    <w:rsid w:val="001D0624"/>
    <w:rsid w:val="001D0772"/>
    <w:rsid w:val="001D1090"/>
    <w:rsid w:val="001D130D"/>
    <w:rsid w:val="001D17D0"/>
    <w:rsid w:val="001D2529"/>
    <w:rsid w:val="001D26AF"/>
    <w:rsid w:val="001D2E91"/>
    <w:rsid w:val="001D31C1"/>
    <w:rsid w:val="001D3241"/>
    <w:rsid w:val="001D3704"/>
    <w:rsid w:val="001D383F"/>
    <w:rsid w:val="001D3B4E"/>
    <w:rsid w:val="001D3C36"/>
    <w:rsid w:val="001D3EB9"/>
    <w:rsid w:val="001D518F"/>
    <w:rsid w:val="001D5234"/>
    <w:rsid w:val="001D54D7"/>
    <w:rsid w:val="001D5718"/>
    <w:rsid w:val="001D573A"/>
    <w:rsid w:val="001D5B59"/>
    <w:rsid w:val="001D6005"/>
    <w:rsid w:val="001D6529"/>
    <w:rsid w:val="001D6558"/>
    <w:rsid w:val="001D66BA"/>
    <w:rsid w:val="001D67EE"/>
    <w:rsid w:val="001D6951"/>
    <w:rsid w:val="001D7174"/>
    <w:rsid w:val="001D7550"/>
    <w:rsid w:val="001E0016"/>
    <w:rsid w:val="001E01F7"/>
    <w:rsid w:val="001E0212"/>
    <w:rsid w:val="001E07D0"/>
    <w:rsid w:val="001E1914"/>
    <w:rsid w:val="001E1F4A"/>
    <w:rsid w:val="001E1F6F"/>
    <w:rsid w:val="001E2358"/>
    <w:rsid w:val="001E2DF7"/>
    <w:rsid w:val="001E32BE"/>
    <w:rsid w:val="001E3438"/>
    <w:rsid w:val="001E3766"/>
    <w:rsid w:val="001E3A66"/>
    <w:rsid w:val="001E3BA9"/>
    <w:rsid w:val="001E3F1F"/>
    <w:rsid w:val="001E441D"/>
    <w:rsid w:val="001E5276"/>
    <w:rsid w:val="001E60F8"/>
    <w:rsid w:val="001E65DA"/>
    <w:rsid w:val="001E6731"/>
    <w:rsid w:val="001E6974"/>
    <w:rsid w:val="001E6E95"/>
    <w:rsid w:val="001E72A7"/>
    <w:rsid w:val="001E760C"/>
    <w:rsid w:val="001E78D6"/>
    <w:rsid w:val="001E7BA3"/>
    <w:rsid w:val="001E7FE1"/>
    <w:rsid w:val="001F036E"/>
    <w:rsid w:val="001F099E"/>
    <w:rsid w:val="001F0BA0"/>
    <w:rsid w:val="001F0BA6"/>
    <w:rsid w:val="001F0E92"/>
    <w:rsid w:val="001F1002"/>
    <w:rsid w:val="001F100E"/>
    <w:rsid w:val="001F1548"/>
    <w:rsid w:val="001F15B4"/>
    <w:rsid w:val="001F1862"/>
    <w:rsid w:val="001F25CB"/>
    <w:rsid w:val="001F30DD"/>
    <w:rsid w:val="001F3336"/>
    <w:rsid w:val="001F334A"/>
    <w:rsid w:val="001F337A"/>
    <w:rsid w:val="001F33FE"/>
    <w:rsid w:val="001F3859"/>
    <w:rsid w:val="001F3A02"/>
    <w:rsid w:val="001F41B1"/>
    <w:rsid w:val="001F45ED"/>
    <w:rsid w:val="001F516F"/>
    <w:rsid w:val="001F5CEB"/>
    <w:rsid w:val="001F61D6"/>
    <w:rsid w:val="001F648A"/>
    <w:rsid w:val="001F66E4"/>
    <w:rsid w:val="001F6883"/>
    <w:rsid w:val="001F6923"/>
    <w:rsid w:val="001F6CBE"/>
    <w:rsid w:val="001F6D71"/>
    <w:rsid w:val="001F714D"/>
    <w:rsid w:val="001F78B5"/>
    <w:rsid w:val="001F7BB9"/>
    <w:rsid w:val="0020016F"/>
    <w:rsid w:val="00200954"/>
    <w:rsid w:val="00200BE8"/>
    <w:rsid w:val="00200D1F"/>
    <w:rsid w:val="00200D58"/>
    <w:rsid w:val="00201627"/>
    <w:rsid w:val="0020166C"/>
    <w:rsid w:val="00201796"/>
    <w:rsid w:val="00201D5E"/>
    <w:rsid w:val="00201E58"/>
    <w:rsid w:val="00201EA5"/>
    <w:rsid w:val="0020264D"/>
    <w:rsid w:val="00203419"/>
    <w:rsid w:val="0020353F"/>
    <w:rsid w:val="00203958"/>
    <w:rsid w:val="00203F1D"/>
    <w:rsid w:val="00203F1F"/>
    <w:rsid w:val="00204108"/>
    <w:rsid w:val="00204657"/>
    <w:rsid w:val="002049F6"/>
    <w:rsid w:val="00204A3A"/>
    <w:rsid w:val="00204B5E"/>
    <w:rsid w:val="00204CE6"/>
    <w:rsid w:val="002053BB"/>
    <w:rsid w:val="00205E1B"/>
    <w:rsid w:val="00206197"/>
    <w:rsid w:val="002062A3"/>
    <w:rsid w:val="00206CCA"/>
    <w:rsid w:val="00207D08"/>
    <w:rsid w:val="0021017D"/>
    <w:rsid w:val="002101F5"/>
    <w:rsid w:val="00210DA6"/>
    <w:rsid w:val="00210F06"/>
    <w:rsid w:val="002111C2"/>
    <w:rsid w:val="00211249"/>
    <w:rsid w:val="00212862"/>
    <w:rsid w:val="0021293A"/>
    <w:rsid w:val="0021294C"/>
    <w:rsid w:val="00212DAD"/>
    <w:rsid w:val="00213558"/>
    <w:rsid w:val="00213F3A"/>
    <w:rsid w:val="00214367"/>
    <w:rsid w:val="00214A67"/>
    <w:rsid w:val="00214D50"/>
    <w:rsid w:val="00215904"/>
    <w:rsid w:val="00215E0B"/>
    <w:rsid w:val="00216205"/>
    <w:rsid w:val="00217126"/>
    <w:rsid w:val="00220A6E"/>
    <w:rsid w:val="00220ACB"/>
    <w:rsid w:val="00220BF6"/>
    <w:rsid w:val="00220D14"/>
    <w:rsid w:val="00220FAB"/>
    <w:rsid w:val="00221768"/>
    <w:rsid w:val="00221E81"/>
    <w:rsid w:val="00221FDC"/>
    <w:rsid w:val="0022211E"/>
    <w:rsid w:val="002224FB"/>
    <w:rsid w:val="002225D0"/>
    <w:rsid w:val="0022267B"/>
    <w:rsid w:val="002227FB"/>
    <w:rsid w:val="00222920"/>
    <w:rsid w:val="002232D7"/>
    <w:rsid w:val="0022385D"/>
    <w:rsid w:val="00223BE6"/>
    <w:rsid w:val="00223C5C"/>
    <w:rsid w:val="00223E8F"/>
    <w:rsid w:val="00224405"/>
    <w:rsid w:val="0022477D"/>
    <w:rsid w:val="00225177"/>
    <w:rsid w:val="0022556D"/>
    <w:rsid w:val="0022568D"/>
    <w:rsid w:val="00225D1F"/>
    <w:rsid w:val="00226441"/>
    <w:rsid w:val="002264AC"/>
    <w:rsid w:val="00226CEB"/>
    <w:rsid w:val="0022740B"/>
    <w:rsid w:val="002275C4"/>
    <w:rsid w:val="002276E1"/>
    <w:rsid w:val="00227805"/>
    <w:rsid w:val="00227A23"/>
    <w:rsid w:val="00227A58"/>
    <w:rsid w:val="00227A7D"/>
    <w:rsid w:val="00227C73"/>
    <w:rsid w:val="00227D95"/>
    <w:rsid w:val="00227EAD"/>
    <w:rsid w:val="0023004E"/>
    <w:rsid w:val="002303A6"/>
    <w:rsid w:val="002308FA"/>
    <w:rsid w:val="00230B0E"/>
    <w:rsid w:val="00230D1D"/>
    <w:rsid w:val="00230D4E"/>
    <w:rsid w:val="002316E1"/>
    <w:rsid w:val="0023185B"/>
    <w:rsid w:val="00232275"/>
    <w:rsid w:val="0023339E"/>
    <w:rsid w:val="00233F37"/>
    <w:rsid w:val="00234106"/>
    <w:rsid w:val="00234BC8"/>
    <w:rsid w:val="00234FAB"/>
    <w:rsid w:val="00235047"/>
    <w:rsid w:val="002352D0"/>
    <w:rsid w:val="00235DED"/>
    <w:rsid w:val="00236280"/>
    <w:rsid w:val="0023668A"/>
    <w:rsid w:val="002368C1"/>
    <w:rsid w:val="00236B4C"/>
    <w:rsid w:val="00236C09"/>
    <w:rsid w:val="00236CEA"/>
    <w:rsid w:val="002372EF"/>
    <w:rsid w:val="00237E87"/>
    <w:rsid w:val="00240373"/>
    <w:rsid w:val="00240685"/>
    <w:rsid w:val="0024077F"/>
    <w:rsid w:val="002410E4"/>
    <w:rsid w:val="00241B3A"/>
    <w:rsid w:val="00241D0D"/>
    <w:rsid w:val="00241EC8"/>
    <w:rsid w:val="0024254F"/>
    <w:rsid w:val="00242EE2"/>
    <w:rsid w:val="00243292"/>
    <w:rsid w:val="00243895"/>
    <w:rsid w:val="00243ACD"/>
    <w:rsid w:val="00243D11"/>
    <w:rsid w:val="00244E87"/>
    <w:rsid w:val="00244F72"/>
    <w:rsid w:val="0024523A"/>
    <w:rsid w:val="002453FE"/>
    <w:rsid w:val="002455A1"/>
    <w:rsid w:val="002458E9"/>
    <w:rsid w:val="00245E8B"/>
    <w:rsid w:val="00245ECC"/>
    <w:rsid w:val="00245FAC"/>
    <w:rsid w:val="00246ABF"/>
    <w:rsid w:val="00246B31"/>
    <w:rsid w:val="00246CD7"/>
    <w:rsid w:val="00246F75"/>
    <w:rsid w:val="002472E9"/>
    <w:rsid w:val="002473E7"/>
    <w:rsid w:val="002474EE"/>
    <w:rsid w:val="002475CE"/>
    <w:rsid w:val="0024778D"/>
    <w:rsid w:val="00247DA3"/>
    <w:rsid w:val="00247DF5"/>
    <w:rsid w:val="0025049C"/>
    <w:rsid w:val="00250989"/>
    <w:rsid w:val="002518CA"/>
    <w:rsid w:val="002518D5"/>
    <w:rsid w:val="002521AE"/>
    <w:rsid w:val="00252399"/>
    <w:rsid w:val="00252451"/>
    <w:rsid w:val="002524E6"/>
    <w:rsid w:val="00252A2D"/>
    <w:rsid w:val="002530F0"/>
    <w:rsid w:val="0025470B"/>
    <w:rsid w:val="00254950"/>
    <w:rsid w:val="00254B42"/>
    <w:rsid w:val="00255B42"/>
    <w:rsid w:val="00255BC3"/>
    <w:rsid w:val="002569CC"/>
    <w:rsid w:val="00256C1D"/>
    <w:rsid w:val="00256EF1"/>
    <w:rsid w:val="002571A9"/>
    <w:rsid w:val="0025788D"/>
    <w:rsid w:val="00257DEB"/>
    <w:rsid w:val="00257EEB"/>
    <w:rsid w:val="00260054"/>
    <w:rsid w:val="0026013B"/>
    <w:rsid w:val="002601BE"/>
    <w:rsid w:val="002606B9"/>
    <w:rsid w:val="002608AF"/>
    <w:rsid w:val="002608C0"/>
    <w:rsid w:val="00261094"/>
    <w:rsid w:val="00261816"/>
    <w:rsid w:val="00261B30"/>
    <w:rsid w:val="00261DF0"/>
    <w:rsid w:val="00261E85"/>
    <w:rsid w:val="002620B7"/>
    <w:rsid w:val="00263263"/>
    <w:rsid w:val="002637CE"/>
    <w:rsid w:val="0026499B"/>
    <w:rsid w:val="00264E5A"/>
    <w:rsid w:val="00265343"/>
    <w:rsid w:val="00265667"/>
    <w:rsid w:val="00265751"/>
    <w:rsid w:val="00265B72"/>
    <w:rsid w:val="00265D2A"/>
    <w:rsid w:val="00265D5C"/>
    <w:rsid w:val="00266B81"/>
    <w:rsid w:val="00267310"/>
    <w:rsid w:val="00267FFE"/>
    <w:rsid w:val="0027047A"/>
    <w:rsid w:val="002705C3"/>
    <w:rsid w:val="00270688"/>
    <w:rsid w:val="00270CB1"/>
    <w:rsid w:val="00270E97"/>
    <w:rsid w:val="00270F78"/>
    <w:rsid w:val="0027134B"/>
    <w:rsid w:val="00271F6C"/>
    <w:rsid w:val="00272767"/>
    <w:rsid w:val="00272D42"/>
    <w:rsid w:val="00272E47"/>
    <w:rsid w:val="00272F91"/>
    <w:rsid w:val="00275312"/>
    <w:rsid w:val="002756EE"/>
    <w:rsid w:val="002758CD"/>
    <w:rsid w:val="0027680A"/>
    <w:rsid w:val="00276A80"/>
    <w:rsid w:val="00276B1F"/>
    <w:rsid w:val="00276F2F"/>
    <w:rsid w:val="0027712C"/>
    <w:rsid w:val="002772C0"/>
    <w:rsid w:val="002777FB"/>
    <w:rsid w:val="0027787B"/>
    <w:rsid w:val="002779B5"/>
    <w:rsid w:val="00277DA8"/>
    <w:rsid w:val="0028016E"/>
    <w:rsid w:val="0028019A"/>
    <w:rsid w:val="002806EE"/>
    <w:rsid w:val="00280ACA"/>
    <w:rsid w:val="00280ACC"/>
    <w:rsid w:val="00280BE1"/>
    <w:rsid w:val="002810DB"/>
    <w:rsid w:val="002815CC"/>
    <w:rsid w:val="00281ACB"/>
    <w:rsid w:val="002824CA"/>
    <w:rsid w:val="002829E5"/>
    <w:rsid w:val="00282BBA"/>
    <w:rsid w:val="00282C78"/>
    <w:rsid w:val="00282E42"/>
    <w:rsid w:val="002849B6"/>
    <w:rsid w:val="002849F7"/>
    <w:rsid w:val="00284A43"/>
    <w:rsid w:val="00284BA8"/>
    <w:rsid w:val="00284D40"/>
    <w:rsid w:val="0028522A"/>
    <w:rsid w:val="00285340"/>
    <w:rsid w:val="00285602"/>
    <w:rsid w:val="002859AE"/>
    <w:rsid w:val="0028609E"/>
    <w:rsid w:val="0028651A"/>
    <w:rsid w:val="00286931"/>
    <w:rsid w:val="00286DE4"/>
    <w:rsid w:val="002873E7"/>
    <w:rsid w:val="002876FD"/>
    <w:rsid w:val="002878D3"/>
    <w:rsid w:val="00287C16"/>
    <w:rsid w:val="00287D25"/>
    <w:rsid w:val="00287ED7"/>
    <w:rsid w:val="00290252"/>
    <w:rsid w:val="0029054E"/>
    <w:rsid w:val="00290847"/>
    <w:rsid w:val="00290DB6"/>
    <w:rsid w:val="00291154"/>
    <w:rsid w:val="0029145B"/>
    <w:rsid w:val="00291471"/>
    <w:rsid w:val="002916E3"/>
    <w:rsid w:val="00291844"/>
    <w:rsid w:val="00291DD3"/>
    <w:rsid w:val="00291F89"/>
    <w:rsid w:val="002920A2"/>
    <w:rsid w:val="002927B4"/>
    <w:rsid w:val="00292A03"/>
    <w:rsid w:val="00292B96"/>
    <w:rsid w:val="002938A7"/>
    <w:rsid w:val="00293D02"/>
    <w:rsid w:val="00293DED"/>
    <w:rsid w:val="00293F83"/>
    <w:rsid w:val="00294116"/>
    <w:rsid w:val="002946A9"/>
    <w:rsid w:val="00294CD7"/>
    <w:rsid w:val="002952D3"/>
    <w:rsid w:val="00295356"/>
    <w:rsid w:val="002953AC"/>
    <w:rsid w:val="002953DF"/>
    <w:rsid w:val="0029547E"/>
    <w:rsid w:val="0029575F"/>
    <w:rsid w:val="00295775"/>
    <w:rsid w:val="00295A60"/>
    <w:rsid w:val="00295B67"/>
    <w:rsid w:val="0029618E"/>
    <w:rsid w:val="00296B78"/>
    <w:rsid w:val="00296F33"/>
    <w:rsid w:val="00297007"/>
    <w:rsid w:val="00297794"/>
    <w:rsid w:val="00297830"/>
    <w:rsid w:val="00297A39"/>
    <w:rsid w:val="00297B24"/>
    <w:rsid w:val="00297D3B"/>
    <w:rsid w:val="002A13E4"/>
    <w:rsid w:val="002A1692"/>
    <w:rsid w:val="002A16DF"/>
    <w:rsid w:val="002A1796"/>
    <w:rsid w:val="002A2242"/>
    <w:rsid w:val="002A226C"/>
    <w:rsid w:val="002A22BE"/>
    <w:rsid w:val="002A38F3"/>
    <w:rsid w:val="002A3B21"/>
    <w:rsid w:val="002A3C18"/>
    <w:rsid w:val="002A44DC"/>
    <w:rsid w:val="002A4971"/>
    <w:rsid w:val="002A4C74"/>
    <w:rsid w:val="002A4EBA"/>
    <w:rsid w:val="002A5B76"/>
    <w:rsid w:val="002A6131"/>
    <w:rsid w:val="002A6BA6"/>
    <w:rsid w:val="002A6D19"/>
    <w:rsid w:val="002A72C2"/>
    <w:rsid w:val="002A72FC"/>
    <w:rsid w:val="002A7A3A"/>
    <w:rsid w:val="002B029A"/>
    <w:rsid w:val="002B03E7"/>
    <w:rsid w:val="002B0C04"/>
    <w:rsid w:val="002B1B43"/>
    <w:rsid w:val="002B227D"/>
    <w:rsid w:val="002B2669"/>
    <w:rsid w:val="002B273D"/>
    <w:rsid w:val="002B280B"/>
    <w:rsid w:val="002B2A7D"/>
    <w:rsid w:val="002B3013"/>
    <w:rsid w:val="002B3184"/>
    <w:rsid w:val="002B323C"/>
    <w:rsid w:val="002B352A"/>
    <w:rsid w:val="002B3644"/>
    <w:rsid w:val="002B3839"/>
    <w:rsid w:val="002B4337"/>
    <w:rsid w:val="002B4461"/>
    <w:rsid w:val="002B447A"/>
    <w:rsid w:val="002B470E"/>
    <w:rsid w:val="002B4F70"/>
    <w:rsid w:val="002B595B"/>
    <w:rsid w:val="002B5A9B"/>
    <w:rsid w:val="002B5B5C"/>
    <w:rsid w:val="002B614D"/>
    <w:rsid w:val="002B629B"/>
    <w:rsid w:val="002B6324"/>
    <w:rsid w:val="002B6A2B"/>
    <w:rsid w:val="002B7020"/>
    <w:rsid w:val="002B7158"/>
    <w:rsid w:val="002B7C56"/>
    <w:rsid w:val="002B7EB6"/>
    <w:rsid w:val="002C0040"/>
    <w:rsid w:val="002C00AE"/>
    <w:rsid w:val="002C03E5"/>
    <w:rsid w:val="002C07A8"/>
    <w:rsid w:val="002C1155"/>
    <w:rsid w:val="002C15F1"/>
    <w:rsid w:val="002C1635"/>
    <w:rsid w:val="002C1FE8"/>
    <w:rsid w:val="002C2117"/>
    <w:rsid w:val="002C22FA"/>
    <w:rsid w:val="002C24D1"/>
    <w:rsid w:val="002C25AB"/>
    <w:rsid w:val="002C2EE2"/>
    <w:rsid w:val="002C30D4"/>
    <w:rsid w:val="002C351E"/>
    <w:rsid w:val="002C3E24"/>
    <w:rsid w:val="002C4AB6"/>
    <w:rsid w:val="002C502C"/>
    <w:rsid w:val="002C5A04"/>
    <w:rsid w:val="002C612B"/>
    <w:rsid w:val="002C662B"/>
    <w:rsid w:val="002C666C"/>
    <w:rsid w:val="002C689F"/>
    <w:rsid w:val="002C69D8"/>
    <w:rsid w:val="002C6D16"/>
    <w:rsid w:val="002C7B22"/>
    <w:rsid w:val="002C7CED"/>
    <w:rsid w:val="002D0246"/>
    <w:rsid w:val="002D083B"/>
    <w:rsid w:val="002D1129"/>
    <w:rsid w:val="002D139F"/>
    <w:rsid w:val="002D195F"/>
    <w:rsid w:val="002D2296"/>
    <w:rsid w:val="002D256D"/>
    <w:rsid w:val="002D2CEA"/>
    <w:rsid w:val="002D2FF7"/>
    <w:rsid w:val="002D2FFD"/>
    <w:rsid w:val="002D308F"/>
    <w:rsid w:val="002D34F9"/>
    <w:rsid w:val="002D36C8"/>
    <w:rsid w:val="002D3C45"/>
    <w:rsid w:val="002D3CF3"/>
    <w:rsid w:val="002D3FC9"/>
    <w:rsid w:val="002D48A0"/>
    <w:rsid w:val="002D49B4"/>
    <w:rsid w:val="002D4E84"/>
    <w:rsid w:val="002D563E"/>
    <w:rsid w:val="002D5686"/>
    <w:rsid w:val="002D5788"/>
    <w:rsid w:val="002D679D"/>
    <w:rsid w:val="002D7235"/>
    <w:rsid w:val="002D7432"/>
    <w:rsid w:val="002D74E6"/>
    <w:rsid w:val="002D7931"/>
    <w:rsid w:val="002D7ADC"/>
    <w:rsid w:val="002D7AE4"/>
    <w:rsid w:val="002D7B58"/>
    <w:rsid w:val="002D7FD9"/>
    <w:rsid w:val="002E0071"/>
    <w:rsid w:val="002E02D1"/>
    <w:rsid w:val="002E033A"/>
    <w:rsid w:val="002E0560"/>
    <w:rsid w:val="002E0631"/>
    <w:rsid w:val="002E07B2"/>
    <w:rsid w:val="002E082B"/>
    <w:rsid w:val="002E0B19"/>
    <w:rsid w:val="002E0DE7"/>
    <w:rsid w:val="002E11E0"/>
    <w:rsid w:val="002E13BE"/>
    <w:rsid w:val="002E25A2"/>
    <w:rsid w:val="002E27D4"/>
    <w:rsid w:val="002E3DD6"/>
    <w:rsid w:val="002E403A"/>
    <w:rsid w:val="002E42B8"/>
    <w:rsid w:val="002E445D"/>
    <w:rsid w:val="002E4797"/>
    <w:rsid w:val="002E47EF"/>
    <w:rsid w:val="002E4C7E"/>
    <w:rsid w:val="002E53AF"/>
    <w:rsid w:val="002E61B8"/>
    <w:rsid w:val="002E639A"/>
    <w:rsid w:val="002E6736"/>
    <w:rsid w:val="002E6DA1"/>
    <w:rsid w:val="002E7839"/>
    <w:rsid w:val="002E7954"/>
    <w:rsid w:val="002E7973"/>
    <w:rsid w:val="002E7A59"/>
    <w:rsid w:val="002E7A90"/>
    <w:rsid w:val="002E7DB6"/>
    <w:rsid w:val="002F06A6"/>
    <w:rsid w:val="002F1096"/>
    <w:rsid w:val="002F1613"/>
    <w:rsid w:val="002F1AF5"/>
    <w:rsid w:val="002F1C4B"/>
    <w:rsid w:val="002F1E67"/>
    <w:rsid w:val="002F203B"/>
    <w:rsid w:val="002F2886"/>
    <w:rsid w:val="002F2950"/>
    <w:rsid w:val="002F2B6A"/>
    <w:rsid w:val="002F2B86"/>
    <w:rsid w:val="002F2BC9"/>
    <w:rsid w:val="002F2D6B"/>
    <w:rsid w:val="002F2F58"/>
    <w:rsid w:val="002F3136"/>
    <w:rsid w:val="002F3E72"/>
    <w:rsid w:val="002F3F59"/>
    <w:rsid w:val="002F3F63"/>
    <w:rsid w:val="002F444A"/>
    <w:rsid w:val="002F4DBD"/>
    <w:rsid w:val="002F4E13"/>
    <w:rsid w:val="002F4EA3"/>
    <w:rsid w:val="002F501B"/>
    <w:rsid w:val="002F5AD2"/>
    <w:rsid w:val="002F5FF5"/>
    <w:rsid w:val="002F6754"/>
    <w:rsid w:val="002F6815"/>
    <w:rsid w:val="002F6A96"/>
    <w:rsid w:val="002F6B64"/>
    <w:rsid w:val="002F71DC"/>
    <w:rsid w:val="002F7337"/>
    <w:rsid w:val="002F7BD0"/>
    <w:rsid w:val="002F7D51"/>
    <w:rsid w:val="002F7F86"/>
    <w:rsid w:val="003003A7"/>
    <w:rsid w:val="00300833"/>
    <w:rsid w:val="00300B19"/>
    <w:rsid w:val="00300CA8"/>
    <w:rsid w:val="00300EEB"/>
    <w:rsid w:val="003014A0"/>
    <w:rsid w:val="00301577"/>
    <w:rsid w:val="00301847"/>
    <w:rsid w:val="00301A08"/>
    <w:rsid w:val="0030224D"/>
    <w:rsid w:val="0030260B"/>
    <w:rsid w:val="003027DC"/>
    <w:rsid w:val="00302846"/>
    <w:rsid w:val="00302A9E"/>
    <w:rsid w:val="00302C7A"/>
    <w:rsid w:val="00302CF4"/>
    <w:rsid w:val="003030C6"/>
    <w:rsid w:val="003031E0"/>
    <w:rsid w:val="0030335D"/>
    <w:rsid w:val="003040C0"/>
    <w:rsid w:val="0030415D"/>
    <w:rsid w:val="00304468"/>
    <w:rsid w:val="003044EE"/>
    <w:rsid w:val="00304632"/>
    <w:rsid w:val="0030496A"/>
    <w:rsid w:val="00304A3A"/>
    <w:rsid w:val="00304FE7"/>
    <w:rsid w:val="0030519C"/>
    <w:rsid w:val="00305227"/>
    <w:rsid w:val="00305323"/>
    <w:rsid w:val="00305621"/>
    <w:rsid w:val="0030571D"/>
    <w:rsid w:val="00305B44"/>
    <w:rsid w:val="00305E53"/>
    <w:rsid w:val="003060CA"/>
    <w:rsid w:val="003064B6"/>
    <w:rsid w:val="003066DC"/>
    <w:rsid w:val="0030677A"/>
    <w:rsid w:val="0030684F"/>
    <w:rsid w:val="00306BFE"/>
    <w:rsid w:val="00306F63"/>
    <w:rsid w:val="003075C9"/>
    <w:rsid w:val="0030781F"/>
    <w:rsid w:val="00307D92"/>
    <w:rsid w:val="00310403"/>
    <w:rsid w:val="003105A6"/>
    <w:rsid w:val="003106AA"/>
    <w:rsid w:val="00311091"/>
    <w:rsid w:val="00311277"/>
    <w:rsid w:val="003112CB"/>
    <w:rsid w:val="003118BA"/>
    <w:rsid w:val="00311E7E"/>
    <w:rsid w:val="00312088"/>
    <w:rsid w:val="00312627"/>
    <w:rsid w:val="00312B79"/>
    <w:rsid w:val="00313607"/>
    <w:rsid w:val="00313975"/>
    <w:rsid w:val="0031407B"/>
    <w:rsid w:val="003144D7"/>
    <w:rsid w:val="003147A7"/>
    <w:rsid w:val="00314C8B"/>
    <w:rsid w:val="00314F36"/>
    <w:rsid w:val="00315127"/>
    <w:rsid w:val="0031528E"/>
    <w:rsid w:val="00315335"/>
    <w:rsid w:val="00315920"/>
    <w:rsid w:val="00315A57"/>
    <w:rsid w:val="00315B50"/>
    <w:rsid w:val="00315FC1"/>
    <w:rsid w:val="00315FC4"/>
    <w:rsid w:val="00316343"/>
    <w:rsid w:val="0031651D"/>
    <w:rsid w:val="00316977"/>
    <w:rsid w:val="00316A45"/>
    <w:rsid w:val="00316C61"/>
    <w:rsid w:val="00316EA7"/>
    <w:rsid w:val="00316F0D"/>
    <w:rsid w:val="003170A8"/>
    <w:rsid w:val="003177D7"/>
    <w:rsid w:val="00317CB7"/>
    <w:rsid w:val="00317E88"/>
    <w:rsid w:val="0032022D"/>
    <w:rsid w:val="0032036D"/>
    <w:rsid w:val="003209D5"/>
    <w:rsid w:val="00320BBA"/>
    <w:rsid w:val="00321039"/>
    <w:rsid w:val="00321663"/>
    <w:rsid w:val="00322056"/>
    <w:rsid w:val="0032266D"/>
    <w:rsid w:val="00322CDA"/>
    <w:rsid w:val="00322F6B"/>
    <w:rsid w:val="00323F5B"/>
    <w:rsid w:val="00324A52"/>
    <w:rsid w:val="0032532D"/>
    <w:rsid w:val="0032636E"/>
    <w:rsid w:val="003264D5"/>
    <w:rsid w:val="00326AF2"/>
    <w:rsid w:val="00327237"/>
    <w:rsid w:val="003276E2"/>
    <w:rsid w:val="003277F1"/>
    <w:rsid w:val="0032781E"/>
    <w:rsid w:val="00330455"/>
    <w:rsid w:val="00330666"/>
    <w:rsid w:val="00330F60"/>
    <w:rsid w:val="00331429"/>
    <w:rsid w:val="00331455"/>
    <w:rsid w:val="00331710"/>
    <w:rsid w:val="003317CF"/>
    <w:rsid w:val="00331FA7"/>
    <w:rsid w:val="00332460"/>
    <w:rsid w:val="003325BA"/>
    <w:rsid w:val="00332742"/>
    <w:rsid w:val="00332CC0"/>
    <w:rsid w:val="00333092"/>
    <w:rsid w:val="0033367E"/>
    <w:rsid w:val="0033379A"/>
    <w:rsid w:val="003344EC"/>
    <w:rsid w:val="003347FB"/>
    <w:rsid w:val="00334899"/>
    <w:rsid w:val="003348C4"/>
    <w:rsid w:val="00334BFA"/>
    <w:rsid w:val="00335C1D"/>
    <w:rsid w:val="00335CE5"/>
    <w:rsid w:val="0033609A"/>
    <w:rsid w:val="003361B8"/>
    <w:rsid w:val="003363BE"/>
    <w:rsid w:val="003365E5"/>
    <w:rsid w:val="003368E1"/>
    <w:rsid w:val="00336E3E"/>
    <w:rsid w:val="003372E6"/>
    <w:rsid w:val="0033759E"/>
    <w:rsid w:val="003376AB"/>
    <w:rsid w:val="00337908"/>
    <w:rsid w:val="00337986"/>
    <w:rsid w:val="00337A9A"/>
    <w:rsid w:val="00337AC7"/>
    <w:rsid w:val="00337F78"/>
    <w:rsid w:val="00340AD8"/>
    <w:rsid w:val="0034141C"/>
    <w:rsid w:val="003416C6"/>
    <w:rsid w:val="003416C7"/>
    <w:rsid w:val="00341845"/>
    <w:rsid w:val="0034229D"/>
    <w:rsid w:val="00342744"/>
    <w:rsid w:val="00342AFF"/>
    <w:rsid w:val="00342CFA"/>
    <w:rsid w:val="00342F14"/>
    <w:rsid w:val="00344028"/>
    <w:rsid w:val="003441DC"/>
    <w:rsid w:val="00344262"/>
    <w:rsid w:val="003444FF"/>
    <w:rsid w:val="0034453A"/>
    <w:rsid w:val="003449E3"/>
    <w:rsid w:val="00345B44"/>
    <w:rsid w:val="00345B8F"/>
    <w:rsid w:val="003469A8"/>
    <w:rsid w:val="00347529"/>
    <w:rsid w:val="00347530"/>
    <w:rsid w:val="003478CA"/>
    <w:rsid w:val="003478F9"/>
    <w:rsid w:val="003504E1"/>
    <w:rsid w:val="003504F4"/>
    <w:rsid w:val="00350804"/>
    <w:rsid w:val="003508BC"/>
    <w:rsid w:val="00350C42"/>
    <w:rsid w:val="003513CC"/>
    <w:rsid w:val="00351746"/>
    <w:rsid w:val="003518F4"/>
    <w:rsid w:val="00351A87"/>
    <w:rsid w:val="00351B5B"/>
    <w:rsid w:val="00351FB9"/>
    <w:rsid w:val="00352429"/>
    <w:rsid w:val="003525BF"/>
    <w:rsid w:val="00352679"/>
    <w:rsid w:val="00352696"/>
    <w:rsid w:val="00352A08"/>
    <w:rsid w:val="003530C7"/>
    <w:rsid w:val="00353756"/>
    <w:rsid w:val="00353796"/>
    <w:rsid w:val="00353857"/>
    <w:rsid w:val="00354020"/>
    <w:rsid w:val="00354087"/>
    <w:rsid w:val="003540D0"/>
    <w:rsid w:val="003541DD"/>
    <w:rsid w:val="003548A3"/>
    <w:rsid w:val="0035516F"/>
    <w:rsid w:val="00355562"/>
    <w:rsid w:val="00355619"/>
    <w:rsid w:val="0035595A"/>
    <w:rsid w:val="00355B34"/>
    <w:rsid w:val="00355D94"/>
    <w:rsid w:val="00355F86"/>
    <w:rsid w:val="003563F1"/>
    <w:rsid w:val="003564EB"/>
    <w:rsid w:val="00356575"/>
    <w:rsid w:val="00356A02"/>
    <w:rsid w:val="00356A23"/>
    <w:rsid w:val="00356BD8"/>
    <w:rsid w:val="00356C71"/>
    <w:rsid w:val="003571A3"/>
    <w:rsid w:val="003578CC"/>
    <w:rsid w:val="003579D0"/>
    <w:rsid w:val="00357B3A"/>
    <w:rsid w:val="003601BA"/>
    <w:rsid w:val="0036030C"/>
    <w:rsid w:val="003604AC"/>
    <w:rsid w:val="00360627"/>
    <w:rsid w:val="0036091F"/>
    <w:rsid w:val="00360972"/>
    <w:rsid w:val="00360D17"/>
    <w:rsid w:val="00360D39"/>
    <w:rsid w:val="00361068"/>
    <w:rsid w:val="003615EC"/>
    <w:rsid w:val="003616C0"/>
    <w:rsid w:val="00361BA8"/>
    <w:rsid w:val="00361DBB"/>
    <w:rsid w:val="00361F2E"/>
    <w:rsid w:val="0036277E"/>
    <w:rsid w:val="0036311A"/>
    <w:rsid w:val="003631A1"/>
    <w:rsid w:val="00363773"/>
    <w:rsid w:val="00363B91"/>
    <w:rsid w:val="00363F15"/>
    <w:rsid w:val="00364152"/>
    <w:rsid w:val="003644B7"/>
    <w:rsid w:val="00364CCF"/>
    <w:rsid w:val="00364E51"/>
    <w:rsid w:val="00365278"/>
    <w:rsid w:val="00365879"/>
    <w:rsid w:val="003660BE"/>
    <w:rsid w:val="00366166"/>
    <w:rsid w:val="0036673D"/>
    <w:rsid w:val="00366AF8"/>
    <w:rsid w:val="0036701B"/>
    <w:rsid w:val="00367787"/>
    <w:rsid w:val="00367DEA"/>
    <w:rsid w:val="003707A0"/>
    <w:rsid w:val="00370C5B"/>
    <w:rsid w:val="0037133F"/>
    <w:rsid w:val="003716BD"/>
    <w:rsid w:val="003717B3"/>
    <w:rsid w:val="00371E0D"/>
    <w:rsid w:val="003721FF"/>
    <w:rsid w:val="00372A08"/>
    <w:rsid w:val="00372A53"/>
    <w:rsid w:val="0037366F"/>
    <w:rsid w:val="0037399F"/>
    <w:rsid w:val="00373AEA"/>
    <w:rsid w:val="0037400D"/>
    <w:rsid w:val="00374232"/>
    <w:rsid w:val="003746BA"/>
    <w:rsid w:val="00374AAD"/>
    <w:rsid w:val="00374DD0"/>
    <w:rsid w:val="00374F50"/>
    <w:rsid w:val="003751FD"/>
    <w:rsid w:val="0037526E"/>
    <w:rsid w:val="00375417"/>
    <w:rsid w:val="00375670"/>
    <w:rsid w:val="00375C91"/>
    <w:rsid w:val="00375D8E"/>
    <w:rsid w:val="00375FB7"/>
    <w:rsid w:val="003760AE"/>
    <w:rsid w:val="00376147"/>
    <w:rsid w:val="00376161"/>
    <w:rsid w:val="00376411"/>
    <w:rsid w:val="00376621"/>
    <w:rsid w:val="00376776"/>
    <w:rsid w:val="0037689E"/>
    <w:rsid w:val="00376A31"/>
    <w:rsid w:val="00377252"/>
    <w:rsid w:val="00377646"/>
    <w:rsid w:val="00380AD5"/>
    <w:rsid w:val="00380BFB"/>
    <w:rsid w:val="00381324"/>
    <w:rsid w:val="00381E65"/>
    <w:rsid w:val="00381F62"/>
    <w:rsid w:val="0038288A"/>
    <w:rsid w:val="00382A07"/>
    <w:rsid w:val="00382AF0"/>
    <w:rsid w:val="00383201"/>
    <w:rsid w:val="003832AF"/>
    <w:rsid w:val="003836CE"/>
    <w:rsid w:val="00383BF8"/>
    <w:rsid w:val="00383C42"/>
    <w:rsid w:val="00383D63"/>
    <w:rsid w:val="00383FD5"/>
    <w:rsid w:val="0038409E"/>
    <w:rsid w:val="00384444"/>
    <w:rsid w:val="0038481A"/>
    <w:rsid w:val="0038494F"/>
    <w:rsid w:val="00384E1E"/>
    <w:rsid w:val="00385170"/>
    <w:rsid w:val="00385336"/>
    <w:rsid w:val="00385348"/>
    <w:rsid w:val="003853F8"/>
    <w:rsid w:val="00385947"/>
    <w:rsid w:val="00386134"/>
    <w:rsid w:val="003869D3"/>
    <w:rsid w:val="003869DA"/>
    <w:rsid w:val="00386EBB"/>
    <w:rsid w:val="0038725A"/>
    <w:rsid w:val="003873BA"/>
    <w:rsid w:val="003901E7"/>
    <w:rsid w:val="003902D1"/>
    <w:rsid w:val="003904E8"/>
    <w:rsid w:val="003908B5"/>
    <w:rsid w:val="003908C4"/>
    <w:rsid w:val="00390945"/>
    <w:rsid w:val="00390A4F"/>
    <w:rsid w:val="00390DF9"/>
    <w:rsid w:val="00390E43"/>
    <w:rsid w:val="00390EBA"/>
    <w:rsid w:val="00391BFB"/>
    <w:rsid w:val="00391CDA"/>
    <w:rsid w:val="00392086"/>
    <w:rsid w:val="00392605"/>
    <w:rsid w:val="00392722"/>
    <w:rsid w:val="00392BA6"/>
    <w:rsid w:val="00392CE6"/>
    <w:rsid w:val="0039301F"/>
    <w:rsid w:val="003931EE"/>
    <w:rsid w:val="0039336B"/>
    <w:rsid w:val="00394219"/>
    <w:rsid w:val="00394AEE"/>
    <w:rsid w:val="00394D5B"/>
    <w:rsid w:val="00394DB0"/>
    <w:rsid w:val="0039527F"/>
    <w:rsid w:val="00395543"/>
    <w:rsid w:val="003958E3"/>
    <w:rsid w:val="00395E88"/>
    <w:rsid w:val="003960F4"/>
    <w:rsid w:val="00396313"/>
    <w:rsid w:val="003963AE"/>
    <w:rsid w:val="003966C5"/>
    <w:rsid w:val="00397260"/>
    <w:rsid w:val="003974EF"/>
    <w:rsid w:val="003977EB"/>
    <w:rsid w:val="00397E18"/>
    <w:rsid w:val="00397FA4"/>
    <w:rsid w:val="003A0519"/>
    <w:rsid w:val="003A0860"/>
    <w:rsid w:val="003A0FAD"/>
    <w:rsid w:val="003A1417"/>
    <w:rsid w:val="003A1556"/>
    <w:rsid w:val="003A174C"/>
    <w:rsid w:val="003A216C"/>
    <w:rsid w:val="003A2353"/>
    <w:rsid w:val="003A2490"/>
    <w:rsid w:val="003A273A"/>
    <w:rsid w:val="003A2824"/>
    <w:rsid w:val="003A2C6C"/>
    <w:rsid w:val="003A2F34"/>
    <w:rsid w:val="003A37AD"/>
    <w:rsid w:val="003A3A9A"/>
    <w:rsid w:val="003A4126"/>
    <w:rsid w:val="003A45F7"/>
    <w:rsid w:val="003A545F"/>
    <w:rsid w:val="003A5DB6"/>
    <w:rsid w:val="003A63CF"/>
    <w:rsid w:val="003A6842"/>
    <w:rsid w:val="003A6851"/>
    <w:rsid w:val="003A68A6"/>
    <w:rsid w:val="003A6F3C"/>
    <w:rsid w:val="003A73CA"/>
    <w:rsid w:val="003A76D5"/>
    <w:rsid w:val="003A7746"/>
    <w:rsid w:val="003A7BBB"/>
    <w:rsid w:val="003B057C"/>
    <w:rsid w:val="003B0A2E"/>
    <w:rsid w:val="003B0D68"/>
    <w:rsid w:val="003B1187"/>
    <w:rsid w:val="003B12A0"/>
    <w:rsid w:val="003B14EB"/>
    <w:rsid w:val="003B1794"/>
    <w:rsid w:val="003B1E51"/>
    <w:rsid w:val="003B2047"/>
    <w:rsid w:val="003B25F5"/>
    <w:rsid w:val="003B28C5"/>
    <w:rsid w:val="003B2902"/>
    <w:rsid w:val="003B2E5C"/>
    <w:rsid w:val="003B3FE5"/>
    <w:rsid w:val="003B4893"/>
    <w:rsid w:val="003B4D4B"/>
    <w:rsid w:val="003B5326"/>
    <w:rsid w:val="003B54C6"/>
    <w:rsid w:val="003B581C"/>
    <w:rsid w:val="003B592A"/>
    <w:rsid w:val="003B59DA"/>
    <w:rsid w:val="003B5B52"/>
    <w:rsid w:val="003B61F6"/>
    <w:rsid w:val="003B6313"/>
    <w:rsid w:val="003B665A"/>
    <w:rsid w:val="003B6C3B"/>
    <w:rsid w:val="003B6DD5"/>
    <w:rsid w:val="003B71E7"/>
    <w:rsid w:val="003B7619"/>
    <w:rsid w:val="003B7740"/>
    <w:rsid w:val="003B7866"/>
    <w:rsid w:val="003B790F"/>
    <w:rsid w:val="003B7A5D"/>
    <w:rsid w:val="003B7D97"/>
    <w:rsid w:val="003B7E4D"/>
    <w:rsid w:val="003C08FD"/>
    <w:rsid w:val="003C0B26"/>
    <w:rsid w:val="003C0C45"/>
    <w:rsid w:val="003C0DAA"/>
    <w:rsid w:val="003C0DE5"/>
    <w:rsid w:val="003C1121"/>
    <w:rsid w:val="003C1518"/>
    <w:rsid w:val="003C1529"/>
    <w:rsid w:val="003C165F"/>
    <w:rsid w:val="003C1A7E"/>
    <w:rsid w:val="003C212A"/>
    <w:rsid w:val="003C286B"/>
    <w:rsid w:val="003C2A61"/>
    <w:rsid w:val="003C32DB"/>
    <w:rsid w:val="003C3412"/>
    <w:rsid w:val="003C3A44"/>
    <w:rsid w:val="003C3A49"/>
    <w:rsid w:val="003C3AE9"/>
    <w:rsid w:val="003C3AF3"/>
    <w:rsid w:val="003C3CE9"/>
    <w:rsid w:val="003C4611"/>
    <w:rsid w:val="003C471D"/>
    <w:rsid w:val="003C48F3"/>
    <w:rsid w:val="003C50A7"/>
    <w:rsid w:val="003C54ED"/>
    <w:rsid w:val="003C59B2"/>
    <w:rsid w:val="003C5FBC"/>
    <w:rsid w:val="003C605A"/>
    <w:rsid w:val="003C60D8"/>
    <w:rsid w:val="003C65BC"/>
    <w:rsid w:val="003C671B"/>
    <w:rsid w:val="003C6D7C"/>
    <w:rsid w:val="003C6F81"/>
    <w:rsid w:val="003C705A"/>
    <w:rsid w:val="003C7120"/>
    <w:rsid w:val="003C75D9"/>
    <w:rsid w:val="003C7D61"/>
    <w:rsid w:val="003D0484"/>
    <w:rsid w:val="003D076B"/>
    <w:rsid w:val="003D146E"/>
    <w:rsid w:val="003D28DB"/>
    <w:rsid w:val="003D2C4D"/>
    <w:rsid w:val="003D31AE"/>
    <w:rsid w:val="003D31BE"/>
    <w:rsid w:val="003D36B1"/>
    <w:rsid w:val="003D372F"/>
    <w:rsid w:val="003D3B2B"/>
    <w:rsid w:val="003D3B92"/>
    <w:rsid w:val="003D4968"/>
    <w:rsid w:val="003D4C71"/>
    <w:rsid w:val="003D4CC4"/>
    <w:rsid w:val="003D52B3"/>
    <w:rsid w:val="003D55C4"/>
    <w:rsid w:val="003D5A02"/>
    <w:rsid w:val="003D5FE8"/>
    <w:rsid w:val="003D6000"/>
    <w:rsid w:val="003D6925"/>
    <w:rsid w:val="003D6999"/>
    <w:rsid w:val="003D7361"/>
    <w:rsid w:val="003D79B4"/>
    <w:rsid w:val="003D7A67"/>
    <w:rsid w:val="003D7DCE"/>
    <w:rsid w:val="003E0DC9"/>
    <w:rsid w:val="003E0E72"/>
    <w:rsid w:val="003E1324"/>
    <w:rsid w:val="003E15B9"/>
    <w:rsid w:val="003E17B0"/>
    <w:rsid w:val="003E1B7C"/>
    <w:rsid w:val="003E1DC3"/>
    <w:rsid w:val="003E1E99"/>
    <w:rsid w:val="003E23AE"/>
    <w:rsid w:val="003E25B3"/>
    <w:rsid w:val="003E26AF"/>
    <w:rsid w:val="003E2754"/>
    <w:rsid w:val="003E2950"/>
    <w:rsid w:val="003E2C7A"/>
    <w:rsid w:val="003E2ECE"/>
    <w:rsid w:val="003E31E4"/>
    <w:rsid w:val="003E3701"/>
    <w:rsid w:val="003E37D7"/>
    <w:rsid w:val="003E3C90"/>
    <w:rsid w:val="003E3CDD"/>
    <w:rsid w:val="003E3F88"/>
    <w:rsid w:val="003E4595"/>
    <w:rsid w:val="003E45C0"/>
    <w:rsid w:val="003E4942"/>
    <w:rsid w:val="003E530F"/>
    <w:rsid w:val="003E5841"/>
    <w:rsid w:val="003E5992"/>
    <w:rsid w:val="003E5E9B"/>
    <w:rsid w:val="003E6918"/>
    <w:rsid w:val="003E6A63"/>
    <w:rsid w:val="003E6B4E"/>
    <w:rsid w:val="003E6F75"/>
    <w:rsid w:val="003E7799"/>
    <w:rsid w:val="003F00CE"/>
    <w:rsid w:val="003F01C8"/>
    <w:rsid w:val="003F05EA"/>
    <w:rsid w:val="003F075E"/>
    <w:rsid w:val="003F077E"/>
    <w:rsid w:val="003F0A34"/>
    <w:rsid w:val="003F0AFE"/>
    <w:rsid w:val="003F0F86"/>
    <w:rsid w:val="003F17BC"/>
    <w:rsid w:val="003F1BD6"/>
    <w:rsid w:val="003F1C68"/>
    <w:rsid w:val="003F2643"/>
    <w:rsid w:val="003F306D"/>
    <w:rsid w:val="003F3603"/>
    <w:rsid w:val="003F42F4"/>
    <w:rsid w:val="003F4709"/>
    <w:rsid w:val="003F5BFF"/>
    <w:rsid w:val="003F637A"/>
    <w:rsid w:val="003F6833"/>
    <w:rsid w:val="003F6E8C"/>
    <w:rsid w:val="003F70D2"/>
    <w:rsid w:val="003F7500"/>
    <w:rsid w:val="003F7E73"/>
    <w:rsid w:val="003F7FD3"/>
    <w:rsid w:val="00400228"/>
    <w:rsid w:val="00400248"/>
    <w:rsid w:val="0040038C"/>
    <w:rsid w:val="00400722"/>
    <w:rsid w:val="00400A06"/>
    <w:rsid w:val="00400FED"/>
    <w:rsid w:val="004017D4"/>
    <w:rsid w:val="00401E60"/>
    <w:rsid w:val="00402165"/>
    <w:rsid w:val="0040257B"/>
    <w:rsid w:val="00402B40"/>
    <w:rsid w:val="004035EE"/>
    <w:rsid w:val="004036BE"/>
    <w:rsid w:val="004039A4"/>
    <w:rsid w:val="0040431F"/>
    <w:rsid w:val="00404977"/>
    <w:rsid w:val="00404AC6"/>
    <w:rsid w:val="00404B3C"/>
    <w:rsid w:val="00404DE6"/>
    <w:rsid w:val="00404EA5"/>
    <w:rsid w:val="00404F1A"/>
    <w:rsid w:val="00404FB2"/>
    <w:rsid w:val="004058C2"/>
    <w:rsid w:val="00405CB7"/>
    <w:rsid w:val="00405FB4"/>
    <w:rsid w:val="00406858"/>
    <w:rsid w:val="0040784B"/>
    <w:rsid w:val="00407936"/>
    <w:rsid w:val="00407AAE"/>
    <w:rsid w:val="00407BD3"/>
    <w:rsid w:val="00410177"/>
    <w:rsid w:val="00410280"/>
    <w:rsid w:val="004102F7"/>
    <w:rsid w:val="00410832"/>
    <w:rsid w:val="004109B5"/>
    <w:rsid w:val="00410CD8"/>
    <w:rsid w:val="00410E9C"/>
    <w:rsid w:val="0041119E"/>
    <w:rsid w:val="0041152F"/>
    <w:rsid w:val="00411648"/>
    <w:rsid w:val="0041171A"/>
    <w:rsid w:val="00411780"/>
    <w:rsid w:val="00411CB8"/>
    <w:rsid w:val="00412185"/>
    <w:rsid w:val="00412339"/>
    <w:rsid w:val="00412598"/>
    <w:rsid w:val="004127EE"/>
    <w:rsid w:val="00412902"/>
    <w:rsid w:val="00412F12"/>
    <w:rsid w:val="004136F1"/>
    <w:rsid w:val="00413FC3"/>
    <w:rsid w:val="004143AB"/>
    <w:rsid w:val="004143D3"/>
    <w:rsid w:val="004144F0"/>
    <w:rsid w:val="004151DE"/>
    <w:rsid w:val="0041520E"/>
    <w:rsid w:val="004152F1"/>
    <w:rsid w:val="004153E7"/>
    <w:rsid w:val="00415F8C"/>
    <w:rsid w:val="00415FE6"/>
    <w:rsid w:val="00416421"/>
    <w:rsid w:val="004165D9"/>
    <w:rsid w:val="004168EA"/>
    <w:rsid w:val="004175EB"/>
    <w:rsid w:val="00417A42"/>
    <w:rsid w:val="00420E2D"/>
    <w:rsid w:val="004212EA"/>
    <w:rsid w:val="0042142D"/>
    <w:rsid w:val="004214B5"/>
    <w:rsid w:val="004216C7"/>
    <w:rsid w:val="00421718"/>
    <w:rsid w:val="00421C19"/>
    <w:rsid w:val="00421F83"/>
    <w:rsid w:val="00422074"/>
    <w:rsid w:val="0042208F"/>
    <w:rsid w:val="00422099"/>
    <w:rsid w:val="004222D4"/>
    <w:rsid w:val="0042261F"/>
    <w:rsid w:val="0042281B"/>
    <w:rsid w:val="00422CBE"/>
    <w:rsid w:val="00422EF6"/>
    <w:rsid w:val="00423280"/>
    <w:rsid w:val="00423D6B"/>
    <w:rsid w:val="00423F19"/>
    <w:rsid w:val="00424E50"/>
    <w:rsid w:val="00425311"/>
    <w:rsid w:val="004254C0"/>
    <w:rsid w:val="00425708"/>
    <w:rsid w:val="004258DC"/>
    <w:rsid w:val="00425CFA"/>
    <w:rsid w:val="00426039"/>
    <w:rsid w:val="0042638A"/>
    <w:rsid w:val="004277D2"/>
    <w:rsid w:val="00427BB3"/>
    <w:rsid w:val="00427E8E"/>
    <w:rsid w:val="0043074F"/>
    <w:rsid w:val="00430B20"/>
    <w:rsid w:val="00430C01"/>
    <w:rsid w:val="00430F9E"/>
    <w:rsid w:val="004314E5"/>
    <w:rsid w:val="004317A9"/>
    <w:rsid w:val="004317C4"/>
    <w:rsid w:val="00431E4C"/>
    <w:rsid w:val="00431F69"/>
    <w:rsid w:val="00432127"/>
    <w:rsid w:val="00432233"/>
    <w:rsid w:val="004322B5"/>
    <w:rsid w:val="00432DB7"/>
    <w:rsid w:val="00433706"/>
    <w:rsid w:val="00433B60"/>
    <w:rsid w:val="00433FAA"/>
    <w:rsid w:val="0043404B"/>
    <w:rsid w:val="004341AF"/>
    <w:rsid w:val="004342BA"/>
    <w:rsid w:val="004347DD"/>
    <w:rsid w:val="00434D3F"/>
    <w:rsid w:val="00435AA2"/>
    <w:rsid w:val="00435CEB"/>
    <w:rsid w:val="00435E62"/>
    <w:rsid w:val="004364BE"/>
    <w:rsid w:val="004367C9"/>
    <w:rsid w:val="00436C5C"/>
    <w:rsid w:val="004400B1"/>
    <w:rsid w:val="0044081B"/>
    <w:rsid w:val="004408EA"/>
    <w:rsid w:val="00440A47"/>
    <w:rsid w:val="00441D72"/>
    <w:rsid w:val="00441EC0"/>
    <w:rsid w:val="004421D1"/>
    <w:rsid w:val="00442278"/>
    <w:rsid w:val="00442470"/>
    <w:rsid w:val="00442850"/>
    <w:rsid w:val="00442D0C"/>
    <w:rsid w:val="00442D48"/>
    <w:rsid w:val="0044358D"/>
    <w:rsid w:val="004439D4"/>
    <w:rsid w:val="00443A55"/>
    <w:rsid w:val="004441CF"/>
    <w:rsid w:val="004443BA"/>
    <w:rsid w:val="00444BF7"/>
    <w:rsid w:val="00445172"/>
    <w:rsid w:val="0044533C"/>
    <w:rsid w:val="00445627"/>
    <w:rsid w:val="00445BF3"/>
    <w:rsid w:val="00445E39"/>
    <w:rsid w:val="00445E66"/>
    <w:rsid w:val="00445F2D"/>
    <w:rsid w:val="00446077"/>
    <w:rsid w:val="004460A8"/>
    <w:rsid w:val="004464FF"/>
    <w:rsid w:val="004469E4"/>
    <w:rsid w:val="00446B0C"/>
    <w:rsid w:val="0044741B"/>
    <w:rsid w:val="00447A76"/>
    <w:rsid w:val="00447E57"/>
    <w:rsid w:val="004502B2"/>
    <w:rsid w:val="004505DD"/>
    <w:rsid w:val="00450646"/>
    <w:rsid w:val="00450C36"/>
    <w:rsid w:val="00451003"/>
    <w:rsid w:val="00451107"/>
    <w:rsid w:val="00452232"/>
    <w:rsid w:val="00452780"/>
    <w:rsid w:val="00452C4F"/>
    <w:rsid w:val="00452D4C"/>
    <w:rsid w:val="00452D92"/>
    <w:rsid w:val="00453658"/>
    <w:rsid w:val="004536FE"/>
    <w:rsid w:val="00453907"/>
    <w:rsid w:val="00454430"/>
    <w:rsid w:val="00455095"/>
    <w:rsid w:val="00455A40"/>
    <w:rsid w:val="00455AE6"/>
    <w:rsid w:val="00455D0E"/>
    <w:rsid w:val="004561FE"/>
    <w:rsid w:val="00456275"/>
    <w:rsid w:val="00456A8A"/>
    <w:rsid w:val="00456B36"/>
    <w:rsid w:val="00456C74"/>
    <w:rsid w:val="00457B16"/>
    <w:rsid w:val="00460452"/>
    <w:rsid w:val="00460B90"/>
    <w:rsid w:val="00460BE3"/>
    <w:rsid w:val="00461534"/>
    <w:rsid w:val="004623BB"/>
    <w:rsid w:val="00462A90"/>
    <w:rsid w:val="004630F6"/>
    <w:rsid w:val="0046322B"/>
    <w:rsid w:val="004632D6"/>
    <w:rsid w:val="00463464"/>
    <w:rsid w:val="0046349C"/>
    <w:rsid w:val="004634CE"/>
    <w:rsid w:val="00463865"/>
    <w:rsid w:val="00463E13"/>
    <w:rsid w:val="00463E6F"/>
    <w:rsid w:val="0046421F"/>
    <w:rsid w:val="00464A22"/>
    <w:rsid w:val="00464DB5"/>
    <w:rsid w:val="00464DC7"/>
    <w:rsid w:val="00465849"/>
    <w:rsid w:val="00465AFF"/>
    <w:rsid w:val="004660A6"/>
    <w:rsid w:val="004661D3"/>
    <w:rsid w:val="004663FC"/>
    <w:rsid w:val="004669DB"/>
    <w:rsid w:val="00466EE1"/>
    <w:rsid w:val="004676FB"/>
    <w:rsid w:val="004701D9"/>
    <w:rsid w:val="00470394"/>
    <w:rsid w:val="00470422"/>
    <w:rsid w:val="00470918"/>
    <w:rsid w:val="00470AE0"/>
    <w:rsid w:val="00470D51"/>
    <w:rsid w:val="00470DEB"/>
    <w:rsid w:val="00470E72"/>
    <w:rsid w:val="00470EBA"/>
    <w:rsid w:val="00471893"/>
    <w:rsid w:val="00471A81"/>
    <w:rsid w:val="004722A7"/>
    <w:rsid w:val="00472DE6"/>
    <w:rsid w:val="004730B7"/>
    <w:rsid w:val="00473587"/>
    <w:rsid w:val="004737FE"/>
    <w:rsid w:val="0047429F"/>
    <w:rsid w:val="00474D37"/>
    <w:rsid w:val="0047593B"/>
    <w:rsid w:val="00475945"/>
    <w:rsid w:val="00476525"/>
    <w:rsid w:val="004769B1"/>
    <w:rsid w:val="00476C93"/>
    <w:rsid w:val="004772AE"/>
    <w:rsid w:val="004776F0"/>
    <w:rsid w:val="00477783"/>
    <w:rsid w:val="00477941"/>
    <w:rsid w:val="00477EED"/>
    <w:rsid w:val="0048001B"/>
    <w:rsid w:val="00480BF6"/>
    <w:rsid w:val="00480E0F"/>
    <w:rsid w:val="00481699"/>
    <w:rsid w:val="00481AD8"/>
    <w:rsid w:val="0048211A"/>
    <w:rsid w:val="004821A7"/>
    <w:rsid w:val="00482E4F"/>
    <w:rsid w:val="00482EE4"/>
    <w:rsid w:val="004834F6"/>
    <w:rsid w:val="004835A4"/>
    <w:rsid w:val="004835FF"/>
    <w:rsid w:val="0048389D"/>
    <w:rsid w:val="00483C99"/>
    <w:rsid w:val="00483E85"/>
    <w:rsid w:val="0048497B"/>
    <w:rsid w:val="00485875"/>
    <w:rsid w:val="00485E1D"/>
    <w:rsid w:val="00485EC2"/>
    <w:rsid w:val="004861AB"/>
    <w:rsid w:val="00486AB3"/>
    <w:rsid w:val="00486BF0"/>
    <w:rsid w:val="00486C5D"/>
    <w:rsid w:val="004873AF"/>
    <w:rsid w:val="004877C0"/>
    <w:rsid w:val="004879F7"/>
    <w:rsid w:val="0049094A"/>
    <w:rsid w:val="00490D71"/>
    <w:rsid w:val="004912B3"/>
    <w:rsid w:val="004914BE"/>
    <w:rsid w:val="004918EF"/>
    <w:rsid w:val="00491DAB"/>
    <w:rsid w:val="00492217"/>
    <w:rsid w:val="00492A17"/>
    <w:rsid w:val="00492B37"/>
    <w:rsid w:val="00492FCF"/>
    <w:rsid w:val="004931B6"/>
    <w:rsid w:val="004935BF"/>
    <w:rsid w:val="0049360D"/>
    <w:rsid w:val="004936B1"/>
    <w:rsid w:val="00493FE3"/>
    <w:rsid w:val="0049401C"/>
    <w:rsid w:val="00494023"/>
    <w:rsid w:val="00494089"/>
    <w:rsid w:val="00494397"/>
    <w:rsid w:val="00494912"/>
    <w:rsid w:val="00494E52"/>
    <w:rsid w:val="00495FF3"/>
    <w:rsid w:val="00496134"/>
    <w:rsid w:val="00496250"/>
    <w:rsid w:val="00496345"/>
    <w:rsid w:val="004963FF"/>
    <w:rsid w:val="004967A0"/>
    <w:rsid w:val="00496E5E"/>
    <w:rsid w:val="00496FE4"/>
    <w:rsid w:val="00497929"/>
    <w:rsid w:val="00497E90"/>
    <w:rsid w:val="00497F4A"/>
    <w:rsid w:val="004A0472"/>
    <w:rsid w:val="004A0578"/>
    <w:rsid w:val="004A06EE"/>
    <w:rsid w:val="004A096B"/>
    <w:rsid w:val="004A100E"/>
    <w:rsid w:val="004A1820"/>
    <w:rsid w:val="004A1BAF"/>
    <w:rsid w:val="004A1F33"/>
    <w:rsid w:val="004A27C9"/>
    <w:rsid w:val="004A2C55"/>
    <w:rsid w:val="004A2D80"/>
    <w:rsid w:val="004A3A62"/>
    <w:rsid w:val="004A3BB8"/>
    <w:rsid w:val="004A3D45"/>
    <w:rsid w:val="004A423B"/>
    <w:rsid w:val="004A4345"/>
    <w:rsid w:val="004A4BCF"/>
    <w:rsid w:val="004A4DFF"/>
    <w:rsid w:val="004A4E82"/>
    <w:rsid w:val="004A57D7"/>
    <w:rsid w:val="004A5835"/>
    <w:rsid w:val="004A5905"/>
    <w:rsid w:val="004A5B2F"/>
    <w:rsid w:val="004A5EE8"/>
    <w:rsid w:val="004A63BD"/>
    <w:rsid w:val="004A7312"/>
    <w:rsid w:val="004A7571"/>
    <w:rsid w:val="004B017B"/>
    <w:rsid w:val="004B0A7A"/>
    <w:rsid w:val="004B0B5E"/>
    <w:rsid w:val="004B0C4C"/>
    <w:rsid w:val="004B0CD5"/>
    <w:rsid w:val="004B18F0"/>
    <w:rsid w:val="004B1B26"/>
    <w:rsid w:val="004B1BF2"/>
    <w:rsid w:val="004B2480"/>
    <w:rsid w:val="004B2BB2"/>
    <w:rsid w:val="004B2D66"/>
    <w:rsid w:val="004B3033"/>
    <w:rsid w:val="004B3B21"/>
    <w:rsid w:val="004B3C16"/>
    <w:rsid w:val="004B4021"/>
    <w:rsid w:val="004B43C3"/>
    <w:rsid w:val="004B449F"/>
    <w:rsid w:val="004B517A"/>
    <w:rsid w:val="004B5210"/>
    <w:rsid w:val="004B535E"/>
    <w:rsid w:val="004B5778"/>
    <w:rsid w:val="004B57AC"/>
    <w:rsid w:val="004B589C"/>
    <w:rsid w:val="004B5A01"/>
    <w:rsid w:val="004B5D04"/>
    <w:rsid w:val="004B5ECE"/>
    <w:rsid w:val="004B5FC4"/>
    <w:rsid w:val="004B648A"/>
    <w:rsid w:val="004B64DE"/>
    <w:rsid w:val="004B74C8"/>
    <w:rsid w:val="004B75A3"/>
    <w:rsid w:val="004B79F0"/>
    <w:rsid w:val="004B7A76"/>
    <w:rsid w:val="004B7C2E"/>
    <w:rsid w:val="004B7E7E"/>
    <w:rsid w:val="004C006C"/>
    <w:rsid w:val="004C0678"/>
    <w:rsid w:val="004C07F4"/>
    <w:rsid w:val="004C12E0"/>
    <w:rsid w:val="004C16F0"/>
    <w:rsid w:val="004C1DE9"/>
    <w:rsid w:val="004C1FD0"/>
    <w:rsid w:val="004C244C"/>
    <w:rsid w:val="004C28DD"/>
    <w:rsid w:val="004C365B"/>
    <w:rsid w:val="004C36E9"/>
    <w:rsid w:val="004C38E9"/>
    <w:rsid w:val="004C3B3E"/>
    <w:rsid w:val="004C3C7E"/>
    <w:rsid w:val="004C3DE7"/>
    <w:rsid w:val="004C3DFF"/>
    <w:rsid w:val="004C479C"/>
    <w:rsid w:val="004C54AD"/>
    <w:rsid w:val="004C5B8A"/>
    <w:rsid w:val="004C6284"/>
    <w:rsid w:val="004C6339"/>
    <w:rsid w:val="004C63DF"/>
    <w:rsid w:val="004C6D94"/>
    <w:rsid w:val="004C77BB"/>
    <w:rsid w:val="004C7877"/>
    <w:rsid w:val="004C7970"/>
    <w:rsid w:val="004C7C9C"/>
    <w:rsid w:val="004D0380"/>
    <w:rsid w:val="004D059A"/>
    <w:rsid w:val="004D05AA"/>
    <w:rsid w:val="004D083A"/>
    <w:rsid w:val="004D15FD"/>
    <w:rsid w:val="004D163E"/>
    <w:rsid w:val="004D17B7"/>
    <w:rsid w:val="004D186D"/>
    <w:rsid w:val="004D1CCD"/>
    <w:rsid w:val="004D1DBD"/>
    <w:rsid w:val="004D2562"/>
    <w:rsid w:val="004D2681"/>
    <w:rsid w:val="004D287B"/>
    <w:rsid w:val="004D2B1C"/>
    <w:rsid w:val="004D2C49"/>
    <w:rsid w:val="004D3081"/>
    <w:rsid w:val="004D33BA"/>
    <w:rsid w:val="004D43FA"/>
    <w:rsid w:val="004D4580"/>
    <w:rsid w:val="004D472E"/>
    <w:rsid w:val="004D47FC"/>
    <w:rsid w:val="004D4DE7"/>
    <w:rsid w:val="004D4FEA"/>
    <w:rsid w:val="004D545A"/>
    <w:rsid w:val="004D5A58"/>
    <w:rsid w:val="004D5B70"/>
    <w:rsid w:val="004D63CA"/>
    <w:rsid w:val="004D684B"/>
    <w:rsid w:val="004D68DE"/>
    <w:rsid w:val="004D6F65"/>
    <w:rsid w:val="004D7117"/>
    <w:rsid w:val="004D713F"/>
    <w:rsid w:val="004E0660"/>
    <w:rsid w:val="004E10A4"/>
    <w:rsid w:val="004E1119"/>
    <w:rsid w:val="004E1210"/>
    <w:rsid w:val="004E18CF"/>
    <w:rsid w:val="004E1901"/>
    <w:rsid w:val="004E1AED"/>
    <w:rsid w:val="004E2F96"/>
    <w:rsid w:val="004E3195"/>
    <w:rsid w:val="004E33FB"/>
    <w:rsid w:val="004E3B13"/>
    <w:rsid w:val="004E4E86"/>
    <w:rsid w:val="004E4F59"/>
    <w:rsid w:val="004E54CF"/>
    <w:rsid w:val="004E58D1"/>
    <w:rsid w:val="004E591A"/>
    <w:rsid w:val="004E59F2"/>
    <w:rsid w:val="004E5B76"/>
    <w:rsid w:val="004E5ED1"/>
    <w:rsid w:val="004E6353"/>
    <w:rsid w:val="004E6B35"/>
    <w:rsid w:val="004E6B85"/>
    <w:rsid w:val="004E713F"/>
    <w:rsid w:val="004E7427"/>
    <w:rsid w:val="004E76B0"/>
    <w:rsid w:val="004E787F"/>
    <w:rsid w:val="004E7A72"/>
    <w:rsid w:val="004F0131"/>
    <w:rsid w:val="004F0608"/>
    <w:rsid w:val="004F07D0"/>
    <w:rsid w:val="004F07D2"/>
    <w:rsid w:val="004F0B19"/>
    <w:rsid w:val="004F1BD6"/>
    <w:rsid w:val="004F1E6B"/>
    <w:rsid w:val="004F2014"/>
    <w:rsid w:val="004F20D6"/>
    <w:rsid w:val="004F2118"/>
    <w:rsid w:val="004F2406"/>
    <w:rsid w:val="004F267C"/>
    <w:rsid w:val="004F28BC"/>
    <w:rsid w:val="004F2B66"/>
    <w:rsid w:val="004F3527"/>
    <w:rsid w:val="004F395B"/>
    <w:rsid w:val="004F399D"/>
    <w:rsid w:val="004F3A18"/>
    <w:rsid w:val="004F3AC6"/>
    <w:rsid w:val="004F3BFD"/>
    <w:rsid w:val="004F3EE1"/>
    <w:rsid w:val="004F3FE4"/>
    <w:rsid w:val="004F4039"/>
    <w:rsid w:val="004F42DE"/>
    <w:rsid w:val="004F449B"/>
    <w:rsid w:val="004F4C1A"/>
    <w:rsid w:val="004F51D9"/>
    <w:rsid w:val="004F5434"/>
    <w:rsid w:val="004F5623"/>
    <w:rsid w:val="004F5718"/>
    <w:rsid w:val="004F5918"/>
    <w:rsid w:val="004F5D97"/>
    <w:rsid w:val="004F6489"/>
    <w:rsid w:val="004F6C70"/>
    <w:rsid w:val="004F71C9"/>
    <w:rsid w:val="004F749C"/>
    <w:rsid w:val="004F79FD"/>
    <w:rsid w:val="004F7B30"/>
    <w:rsid w:val="00500658"/>
    <w:rsid w:val="00500EC1"/>
    <w:rsid w:val="00500F9F"/>
    <w:rsid w:val="00501004"/>
    <w:rsid w:val="0050109B"/>
    <w:rsid w:val="00501348"/>
    <w:rsid w:val="005014B9"/>
    <w:rsid w:val="00501AA3"/>
    <w:rsid w:val="00501FA8"/>
    <w:rsid w:val="00502668"/>
    <w:rsid w:val="0050284F"/>
    <w:rsid w:val="005031FB"/>
    <w:rsid w:val="00503ABE"/>
    <w:rsid w:val="00503B80"/>
    <w:rsid w:val="00503CAB"/>
    <w:rsid w:val="00503FF0"/>
    <w:rsid w:val="00504113"/>
    <w:rsid w:val="005041A9"/>
    <w:rsid w:val="00504420"/>
    <w:rsid w:val="0050484A"/>
    <w:rsid w:val="00504C4C"/>
    <w:rsid w:val="00504DA7"/>
    <w:rsid w:val="00504EA3"/>
    <w:rsid w:val="0050500C"/>
    <w:rsid w:val="00505262"/>
    <w:rsid w:val="00505511"/>
    <w:rsid w:val="00505828"/>
    <w:rsid w:val="005058B1"/>
    <w:rsid w:val="00505A4A"/>
    <w:rsid w:val="00506228"/>
    <w:rsid w:val="005062A4"/>
    <w:rsid w:val="00506BD5"/>
    <w:rsid w:val="00506CB0"/>
    <w:rsid w:val="005070CA"/>
    <w:rsid w:val="005072DD"/>
    <w:rsid w:val="00507596"/>
    <w:rsid w:val="00507B64"/>
    <w:rsid w:val="0051076A"/>
    <w:rsid w:val="005108E7"/>
    <w:rsid w:val="00510A7B"/>
    <w:rsid w:val="00510A7C"/>
    <w:rsid w:val="00510B42"/>
    <w:rsid w:val="00510B8C"/>
    <w:rsid w:val="00510BA5"/>
    <w:rsid w:val="00510D81"/>
    <w:rsid w:val="0051111D"/>
    <w:rsid w:val="00511286"/>
    <w:rsid w:val="00511895"/>
    <w:rsid w:val="00511F76"/>
    <w:rsid w:val="005123C0"/>
    <w:rsid w:val="00513037"/>
    <w:rsid w:val="005136F6"/>
    <w:rsid w:val="00513AAD"/>
    <w:rsid w:val="00513DD1"/>
    <w:rsid w:val="00513E21"/>
    <w:rsid w:val="00514198"/>
    <w:rsid w:val="005142AB"/>
    <w:rsid w:val="00514513"/>
    <w:rsid w:val="00514946"/>
    <w:rsid w:val="00514B32"/>
    <w:rsid w:val="00514C7D"/>
    <w:rsid w:val="005152B0"/>
    <w:rsid w:val="00515866"/>
    <w:rsid w:val="00515B28"/>
    <w:rsid w:val="00515EE2"/>
    <w:rsid w:val="005167E1"/>
    <w:rsid w:val="00516BF4"/>
    <w:rsid w:val="00516C77"/>
    <w:rsid w:val="00516E01"/>
    <w:rsid w:val="00517828"/>
    <w:rsid w:val="005178C7"/>
    <w:rsid w:val="00517F90"/>
    <w:rsid w:val="0052017C"/>
    <w:rsid w:val="00520255"/>
    <w:rsid w:val="005203D7"/>
    <w:rsid w:val="00520819"/>
    <w:rsid w:val="00520E9D"/>
    <w:rsid w:val="005210A5"/>
    <w:rsid w:val="00521A93"/>
    <w:rsid w:val="00521FF8"/>
    <w:rsid w:val="005220A8"/>
    <w:rsid w:val="0052217E"/>
    <w:rsid w:val="00522353"/>
    <w:rsid w:val="00522974"/>
    <w:rsid w:val="00522B65"/>
    <w:rsid w:val="00522E94"/>
    <w:rsid w:val="005230C5"/>
    <w:rsid w:val="0052320B"/>
    <w:rsid w:val="0052348A"/>
    <w:rsid w:val="00523B50"/>
    <w:rsid w:val="00523F1F"/>
    <w:rsid w:val="00523FBF"/>
    <w:rsid w:val="00524AE3"/>
    <w:rsid w:val="00524B54"/>
    <w:rsid w:val="00524C63"/>
    <w:rsid w:val="00524D6F"/>
    <w:rsid w:val="00524D99"/>
    <w:rsid w:val="00524E81"/>
    <w:rsid w:val="005252C3"/>
    <w:rsid w:val="0052536D"/>
    <w:rsid w:val="005253A5"/>
    <w:rsid w:val="00525CB5"/>
    <w:rsid w:val="00525D0B"/>
    <w:rsid w:val="00525EC4"/>
    <w:rsid w:val="00526055"/>
    <w:rsid w:val="005262CA"/>
    <w:rsid w:val="00526F43"/>
    <w:rsid w:val="00527696"/>
    <w:rsid w:val="005278B8"/>
    <w:rsid w:val="00527D93"/>
    <w:rsid w:val="00527E8A"/>
    <w:rsid w:val="005301A8"/>
    <w:rsid w:val="00530314"/>
    <w:rsid w:val="005304B5"/>
    <w:rsid w:val="005305BF"/>
    <w:rsid w:val="005310A9"/>
    <w:rsid w:val="00531149"/>
    <w:rsid w:val="00531229"/>
    <w:rsid w:val="0053126F"/>
    <w:rsid w:val="005312D6"/>
    <w:rsid w:val="00531400"/>
    <w:rsid w:val="005319B4"/>
    <w:rsid w:val="00531B97"/>
    <w:rsid w:val="00531E73"/>
    <w:rsid w:val="00532EAC"/>
    <w:rsid w:val="00534164"/>
    <w:rsid w:val="0053439D"/>
    <w:rsid w:val="005344E5"/>
    <w:rsid w:val="00534909"/>
    <w:rsid w:val="00535FF3"/>
    <w:rsid w:val="005363DD"/>
    <w:rsid w:val="00536863"/>
    <w:rsid w:val="005368B0"/>
    <w:rsid w:val="00536B72"/>
    <w:rsid w:val="005371EF"/>
    <w:rsid w:val="00537DDA"/>
    <w:rsid w:val="00537FD8"/>
    <w:rsid w:val="00540178"/>
    <w:rsid w:val="005402BE"/>
    <w:rsid w:val="0054037C"/>
    <w:rsid w:val="005404EE"/>
    <w:rsid w:val="005405B9"/>
    <w:rsid w:val="005409A6"/>
    <w:rsid w:val="00540AE9"/>
    <w:rsid w:val="005419C9"/>
    <w:rsid w:val="00541F6E"/>
    <w:rsid w:val="00542283"/>
    <w:rsid w:val="00542BD9"/>
    <w:rsid w:val="0054306C"/>
    <w:rsid w:val="0054338D"/>
    <w:rsid w:val="005440F4"/>
    <w:rsid w:val="0054426F"/>
    <w:rsid w:val="005443AC"/>
    <w:rsid w:val="00545230"/>
    <w:rsid w:val="00545394"/>
    <w:rsid w:val="00545B6D"/>
    <w:rsid w:val="00545F84"/>
    <w:rsid w:val="0054603D"/>
    <w:rsid w:val="00546078"/>
    <w:rsid w:val="005460E0"/>
    <w:rsid w:val="0054617A"/>
    <w:rsid w:val="00546722"/>
    <w:rsid w:val="0054688C"/>
    <w:rsid w:val="005469D4"/>
    <w:rsid w:val="00546A01"/>
    <w:rsid w:val="00546DB7"/>
    <w:rsid w:val="005472DC"/>
    <w:rsid w:val="0054745A"/>
    <w:rsid w:val="0054749A"/>
    <w:rsid w:val="0054773C"/>
    <w:rsid w:val="00547BAA"/>
    <w:rsid w:val="00547DE1"/>
    <w:rsid w:val="0055021E"/>
    <w:rsid w:val="00550240"/>
    <w:rsid w:val="0055061C"/>
    <w:rsid w:val="005508BE"/>
    <w:rsid w:val="00550B29"/>
    <w:rsid w:val="005512FA"/>
    <w:rsid w:val="00551364"/>
    <w:rsid w:val="00551594"/>
    <w:rsid w:val="00551C4F"/>
    <w:rsid w:val="00551CCB"/>
    <w:rsid w:val="00551F79"/>
    <w:rsid w:val="005521DA"/>
    <w:rsid w:val="005522B7"/>
    <w:rsid w:val="005524E5"/>
    <w:rsid w:val="005524F9"/>
    <w:rsid w:val="00552720"/>
    <w:rsid w:val="005527BD"/>
    <w:rsid w:val="00552A48"/>
    <w:rsid w:val="00553027"/>
    <w:rsid w:val="00553059"/>
    <w:rsid w:val="005530FB"/>
    <w:rsid w:val="00553A3D"/>
    <w:rsid w:val="00553E21"/>
    <w:rsid w:val="00554100"/>
    <w:rsid w:val="005547D5"/>
    <w:rsid w:val="005547D7"/>
    <w:rsid w:val="005551F8"/>
    <w:rsid w:val="0055564E"/>
    <w:rsid w:val="005559EA"/>
    <w:rsid w:val="00555C60"/>
    <w:rsid w:val="00555C8A"/>
    <w:rsid w:val="0055627C"/>
    <w:rsid w:val="00556601"/>
    <w:rsid w:val="00556734"/>
    <w:rsid w:val="00556F82"/>
    <w:rsid w:val="0055777D"/>
    <w:rsid w:val="005578FD"/>
    <w:rsid w:val="00557C83"/>
    <w:rsid w:val="00557E08"/>
    <w:rsid w:val="00557FB0"/>
    <w:rsid w:val="0056003A"/>
    <w:rsid w:val="00560576"/>
    <w:rsid w:val="00560925"/>
    <w:rsid w:val="00560FD3"/>
    <w:rsid w:val="00561651"/>
    <w:rsid w:val="00561A0F"/>
    <w:rsid w:val="00561CD3"/>
    <w:rsid w:val="00562149"/>
    <w:rsid w:val="00562497"/>
    <w:rsid w:val="00562F04"/>
    <w:rsid w:val="005635C5"/>
    <w:rsid w:val="00563969"/>
    <w:rsid w:val="005639D4"/>
    <w:rsid w:val="00563CF8"/>
    <w:rsid w:val="00564601"/>
    <w:rsid w:val="00564D74"/>
    <w:rsid w:val="005655A2"/>
    <w:rsid w:val="00565A9E"/>
    <w:rsid w:val="00565F8E"/>
    <w:rsid w:val="00566177"/>
    <w:rsid w:val="005662BB"/>
    <w:rsid w:val="005668C5"/>
    <w:rsid w:val="00567118"/>
    <w:rsid w:val="005671F6"/>
    <w:rsid w:val="00567509"/>
    <w:rsid w:val="00567746"/>
    <w:rsid w:val="00567B72"/>
    <w:rsid w:val="00567E4F"/>
    <w:rsid w:val="005702BD"/>
    <w:rsid w:val="0057072C"/>
    <w:rsid w:val="00570B9B"/>
    <w:rsid w:val="00570F5E"/>
    <w:rsid w:val="005710AA"/>
    <w:rsid w:val="005712B6"/>
    <w:rsid w:val="0057168C"/>
    <w:rsid w:val="0057179D"/>
    <w:rsid w:val="0057199C"/>
    <w:rsid w:val="00571D8A"/>
    <w:rsid w:val="00572104"/>
    <w:rsid w:val="005725A7"/>
    <w:rsid w:val="00572C0D"/>
    <w:rsid w:val="00572D33"/>
    <w:rsid w:val="00572D71"/>
    <w:rsid w:val="005732B4"/>
    <w:rsid w:val="005733CC"/>
    <w:rsid w:val="00573539"/>
    <w:rsid w:val="005735C8"/>
    <w:rsid w:val="0057387E"/>
    <w:rsid w:val="00573DF8"/>
    <w:rsid w:val="005744A3"/>
    <w:rsid w:val="005744CD"/>
    <w:rsid w:val="005748EC"/>
    <w:rsid w:val="00574EC2"/>
    <w:rsid w:val="00575813"/>
    <w:rsid w:val="00575C5A"/>
    <w:rsid w:val="00575E35"/>
    <w:rsid w:val="00576700"/>
    <w:rsid w:val="00576A9E"/>
    <w:rsid w:val="00577AB2"/>
    <w:rsid w:val="00577CAB"/>
    <w:rsid w:val="00580108"/>
    <w:rsid w:val="0058038C"/>
    <w:rsid w:val="005804FB"/>
    <w:rsid w:val="005808A5"/>
    <w:rsid w:val="00580903"/>
    <w:rsid w:val="00580D11"/>
    <w:rsid w:val="00581048"/>
    <w:rsid w:val="0058127D"/>
    <w:rsid w:val="005815AD"/>
    <w:rsid w:val="005816D7"/>
    <w:rsid w:val="0058174E"/>
    <w:rsid w:val="00581A2A"/>
    <w:rsid w:val="00581D44"/>
    <w:rsid w:val="005824AA"/>
    <w:rsid w:val="00582633"/>
    <w:rsid w:val="00582BB7"/>
    <w:rsid w:val="00583689"/>
    <w:rsid w:val="005839C8"/>
    <w:rsid w:val="00583DA7"/>
    <w:rsid w:val="00583F30"/>
    <w:rsid w:val="0058413D"/>
    <w:rsid w:val="00584987"/>
    <w:rsid w:val="00584997"/>
    <w:rsid w:val="00584D05"/>
    <w:rsid w:val="005853C1"/>
    <w:rsid w:val="005859E9"/>
    <w:rsid w:val="00585D32"/>
    <w:rsid w:val="00585F0B"/>
    <w:rsid w:val="005861C5"/>
    <w:rsid w:val="005862E9"/>
    <w:rsid w:val="0058642A"/>
    <w:rsid w:val="005865DA"/>
    <w:rsid w:val="00586699"/>
    <w:rsid w:val="005872DF"/>
    <w:rsid w:val="00587CBE"/>
    <w:rsid w:val="005905CA"/>
    <w:rsid w:val="005909BE"/>
    <w:rsid w:val="00590DD6"/>
    <w:rsid w:val="00590DEF"/>
    <w:rsid w:val="00590E1B"/>
    <w:rsid w:val="005913D4"/>
    <w:rsid w:val="00591466"/>
    <w:rsid w:val="00591BC8"/>
    <w:rsid w:val="00591E47"/>
    <w:rsid w:val="0059231E"/>
    <w:rsid w:val="00592B06"/>
    <w:rsid w:val="00592EAB"/>
    <w:rsid w:val="00593122"/>
    <w:rsid w:val="005933B8"/>
    <w:rsid w:val="00593487"/>
    <w:rsid w:val="00593979"/>
    <w:rsid w:val="00593D61"/>
    <w:rsid w:val="00594447"/>
    <w:rsid w:val="00594CE9"/>
    <w:rsid w:val="005951DB"/>
    <w:rsid w:val="005957E9"/>
    <w:rsid w:val="00595819"/>
    <w:rsid w:val="00595D08"/>
    <w:rsid w:val="00595E4F"/>
    <w:rsid w:val="005960AB"/>
    <w:rsid w:val="005962D6"/>
    <w:rsid w:val="00596896"/>
    <w:rsid w:val="00596E5F"/>
    <w:rsid w:val="00597045"/>
    <w:rsid w:val="00597092"/>
    <w:rsid w:val="00597210"/>
    <w:rsid w:val="00597ACB"/>
    <w:rsid w:val="005A02AB"/>
    <w:rsid w:val="005A0661"/>
    <w:rsid w:val="005A0848"/>
    <w:rsid w:val="005A0FFE"/>
    <w:rsid w:val="005A1018"/>
    <w:rsid w:val="005A1244"/>
    <w:rsid w:val="005A146F"/>
    <w:rsid w:val="005A1518"/>
    <w:rsid w:val="005A172E"/>
    <w:rsid w:val="005A19DB"/>
    <w:rsid w:val="005A2534"/>
    <w:rsid w:val="005A2794"/>
    <w:rsid w:val="005A30A2"/>
    <w:rsid w:val="005A3719"/>
    <w:rsid w:val="005A37D3"/>
    <w:rsid w:val="005A46C2"/>
    <w:rsid w:val="005A47F2"/>
    <w:rsid w:val="005A4F5C"/>
    <w:rsid w:val="005A533C"/>
    <w:rsid w:val="005A56BC"/>
    <w:rsid w:val="005A5C99"/>
    <w:rsid w:val="005A7043"/>
    <w:rsid w:val="005A7137"/>
    <w:rsid w:val="005A7964"/>
    <w:rsid w:val="005A7BDF"/>
    <w:rsid w:val="005A7E47"/>
    <w:rsid w:val="005A7EBF"/>
    <w:rsid w:val="005A7FD0"/>
    <w:rsid w:val="005B02ED"/>
    <w:rsid w:val="005B078E"/>
    <w:rsid w:val="005B07EC"/>
    <w:rsid w:val="005B0905"/>
    <w:rsid w:val="005B0987"/>
    <w:rsid w:val="005B0D4A"/>
    <w:rsid w:val="005B12F7"/>
    <w:rsid w:val="005B14E6"/>
    <w:rsid w:val="005B1F4B"/>
    <w:rsid w:val="005B22BE"/>
    <w:rsid w:val="005B22BF"/>
    <w:rsid w:val="005B258B"/>
    <w:rsid w:val="005B2A45"/>
    <w:rsid w:val="005B2DA6"/>
    <w:rsid w:val="005B33E8"/>
    <w:rsid w:val="005B3F2E"/>
    <w:rsid w:val="005B40E2"/>
    <w:rsid w:val="005B4233"/>
    <w:rsid w:val="005B48B7"/>
    <w:rsid w:val="005B4CE5"/>
    <w:rsid w:val="005B506C"/>
    <w:rsid w:val="005B573A"/>
    <w:rsid w:val="005B57B8"/>
    <w:rsid w:val="005B612F"/>
    <w:rsid w:val="005B6139"/>
    <w:rsid w:val="005B630A"/>
    <w:rsid w:val="005B64D3"/>
    <w:rsid w:val="005B665A"/>
    <w:rsid w:val="005B6F57"/>
    <w:rsid w:val="005B776F"/>
    <w:rsid w:val="005B7947"/>
    <w:rsid w:val="005B7A62"/>
    <w:rsid w:val="005B7C0B"/>
    <w:rsid w:val="005B7C6A"/>
    <w:rsid w:val="005B7ECA"/>
    <w:rsid w:val="005C0ABA"/>
    <w:rsid w:val="005C0FD3"/>
    <w:rsid w:val="005C1158"/>
    <w:rsid w:val="005C1976"/>
    <w:rsid w:val="005C1A44"/>
    <w:rsid w:val="005C1D85"/>
    <w:rsid w:val="005C2664"/>
    <w:rsid w:val="005C379D"/>
    <w:rsid w:val="005C3908"/>
    <w:rsid w:val="005C397F"/>
    <w:rsid w:val="005C3A50"/>
    <w:rsid w:val="005C4473"/>
    <w:rsid w:val="005C4A87"/>
    <w:rsid w:val="005C5F91"/>
    <w:rsid w:val="005C5FBD"/>
    <w:rsid w:val="005C602D"/>
    <w:rsid w:val="005C6E64"/>
    <w:rsid w:val="005C6F7B"/>
    <w:rsid w:val="005C700A"/>
    <w:rsid w:val="005C7808"/>
    <w:rsid w:val="005D0EDD"/>
    <w:rsid w:val="005D0FBE"/>
    <w:rsid w:val="005D1538"/>
    <w:rsid w:val="005D18CF"/>
    <w:rsid w:val="005D2700"/>
    <w:rsid w:val="005D28DF"/>
    <w:rsid w:val="005D2CB7"/>
    <w:rsid w:val="005D2D60"/>
    <w:rsid w:val="005D2E6F"/>
    <w:rsid w:val="005D3073"/>
    <w:rsid w:val="005D317E"/>
    <w:rsid w:val="005D33FC"/>
    <w:rsid w:val="005D352B"/>
    <w:rsid w:val="005D3794"/>
    <w:rsid w:val="005D3816"/>
    <w:rsid w:val="005D3AAD"/>
    <w:rsid w:val="005D3EAB"/>
    <w:rsid w:val="005D4132"/>
    <w:rsid w:val="005D4363"/>
    <w:rsid w:val="005D4425"/>
    <w:rsid w:val="005D4814"/>
    <w:rsid w:val="005D4DF1"/>
    <w:rsid w:val="005D521D"/>
    <w:rsid w:val="005D55F4"/>
    <w:rsid w:val="005D5727"/>
    <w:rsid w:val="005D5B54"/>
    <w:rsid w:val="005D5C3D"/>
    <w:rsid w:val="005D6700"/>
    <w:rsid w:val="005D6E3F"/>
    <w:rsid w:val="005D71D5"/>
    <w:rsid w:val="005D7656"/>
    <w:rsid w:val="005D7704"/>
    <w:rsid w:val="005D7AB1"/>
    <w:rsid w:val="005E024B"/>
    <w:rsid w:val="005E04C6"/>
    <w:rsid w:val="005E0646"/>
    <w:rsid w:val="005E0658"/>
    <w:rsid w:val="005E0BA7"/>
    <w:rsid w:val="005E16A9"/>
    <w:rsid w:val="005E2CC7"/>
    <w:rsid w:val="005E2F54"/>
    <w:rsid w:val="005E36DE"/>
    <w:rsid w:val="005E3F4F"/>
    <w:rsid w:val="005E411E"/>
    <w:rsid w:val="005E425C"/>
    <w:rsid w:val="005E581D"/>
    <w:rsid w:val="005E59BB"/>
    <w:rsid w:val="005E5E3D"/>
    <w:rsid w:val="005E5FCC"/>
    <w:rsid w:val="005E66B9"/>
    <w:rsid w:val="005E699D"/>
    <w:rsid w:val="005E6D6B"/>
    <w:rsid w:val="005E7407"/>
    <w:rsid w:val="005E7C71"/>
    <w:rsid w:val="005E7C90"/>
    <w:rsid w:val="005F004C"/>
    <w:rsid w:val="005F0648"/>
    <w:rsid w:val="005F10C3"/>
    <w:rsid w:val="005F1B20"/>
    <w:rsid w:val="005F22E0"/>
    <w:rsid w:val="005F24EF"/>
    <w:rsid w:val="005F26A2"/>
    <w:rsid w:val="005F2CEB"/>
    <w:rsid w:val="005F3A3E"/>
    <w:rsid w:val="005F4167"/>
    <w:rsid w:val="005F4F2C"/>
    <w:rsid w:val="005F5BDE"/>
    <w:rsid w:val="005F6202"/>
    <w:rsid w:val="005F62DD"/>
    <w:rsid w:val="005F6B07"/>
    <w:rsid w:val="005F6E4E"/>
    <w:rsid w:val="005F6F41"/>
    <w:rsid w:val="005F70E9"/>
    <w:rsid w:val="005F75F6"/>
    <w:rsid w:val="00600344"/>
    <w:rsid w:val="00600456"/>
    <w:rsid w:val="00600A95"/>
    <w:rsid w:val="00600C5B"/>
    <w:rsid w:val="00600F04"/>
    <w:rsid w:val="00600FB8"/>
    <w:rsid w:val="0060112C"/>
    <w:rsid w:val="00601371"/>
    <w:rsid w:val="00601925"/>
    <w:rsid w:val="006020BA"/>
    <w:rsid w:val="006025AD"/>
    <w:rsid w:val="00602900"/>
    <w:rsid w:val="00602F01"/>
    <w:rsid w:val="0060336C"/>
    <w:rsid w:val="00603749"/>
    <w:rsid w:val="00603B93"/>
    <w:rsid w:val="00604133"/>
    <w:rsid w:val="00604645"/>
    <w:rsid w:val="0060478D"/>
    <w:rsid w:val="00604982"/>
    <w:rsid w:val="00604E0D"/>
    <w:rsid w:val="00605100"/>
    <w:rsid w:val="006057A6"/>
    <w:rsid w:val="00605990"/>
    <w:rsid w:val="00605BFD"/>
    <w:rsid w:val="00606319"/>
    <w:rsid w:val="00606B1F"/>
    <w:rsid w:val="0060716F"/>
    <w:rsid w:val="00607522"/>
    <w:rsid w:val="00607707"/>
    <w:rsid w:val="00607752"/>
    <w:rsid w:val="00607A4A"/>
    <w:rsid w:val="00610026"/>
    <w:rsid w:val="00610178"/>
    <w:rsid w:val="006102D1"/>
    <w:rsid w:val="006102ED"/>
    <w:rsid w:val="00610453"/>
    <w:rsid w:val="0061071C"/>
    <w:rsid w:val="006114C4"/>
    <w:rsid w:val="006114E6"/>
    <w:rsid w:val="0061207B"/>
    <w:rsid w:val="00612AD0"/>
    <w:rsid w:val="00612DB6"/>
    <w:rsid w:val="006136C2"/>
    <w:rsid w:val="00613F79"/>
    <w:rsid w:val="006141A8"/>
    <w:rsid w:val="00614384"/>
    <w:rsid w:val="00614855"/>
    <w:rsid w:val="00614A16"/>
    <w:rsid w:val="00614A33"/>
    <w:rsid w:val="00614CEC"/>
    <w:rsid w:val="006152C2"/>
    <w:rsid w:val="00615390"/>
    <w:rsid w:val="006153EF"/>
    <w:rsid w:val="00615E1F"/>
    <w:rsid w:val="00615E6E"/>
    <w:rsid w:val="006160D1"/>
    <w:rsid w:val="00616225"/>
    <w:rsid w:val="00617166"/>
    <w:rsid w:val="00617834"/>
    <w:rsid w:val="006178AF"/>
    <w:rsid w:val="006179AB"/>
    <w:rsid w:val="00617B7E"/>
    <w:rsid w:val="00617EB7"/>
    <w:rsid w:val="0062029B"/>
    <w:rsid w:val="0062064B"/>
    <w:rsid w:val="00620E3D"/>
    <w:rsid w:val="00621123"/>
    <w:rsid w:val="006212CB"/>
    <w:rsid w:val="006213CD"/>
    <w:rsid w:val="00621906"/>
    <w:rsid w:val="00621951"/>
    <w:rsid w:val="00621F87"/>
    <w:rsid w:val="0062208D"/>
    <w:rsid w:val="00622147"/>
    <w:rsid w:val="006223F6"/>
    <w:rsid w:val="00622C39"/>
    <w:rsid w:val="00623015"/>
    <w:rsid w:val="0062326D"/>
    <w:rsid w:val="00623325"/>
    <w:rsid w:val="00623453"/>
    <w:rsid w:val="0062354D"/>
    <w:rsid w:val="0062360D"/>
    <w:rsid w:val="0062368D"/>
    <w:rsid w:val="0062446D"/>
    <w:rsid w:val="00624791"/>
    <w:rsid w:val="0062567E"/>
    <w:rsid w:val="00625CAB"/>
    <w:rsid w:val="00625E07"/>
    <w:rsid w:val="00626906"/>
    <w:rsid w:val="0062706C"/>
    <w:rsid w:val="006272BC"/>
    <w:rsid w:val="00627634"/>
    <w:rsid w:val="00627BF4"/>
    <w:rsid w:val="00627F4C"/>
    <w:rsid w:val="006300BC"/>
    <w:rsid w:val="00630102"/>
    <w:rsid w:val="006303F7"/>
    <w:rsid w:val="00630667"/>
    <w:rsid w:val="00630ADE"/>
    <w:rsid w:val="00630B4E"/>
    <w:rsid w:val="00630D6A"/>
    <w:rsid w:val="00630EA9"/>
    <w:rsid w:val="00631641"/>
    <w:rsid w:val="0063190C"/>
    <w:rsid w:val="00631CAD"/>
    <w:rsid w:val="00631D91"/>
    <w:rsid w:val="00632006"/>
    <w:rsid w:val="0063222D"/>
    <w:rsid w:val="006322CD"/>
    <w:rsid w:val="00632797"/>
    <w:rsid w:val="0063279E"/>
    <w:rsid w:val="0063289F"/>
    <w:rsid w:val="0063296F"/>
    <w:rsid w:val="00632E1F"/>
    <w:rsid w:val="0063354F"/>
    <w:rsid w:val="00633838"/>
    <w:rsid w:val="00633AD0"/>
    <w:rsid w:val="00633F37"/>
    <w:rsid w:val="00634142"/>
    <w:rsid w:val="00634237"/>
    <w:rsid w:val="006358F6"/>
    <w:rsid w:val="006359E4"/>
    <w:rsid w:val="00635BF9"/>
    <w:rsid w:val="006361A9"/>
    <w:rsid w:val="00636C48"/>
    <w:rsid w:val="0063719B"/>
    <w:rsid w:val="006372C6"/>
    <w:rsid w:val="0063776B"/>
    <w:rsid w:val="00637A67"/>
    <w:rsid w:val="006405FC"/>
    <w:rsid w:val="00640614"/>
    <w:rsid w:val="00640950"/>
    <w:rsid w:val="00640D12"/>
    <w:rsid w:val="0064110B"/>
    <w:rsid w:val="00641586"/>
    <w:rsid w:val="00641975"/>
    <w:rsid w:val="006419F3"/>
    <w:rsid w:val="00642560"/>
    <w:rsid w:val="0064288E"/>
    <w:rsid w:val="00642D79"/>
    <w:rsid w:val="00642E27"/>
    <w:rsid w:val="00642F42"/>
    <w:rsid w:val="00643483"/>
    <w:rsid w:val="006434A7"/>
    <w:rsid w:val="00643581"/>
    <w:rsid w:val="00644236"/>
    <w:rsid w:val="00644405"/>
    <w:rsid w:val="00644B45"/>
    <w:rsid w:val="00644CB1"/>
    <w:rsid w:val="00644D8C"/>
    <w:rsid w:val="00644F20"/>
    <w:rsid w:val="0064585F"/>
    <w:rsid w:val="006459BE"/>
    <w:rsid w:val="00645B88"/>
    <w:rsid w:val="00646029"/>
    <w:rsid w:val="0064694D"/>
    <w:rsid w:val="0064697A"/>
    <w:rsid w:val="0064699B"/>
    <w:rsid w:val="00646A1E"/>
    <w:rsid w:val="00646E0C"/>
    <w:rsid w:val="0064767A"/>
    <w:rsid w:val="006476B4"/>
    <w:rsid w:val="006502F3"/>
    <w:rsid w:val="006503A1"/>
    <w:rsid w:val="006504D4"/>
    <w:rsid w:val="00650674"/>
    <w:rsid w:val="00650AD4"/>
    <w:rsid w:val="00650BAF"/>
    <w:rsid w:val="00650F0B"/>
    <w:rsid w:val="00650F0D"/>
    <w:rsid w:val="006511D0"/>
    <w:rsid w:val="006516BE"/>
    <w:rsid w:val="00651A8D"/>
    <w:rsid w:val="006521FB"/>
    <w:rsid w:val="006526D2"/>
    <w:rsid w:val="006527AB"/>
    <w:rsid w:val="0065290D"/>
    <w:rsid w:val="0065383F"/>
    <w:rsid w:val="00653C27"/>
    <w:rsid w:val="00653FC6"/>
    <w:rsid w:val="00654189"/>
    <w:rsid w:val="00654ACA"/>
    <w:rsid w:val="00654C7B"/>
    <w:rsid w:val="00654EFB"/>
    <w:rsid w:val="00655326"/>
    <w:rsid w:val="00655993"/>
    <w:rsid w:val="00655C50"/>
    <w:rsid w:val="00655E0A"/>
    <w:rsid w:val="00655ED3"/>
    <w:rsid w:val="006564BD"/>
    <w:rsid w:val="006572E5"/>
    <w:rsid w:val="006577D4"/>
    <w:rsid w:val="006578B3"/>
    <w:rsid w:val="00657ABA"/>
    <w:rsid w:val="00657DE4"/>
    <w:rsid w:val="00657F93"/>
    <w:rsid w:val="00660305"/>
    <w:rsid w:val="00660679"/>
    <w:rsid w:val="00660845"/>
    <w:rsid w:val="00660ECB"/>
    <w:rsid w:val="006610F6"/>
    <w:rsid w:val="00661B7C"/>
    <w:rsid w:val="00661BF5"/>
    <w:rsid w:val="006620CD"/>
    <w:rsid w:val="00662315"/>
    <w:rsid w:val="00662697"/>
    <w:rsid w:val="00662A26"/>
    <w:rsid w:val="00662B30"/>
    <w:rsid w:val="00662B37"/>
    <w:rsid w:val="00662C87"/>
    <w:rsid w:val="006635BB"/>
    <w:rsid w:val="00663CEF"/>
    <w:rsid w:val="00663F8A"/>
    <w:rsid w:val="00663FEF"/>
    <w:rsid w:val="00664405"/>
    <w:rsid w:val="00664510"/>
    <w:rsid w:val="00664F32"/>
    <w:rsid w:val="00664FF5"/>
    <w:rsid w:val="006652DD"/>
    <w:rsid w:val="006652F3"/>
    <w:rsid w:val="0066615B"/>
    <w:rsid w:val="0066617A"/>
    <w:rsid w:val="006663EF"/>
    <w:rsid w:val="00666808"/>
    <w:rsid w:val="00666A6D"/>
    <w:rsid w:val="00666A75"/>
    <w:rsid w:val="00666DFC"/>
    <w:rsid w:val="006677A0"/>
    <w:rsid w:val="00667CEA"/>
    <w:rsid w:val="0067000C"/>
    <w:rsid w:val="0067028F"/>
    <w:rsid w:val="00670357"/>
    <w:rsid w:val="00670CDE"/>
    <w:rsid w:val="00671A3A"/>
    <w:rsid w:val="00672D09"/>
    <w:rsid w:val="0067324B"/>
    <w:rsid w:val="00674499"/>
    <w:rsid w:val="00674BBA"/>
    <w:rsid w:val="00675306"/>
    <w:rsid w:val="0067556D"/>
    <w:rsid w:val="00675A4B"/>
    <w:rsid w:val="00675DBC"/>
    <w:rsid w:val="00676204"/>
    <w:rsid w:val="00676D5B"/>
    <w:rsid w:val="00676E05"/>
    <w:rsid w:val="00676F95"/>
    <w:rsid w:val="006773DB"/>
    <w:rsid w:val="00677679"/>
    <w:rsid w:val="006779FB"/>
    <w:rsid w:val="00677A55"/>
    <w:rsid w:val="00677ACA"/>
    <w:rsid w:val="00677E73"/>
    <w:rsid w:val="00680326"/>
    <w:rsid w:val="006804C7"/>
    <w:rsid w:val="00680696"/>
    <w:rsid w:val="00680FEA"/>
    <w:rsid w:val="00681C34"/>
    <w:rsid w:val="00681FB3"/>
    <w:rsid w:val="00682079"/>
    <w:rsid w:val="006824CA"/>
    <w:rsid w:val="00682E49"/>
    <w:rsid w:val="00682FFA"/>
    <w:rsid w:val="00683607"/>
    <w:rsid w:val="00683781"/>
    <w:rsid w:val="00683B33"/>
    <w:rsid w:val="00683F1C"/>
    <w:rsid w:val="0068452A"/>
    <w:rsid w:val="00684635"/>
    <w:rsid w:val="00684ADA"/>
    <w:rsid w:val="00684B55"/>
    <w:rsid w:val="00684BED"/>
    <w:rsid w:val="00684C43"/>
    <w:rsid w:val="00684D9F"/>
    <w:rsid w:val="006859DA"/>
    <w:rsid w:val="00685B01"/>
    <w:rsid w:val="00685BEC"/>
    <w:rsid w:val="006862F7"/>
    <w:rsid w:val="006864E5"/>
    <w:rsid w:val="00686B28"/>
    <w:rsid w:val="0068741F"/>
    <w:rsid w:val="006877DE"/>
    <w:rsid w:val="00690B64"/>
    <w:rsid w:val="00690CEB"/>
    <w:rsid w:val="00690F47"/>
    <w:rsid w:val="00691196"/>
    <w:rsid w:val="00691535"/>
    <w:rsid w:val="00691575"/>
    <w:rsid w:val="00691608"/>
    <w:rsid w:val="0069181F"/>
    <w:rsid w:val="006918F8"/>
    <w:rsid w:val="00691ACB"/>
    <w:rsid w:val="00691D37"/>
    <w:rsid w:val="00691F82"/>
    <w:rsid w:val="006922F9"/>
    <w:rsid w:val="00692454"/>
    <w:rsid w:val="00692617"/>
    <w:rsid w:val="00692B1E"/>
    <w:rsid w:val="00692FBC"/>
    <w:rsid w:val="00693AF2"/>
    <w:rsid w:val="00694542"/>
    <w:rsid w:val="0069456F"/>
    <w:rsid w:val="00694C90"/>
    <w:rsid w:val="00694E7A"/>
    <w:rsid w:val="00694EA0"/>
    <w:rsid w:val="0069504E"/>
    <w:rsid w:val="006964B6"/>
    <w:rsid w:val="0069672B"/>
    <w:rsid w:val="0069681D"/>
    <w:rsid w:val="00696FAC"/>
    <w:rsid w:val="00697278"/>
    <w:rsid w:val="006972BC"/>
    <w:rsid w:val="006973FD"/>
    <w:rsid w:val="006974ED"/>
    <w:rsid w:val="0069766F"/>
    <w:rsid w:val="006A0411"/>
    <w:rsid w:val="006A077E"/>
    <w:rsid w:val="006A0D56"/>
    <w:rsid w:val="006A14B8"/>
    <w:rsid w:val="006A1735"/>
    <w:rsid w:val="006A1871"/>
    <w:rsid w:val="006A1F3D"/>
    <w:rsid w:val="006A21A7"/>
    <w:rsid w:val="006A2309"/>
    <w:rsid w:val="006A2751"/>
    <w:rsid w:val="006A2BE9"/>
    <w:rsid w:val="006A32A2"/>
    <w:rsid w:val="006A338E"/>
    <w:rsid w:val="006A3B54"/>
    <w:rsid w:val="006A402F"/>
    <w:rsid w:val="006A4362"/>
    <w:rsid w:val="006A4431"/>
    <w:rsid w:val="006A45BA"/>
    <w:rsid w:val="006A4B43"/>
    <w:rsid w:val="006A4F89"/>
    <w:rsid w:val="006A5240"/>
    <w:rsid w:val="006A54FC"/>
    <w:rsid w:val="006A5863"/>
    <w:rsid w:val="006A5D03"/>
    <w:rsid w:val="006A6180"/>
    <w:rsid w:val="006A66F1"/>
    <w:rsid w:val="006A6711"/>
    <w:rsid w:val="006A67E5"/>
    <w:rsid w:val="006A6A8F"/>
    <w:rsid w:val="006A6C3B"/>
    <w:rsid w:val="006A6D17"/>
    <w:rsid w:val="006A7038"/>
    <w:rsid w:val="006A7547"/>
    <w:rsid w:val="006A7884"/>
    <w:rsid w:val="006A7CBA"/>
    <w:rsid w:val="006B04F3"/>
    <w:rsid w:val="006B0C44"/>
    <w:rsid w:val="006B0CF5"/>
    <w:rsid w:val="006B1626"/>
    <w:rsid w:val="006B1638"/>
    <w:rsid w:val="006B1AB1"/>
    <w:rsid w:val="006B1FB6"/>
    <w:rsid w:val="006B21CA"/>
    <w:rsid w:val="006B23E8"/>
    <w:rsid w:val="006B246E"/>
    <w:rsid w:val="006B2621"/>
    <w:rsid w:val="006B307A"/>
    <w:rsid w:val="006B3284"/>
    <w:rsid w:val="006B3394"/>
    <w:rsid w:val="006B3520"/>
    <w:rsid w:val="006B3560"/>
    <w:rsid w:val="006B364F"/>
    <w:rsid w:val="006B36AF"/>
    <w:rsid w:val="006B397B"/>
    <w:rsid w:val="006B3B03"/>
    <w:rsid w:val="006B3FA7"/>
    <w:rsid w:val="006B449B"/>
    <w:rsid w:val="006B4836"/>
    <w:rsid w:val="006B4841"/>
    <w:rsid w:val="006B4D6A"/>
    <w:rsid w:val="006B50B8"/>
    <w:rsid w:val="006B5333"/>
    <w:rsid w:val="006B5958"/>
    <w:rsid w:val="006B5B01"/>
    <w:rsid w:val="006B5D20"/>
    <w:rsid w:val="006B60D2"/>
    <w:rsid w:val="006B7BBC"/>
    <w:rsid w:val="006B7BF8"/>
    <w:rsid w:val="006B7E92"/>
    <w:rsid w:val="006C0212"/>
    <w:rsid w:val="006C0634"/>
    <w:rsid w:val="006C0C2F"/>
    <w:rsid w:val="006C0D99"/>
    <w:rsid w:val="006C1256"/>
    <w:rsid w:val="006C13D3"/>
    <w:rsid w:val="006C15AC"/>
    <w:rsid w:val="006C1DC0"/>
    <w:rsid w:val="006C1DED"/>
    <w:rsid w:val="006C21BA"/>
    <w:rsid w:val="006C24EE"/>
    <w:rsid w:val="006C2A17"/>
    <w:rsid w:val="006C2A7D"/>
    <w:rsid w:val="006C346A"/>
    <w:rsid w:val="006C3B98"/>
    <w:rsid w:val="006C3D73"/>
    <w:rsid w:val="006C3ED5"/>
    <w:rsid w:val="006C52F9"/>
    <w:rsid w:val="006C5751"/>
    <w:rsid w:val="006C5DDB"/>
    <w:rsid w:val="006C609F"/>
    <w:rsid w:val="006C6B10"/>
    <w:rsid w:val="006C6C74"/>
    <w:rsid w:val="006C7CCF"/>
    <w:rsid w:val="006D022B"/>
    <w:rsid w:val="006D0DFC"/>
    <w:rsid w:val="006D117F"/>
    <w:rsid w:val="006D1628"/>
    <w:rsid w:val="006D16BF"/>
    <w:rsid w:val="006D1A5A"/>
    <w:rsid w:val="006D1A5E"/>
    <w:rsid w:val="006D1DC6"/>
    <w:rsid w:val="006D2383"/>
    <w:rsid w:val="006D2C53"/>
    <w:rsid w:val="006D3343"/>
    <w:rsid w:val="006D39E7"/>
    <w:rsid w:val="006D3DC7"/>
    <w:rsid w:val="006D3EDF"/>
    <w:rsid w:val="006D42BE"/>
    <w:rsid w:val="006D4507"/>
    <w:rsid w:val="006D486A"/>
    <w:rsid w:val="006D4B26"/>
    <w:rsid w:val="006D521D"/>
    <w:rsid w:val="006D573D"/>
    <w:rsid w:val="006D5CED"/>
    <w:rsid w:val="006D602F"/>
    <w:rsid w:val="006D6932"/>
    <w:rsid w:val="006D6AD7"/>
    <w:rsid w:val="006D6CE7"/>
    <w:rsid w:val="006D7035"/>
    <w:rsid w:val="006D73F7"/>
    <w:rsid w:val="006D77B7"/>
    <w:rsid w:val="006D78C2"/>
    <w:rsid w:val="006D7D32"/>
    <w:rsid w:val="006E0845"/>
    <w:rsid w:val="006E0B72"/>
    <w:rsid w:val="006E0B98"/>
    <w:rsid w:val="006E0C1B"/>
    <w:rsid w:val="006E0D6D"/>
    <w:rsid w:val="006E0FFE"/>
    <w:rsid w:val="006E13B9"/>
    <w:rsid w:val="006E13E9"/>
    <w:rsid w:val="006E1550"/>
    <w:rsid w:val="006E1555"/>
    <w:rsid w:val="006E190A"/>
    <w:rsid w:val="006E1930"/>
    <w:rsid w:val="006E1D3C"/>
    <w:rsid w:val="006E1E56"/>
    <w:rsid w:val="006E2345"/>
    <w:rsid w:val="006E2574"/>
    <w:rsid w:val="006E266F"/>
    <w:rsid w:val="006E3381"/>
    <w:rsid w:val="006E3A2B"/>
    <w:rsid w:val="006E3BE5"/>
    <w:rsid w:val="006E3E78"/>
    <w:rsid w:val="006E3F66"/>
    <w:rsid w:val="006E45C2"/>
    <w:rsid w:val="006E48DA"/>
    <w:rsid w:val="006E4A18"/>
    <w:rsid w:val="006E4ADD"/>
    <w:rsid w:val="006E4B2B"/>
    <w:rsid w:val="006E5142"/>
    <w:rsid w:val="006E5255"/>
    <w:rsid w:val="006E5C3F"/>
    <w:rsid w:val="006E5F56"/>
    <w:rsid w:val="006E63F1"/>
    <w:rsid w:val="006E66EA"/>
    <w:rsid w:val="006E682B"/>
    <w:rsid w:val="006E6AB5"/>
    <w:rsid w:val="006E6D68"/>
    <w:rsid w:val="006E7358"/>
    <w:rsid w:val="006E7617"/>
    <w:rsid w:val="006E7741"/>
    <w:rsid w:val="006E7848"/>
    <w:rsid w:val="006E7F9A"/>
    <w:rsid w:val="006F083A"/>
    <w:rsid w:val="006F0E71"/>
    <w:rsid w:val="006F148B"/>
    <w:rsid w:val="006F14AD"/>
    <w:rsid w:val="006F1842"/>
    <w:rsid w:val="006F1A0C"/>
    <w:rsid w:val="006F1F91"/>
    <w:rsid w:val="006F206C"/>
    <w:rsid w:val="006F208C"/>
    <w:rsid w:val="006F23C8"/>
    <w:rsid w:val="006F29ED"/>
    <w:rsid w:val="006F2F03"/>
    <w:rsid w:val="006F3063"/>
    <w:rsid w:val="006F3639"/>
    <w:rsid w:val="006F38AA"/>
    <w:rsid w:val="006F3B8B"/>
    <w:rsid w:val="006F3BB1"/>
    <w:rsid w:val="006F3D90"/>
    <w:rsid w:val="006F4080"/>
    <w:rsid w:val="006F46E6"/>
    <w:rsid w:val="006F47CB"/>
    <w:rsid w:val="006F482D"/>
    <w:rsid w:val="006F48CB"/>
    <w:rsid w:val="006F4AD1"/>
    <w:rsid w:val="006F55DD"/>
    <w:rsid w:val="006F55FD"/>
    <w:rsid w:val="006F5D31"/>
    <w:rsid w:val="006F5DDB"/>
    <w:rsid w:val="006F68E8"/>
    <w:rsid w:val="006F695A"/>
    <w:rsid w:val="006F7240"/>
    <w:rsid w:val="006F737B"/>
    <w:rsid w:val="006F7479"/>
    <w:rsid w:val="006F7548"/>
    <w:rsid w:val="006F78BB"/>
    <w:rsid w:val="006F7AF5"/>
    <w:rsid w:val="006F7BA1"/>
    <w:rsid w:val="006F7CF8"/>
    <w:rsid w:val="006F7D44"/>
    <w:rsid w:val="006F7E9D"/>
    <w:rsid w:val="00700590"/>
    <w:rsid w:val="007006CF"/>
    <w:rsid w:val="007007A8"/>
    <w:rsid w:val="00700D4C"/>
    <w:rsid w:val="007010A6"/>
    <w:rsid w:val="00701C8E"/>
    <w:rsid w:val="00701E1D"/>
    <w:rsid w:val="00701EBB"/>
    <w:rsid w:val="0070212D"/>
    <w:rsid w:val="00702261"/>
    <w:rsid w:val="007022DC"/>
    <w:rsid w:val="007024D8"/>
    <w:rsid w:val="0070260F"/>
    <w:rsid w:val="00702718"/>
    <w:rsid w:val="00702BC7"/>
    <w:rsid w:val="007030E3"/>
    <w:rsid w:val="007037B0"/>
    <w:rsid w:val="007038F6"/>
    <w:rsid w:val="00703B90"/>
    <w:rsid w:val="007048B5"/>
    <w:rsid w:val="00704948"/>
    <w:rsid w:val="00704D6B"/>
    <w:rsid w:val="00704F54"/>
    <w:rsid w:val="007056AE"/>
    <w:rsid w:val="00705FA5"/>
    <w:rsid w:val="00706788"/>
    <w:rsid w:val="00706817"/>
    <w:rsid w:val="00706A34"/>
    <w:rsid w:val="00706E72"/>
    <w:rsid w:val="00707B37"/>
    <w:rsid w:val="007103FD"/>
    <w:rsid w:val="00710B3E"/>
    <w:rsid w:val="00710DE4"/>
    <w:rsid w:val="00710E68"/>
    <w:rsid w:val="00711066"/>
    <w:rsid w:val="007111AD"/>
    <w:rsid w:val="00711890"/>
    <w:rsid w:val="00711C33"/>
    <w:rsid w:val="00712719"/>
    <w:rsid w:val="00712C22"/>
    <w:rsid w:val="00712D51"/>
    <w:rsid w:val="007130DF"/>
    <w:rsid w:val="00713103"/>
    <w:rsid w:val="0071324F"/>
    <w:rsid w:val="0071363F"/>
    <w:rsid w:val="00713963"/>
    <w:rsid w:val="00713DD4"/>
    <w:rsid w:val="0071410D"/>
    <w:rsid w:val="00714190"/>
    <w:rsid w:val="007141B0"/>
    <w:rsid w:val="0071428F"/>
    <w:rsid w:val="00714598"/>
    <w:rsid w:val="00714BF5"/>
    <w:rsid w:val="007155C7"/>
    <w:rsid w:val="00715F58"/>
    <w:rsid w:val="00716016"/>
    <w:rsid w:val="0071603F"/>
    <w:rsid w:val="007162AF"/>
    <w:rsid w:val="00716503"/>
    <w:rsid w:val="007169E6"/>
    <w:rsid w:val="00716CA3"/>
    <w:rsid w:val="00716EC8"/>
    <w:rsid w:val="007170EB"/>
    <w:rsid w:val="00717DA0"/>
    <w:rsid w:val="00717DF7"/>
    <w:rsid w:val="00720350"/>
    <w:rsid w:val="0072070B"/>
    <w:rsid w:val="007209B8"/>
    <w:rsid w:val="0072182D"/>
    <w:rsid w:val="00722143"/>
    <w:rsid w:val="00722EF6"/>
    <w:rsid w:val="00723B07"/>
    <w:rsid w:val="00723C21"/>
    <w:rsid w:val="007243DE"/>
    <w:rsid w:val="00724A00"/>
    <w:rsid w:val="00724B67"/>
    <w:rsid w:val="00724E49"/>
    <w:rsid w:val="00724E7D"/>
    <w:rsid w:val="00724FA9"/>
    <w:rsid w:val="00724FDF"/>
    <w:rsid w:val="0072587D"/>
    <w:rsid w:val="0072592D"/>
    <w:rsid w:val="00725B51"/>
    <w:rsid w:val="007261EC"/>
    <w:rsid w:val="007262CE"/>
    <w:rsid w:val="0072685B"/>
    <w:rsid w:val="00726B79"/>
    <w:rsid w:val="00727076"/>
    <w:rsid w:val="007270B6"/>
    <w:rsid w:val="007276E9"/>
    <w:rsid w:val="00727A4E"/>
    <w:rsid w:val="00727B05"/>
    <w:rsid w:val="007309B9"/>
    <w:rsid w:val="00730A0B"/>
    <w:rsid w:val="00730A1C"/>
    <w:rsid w:val="00730E31"/>
    <w:rsid w:val="007317FD"/>
    <w:rsid w:val="0073193D"/>
    <w:rsid w:val="00731F99"/>
    <w:rsid w:val="007322FC"/>
    <w:rsid w:val="00732804"/>
    <w:rsid w:val="007332E4"/>
    <w:rsid w:val="0073359F"/>
    <w:rsid w:val="007336F5"/>
    <w:rsid w:val="007337E9"/>
    <w:rsid w:val="007338F1"/>
    <w:rsid w:val="00733BA0"/>
    <w:rsid w:val="00734202"/>
    <w:rsid w:val="0073495F"/>
    <w:rsid w:val="00734E29"/>
    <w:rsid w:val="007350B6"/>
    <w:rsid w:val="0073524A"/>
    <w:rsid w:val="00735592"/>
    <w:rsid w:val="00736448"/>
    <w:rsid w:val="007365DB"/>
    <w:rsid w:val="00736631"/>
    <w:rsid w:val="00736CC3"/>
    <w:rsid w:val="0073756B"/>
    <w:rsid w:val="00737685"/>
    <w:rsid w:val="0073782F"/>
    <w:rsid w:val="00737843"/>
    <w:rsid w:val="00737969"/>
    <w:rsid w:val="007400A0"/>
    <w:rsid w:val="00740ED6"/>
    <w:rsid w:val="00740FA7"/>
    <w:rsid w:val="007411FA"/>
    <w:rsid w:val="007412F3"/>
    <w:rsid w:val="00741465"/>
    <w:rsid w:val="00741518"/>
    <w:rsid w:val="007418C0"/>
    <w:rsid w:val="00741A7B"/>
    <w:rsid w:val="007425FC"/>
    <w:rsid w:val="007427BD"/>
    <w:rsid w:val="00743090"/>
    <w:rsid w:val="007434AE"/>
    <w:rsid w:val="007438B5"/>
    <w:rsid w:val="00743C7B"/>
    <w:rsid w:val="00743F7B"/>
    <w:rsid w:val="0074449E"/>
    <w:rsid w:val="0074474D"/>
    <w:rsid w:val="00744820"/>
    <w:rsid w:val="007448A0"/>
    <w:rsid w:val="007448C6"/>
    <w:rsid w:val="00744EBC"/>
    <w:rsid w:val="007451BD"/>
    <w:rsid w:val="0074628D"/>
    <w:rsid w:val="007467C9"/>
    <w:rsid w:val="00746E90"/>
    <w:rsid w:val="007473A1"/>
    <w:rsid w:val="007479F6"/>
    <w:rsid w:val="00747B25"/>
    <w:rsid w:val="00747C1E"/>
    <w:rsid w:val="00747D24"/>
    <w:rsid w:val="007502D3"/>
    <w:rsid w:val="0075031F"/>
    <w:rsid w:val="00750384"/>
    <w:rsid w:val="007506D9"/>
    <w:rsid w:val="00750C65"/>
    <w:rsid w:val="00751675"/>
    <w:rsid w:val="0075168C"/>
    <w:rsid w:val="007517F3"/>
    <w:rsid w:val="00751AA4"/>
    <w:rsid w:val="00751EE7"/>
    <w:rsid w:val="0075209C"/>
    <w:rsid w:val="00752A20"/>
    <w:rsid w:val="00752A52"/>
    <w:rsid w:val="00752EF6"/>
    <w:rsid w:val="0075324E"/>
    <w:rsid w:val="00753458"/>
    <w:rsid w:val="007535AA"/>
    <w:rsid w:val="0075445E"/>
    <w:rsid w:val="00754D37"/>
    <w:rsid w:val="007559ED"/>
    <w:rsid w:val="00755E81"/>
    <w:rsid w:val="00756ABC"/>
    <w:rsid w:val="00756B10"/>
    <w:rsid w:val="0075732E"/>
    <w:rsid w:val="007574FF"/>
    <w:rsid w:val="007578F9"/>
    <w:rsid w:val="00757D40"/>
    <w:rsid w:val="00757EA2"/>
    <w:rsid w:val="00757FB9"/>
    <w:rsid w:val="007600FC"/>
    <w:rsid w:val="007607EB"/>
    <w:rsid w:val="00760B51"/>
    <w:rsid w:val="00761332"/>
    <w:rsid w:val="00761456"/>
    <w:rsid w:val="00761B7A"/>
    <w:rsid w:val="00761C16"/>
    <w:rsid w:val="00761F9D"/>
    <w:rsid w:val="007621A1"/>
    <w:rsid w:val="00762265"/>
    <w:rsid w:val="00762CEF"/>
    <w:rsid w:val="00762F36"/>
    <w:rsid w:val="00763364"/>
    <w:rsid w:val="007639E5"/>
    <w:rsid w:val="00763CDC"/>
    <w:rsid w:val="00763E67"/>
    <w:rsid w:val="00764201"/>
    <w:rsid w:val="00764DC4"/>
    <w:rsid w:val="00765214"/>
    <w:rsid w:val="00765294"/>
    <w:rsid w:val="00766B30"/>
    <w:rsid w:val="00766ED3"/>
    <w:rsid w:val="00767DD4"/>
    <w:rsid w:val="0077076D"/>
    <w:rsid w:val="00770BE9"/>
    <w:rsid w:val="00770CC5"/>
    <w:rsid w:val="00771438"/>
    <w:rsid w:val="007714D3"/>
    <w:rsid w:val="00771747"/>
    <w:rsid w:val="00771AA9"/>
    <w:rsid w:val="00771D70"/>
    <w:rsid w:val="007720F6"/>
    <w:rsid w:val="0077215A"/>
    <w:rsid w:val="00772314"/>
    <w:rsid w:val="0077257D"/>
    <w:rsid w:val="00772975"/>
    <w:rsid w:val="00772DBB"/>
    <w:rsid w:val="00773259"/>
    <w:rsid w:val="00773AB5"/>
    <w:rsid w:val="00773B7F"/>
    <w:rsid w:val="00773C65"/>
    <w:rsid w:val="00773E08"/>
    <w:rsid w:val="00774371"/>
    <w:rsid w:val="007747C4"/>
    <w:rsid w:val="00774BC7"/>
    <w:rsid w:val="00774EF5"/>
    <w:rsid w:val="00775010"/>
    <w:rsid w:val="00775099"/>
    <w:rsid w:val="0077534F"/>
    <w:rsid w:val="00775678"/>
    <w:rsid w:val="007756E1"/>
    <w:rsid w:val="00775B47"/>
    <w:rsid w:val="00775DDB"/>
    <w:rsid w:val="00775EA0"/>
    <w:rsid w:val="00776337"/>
    <w:rsid w:val="007763A2"/>
    <w:rsid w:val="00776862"/>
    <w:rsid w:val="00776878"/>
    <w:rsid w:val="0077732B"/>
    <w:rsid w:val="007774A0"/>
    <w:rsid w:val="007776F1"/>
    <w:rsid w:val="00777B68"/>
    <w:rsid w:val="00777B6D"/>
    <w:rsid w:val="00777C8A"/>
    <w:rsid w:val="00777D08"/>
    <w:rsid w:val="00777D39"/>
    <w:rsid w:val="00777DD9"/>
    <w:rsid w:val="00777F3C"/>
    <w:rsid w:val="00777F9F"/>
    <w:rsid w:val="00780FCE"/>
    <w:rsid w:val="0078118D"/>
    <w:rsid w:val="00781295"/>
    <w:rsid w:val="00781BF4"/>
    <w:rsid w:val="00782450"/>
    <w:rsid w:val="007834A7"/>
    <w:rsid w:val="0078383B"/>
    <w:rsid w:val="00783C66"/>
    <w:rsid w:val="007844D9"/>
    <w:rsid w:val="00784CAD"/>
    <w:rsid w:val="00784E4A"/>
    <w:rsid w:val="00785B6F"/>
    <w:rsid w:val="00785E52"/>
    <w:rsid w:val="00786A40"/>
    <w:rsid w:val="00786D6D"/>
    <w:rsid w:val="00786DC4"/>
    <w:rsid w:val="00787B6F"/>
    <w:rsid w:val="00787DC9"/>
    <w:rsid w:val="0079008F"/>
    <w:rsid w:val="00790B54"/>
    <w:rsid w:val="0079158C"/>
    <w:rsid w:val="00791D2F"/>
    <w:rsid w:val="00791D49"/>
    <w:rsid w:val="007923F9"/>
    <w:rsid w:val="00792A9D"/>
    <w:rsid w:val="00792CE3"/>
    <w:rsid w:val="00792D89"/>
    <w:rsid w:val="007933BB"/>
    <w:rsid w:val="007937CD"/>
    <w:rsid w:val="00793842"/>
    <w:rsid w:val="00793CCC"/>
    <w:rsid w:val="00793F1A"/>
    <w:rsid w:val="00793FB3"/>
    <w:rsid w:val="0079425A"/>
    <w:rsid w:val="00794348"/>
    <w:rsid w:val="0079574C"/>
    <w:rsid w:val="00795AA0"/>
    <w:rsid w:val="00795EEA"/>
    <w:rsid w:val="007964E6"/>
    <w:rsid w:val="0079660E"/>
    <w:rsid w:val="00796819"/>
    <w:rsid w:val="00796958"/>
    <w:rsid w:val="007969CC"/>
    <w:rsid w:val="00796A87"/>
    <w:rsid w:val="00796C97"/>
    <w:rsid w:val="00796D03"/>
    <w:rsid w:val="00796E34"/>
    <w:rsid w:val="00797580"/>
    <w:rsid w:val="00797F3F"/>
    <w:rsid w:val="007A00FA"/>
    <w:rsid w:val="007A0191"/>
    <w:rsid w:val="007A04A9"/>
    <w:rsid w:val="007A04D6"/>
    <w:rsid w:val="007A06CB"/>
    <w:rsid w:val="007A06F6"/>
    <w:rsid w:val="007A082F"/>
    <w:rsid w:val="007A091F"/>
    <w:rsid w:val="007A09AE"/>
    <w:rsid w:val="007A1375"/>
    <w:rsid w:val="007A1473"/>
    <w:rsid w:val="007A16CC"/>
    <w:rsid w:val="007A1851"/>
    <w:rsid w:val="007A1F8D"/>
    <w:rsid w:val="007A1FDE"/>
    <w:rsid w:val="007A3689"/>
    <w:rsid w:val="007A3D41"/>
    <w:rsid w:val="007A3D50"/>
    <w:rsid w:val="007A3F35"/>
    <w:rsid w:val="007A4127"/>
    <w:rsid w:val="007A42A4"/>
    <w:rsid w:val="007A434B"/>
    <w:rsid w:val="007A43AF"/>
    <w:rsid w:val="007A48F7"/>
    <w:rsid w:val="007A4D7B"/>
    <w:rsid w:val="007A5099"/>
    <w:rsid w:val="007A50BB"/>
    <w:rsid w:val="007A5143"/>
    <w:rsid w:val="007A56E9"/>
    <w:rsid w:val="007A591C"/>
    <w:rsid w:val="007A5937"/>
    <w:rsid w:val="007A6587"/>
    <w:rsid w:val="007A67F0"/>
    <w:rsid w:val="007A6DA9"/>
    <w:rsid w:val="007A71C2"/>
    <w:rsid w:val="007A776A"/>
    <w:rsid w:val="007B09D9"/>
    <w:rsid w:val="007B0BFA"/>
    <w:rsid w:val="007B165F"/>
    <w:rsid w:val="007B198B"/>
    <w:rsid w:val="007B1C04"/>
    <w:rsid w:val="007B1D57"/>
    <w:rsid w:val="007B22E5"/>
    <w:rsid w:val="007B28EF"/>
    <w:rsid w:val="007B2C40"/>
    <w:rsid w:val="007B2C7C"/>
    <w:rsid w:val="007B2D91"/>
    <w:rsid w:val="007B3886"/>
    <w:rsid w:val="007B3A83"/>
    <w:rsid w:val="007B4112"/>
    <w:rsid w:val="007B41C2"/>
    <w:rsid w:val="007B4292"/>
    <w:rsid w:val="007B458B"/>
    <w:rsid w:val="007B46F1"/>
    <w:rsid w:val="007B48D2"/>
    <w:rsid w:val="007B48FF"/>
    <w:rsid w:val="007B5924"/>
    <w:rsid w:val="007B6342"/>
    <w:rsid w:val="007B6BBA"/>
    <w:rsid w:val="007B7114"/>
    <w:rsid w:val="007B7467"/>
    <w:rsid w:val="007C067F"/>
    <w:rsid w:val="007C0ED4"/>
    <w:rsid w:val="007C1107"/>
    <w:rsid w:val="007C1112"/>
    <w:rsid w:val="007C132A"/>
    <w:rsid w:val="007C1945"/>
    <w:rsid w:val="007C1C12"/>
    <w:rsid w:val="007C1D05"/>
    <w:rsid w:val="007C1D53"/>
    <w:rsid w:val="007C27A5"/>
    <w:rsid w:val="007C294A"/>
    <w:rsid w:val="007C2A6A"/>
    <w:rsid w:val="007C31A5"/>
    <w:rsid w:val="007C3545"/>
    <w:rsid w:val="007C458D"/>
    <w:rsid w:val="007C49F5"/>
    <w:rsid w:val="007C51C4"/>
    <w:rsid w:val="007C5687"/>
    <w:rsid w:val="007C5975"/>
    <w:rsid w:val="007C5E20"/>
    <w:rsid w:val="007C624C"/>
    <w:rsid w:val="007C63A6"/>
    <w:rsid w:val="007C63EB"/>
    <w:rsid w:val="007C647E"/>
    <w:rsid w:val="007C66DA"/>
    <w:rsid w:val="007C6A77"/>
    <w:rsid w:val="007C6DD1"/>
    <w:rsid w:val="007C74FC"/>
    <w:rsid w:val="007C7640"/>
    <w:rsid w:val="007C79EA"/>
    <w:rsid w:val="007C7A8C"/>
    <w:rsid w:val="007C7B79"/>
    <w:rsid w:val="007C7F46"/>
    <w:rsid w:val="007D02B2"/>
    <w:rsid w:val="007D0AA7"/>
    <w:rsid w:val="007D0AD4"/>
    <w:rsid w:val="007D1942"/>
    <w:rsid w:val="007D1AED"/>
    <w:rsid w:val="007D1CFE"/>
    <w:rsid w:val="007D1DEE"/>
    <w:rsid w:val="007D2068"/>
    <w:rsid w:val="007D220D"/>
    <w:rsid w:val="007D22B5"/>
    <w:rsid w:val="007D2EF9"/>
    <w:rsid w:val="007D3EAF"/>
    <w:rsid w:val="007D410F"/>
    <w:rsid w:val="007D4367"/>
    <w:rsid w:val="007D4E2B"/>
    <w:rsid w:val="007D54A0"/>
    <w:rsid w:val="007D55BB"/>
    <w:rsid w:val="007D5C1E"/>
    <w:rsid w:val="007D63F7"/>
    <w:rsid w:val="007D6555"/>
    <w:rsid w:val="007D65FF"/>
    <w:rsid w:val="007D66A0"/>
    <w:rsid w:val="007D681D"/>
    <w:rsid w:val="007D68FC"/>
    <w:rsid w:val="007D6E74"/>
    <w:rsid w:val="007D713F"/>
    <w:rsid w:val="007D73FD"/>
    <w:rsid w:val="007D7A7A"/>
    <w:rsid w:val="007D7EE2"/>
    <w:rsid w:val="007E03AF"/>
    <w:rsid w:val="007E0673"/>
    <w:rsid w:val="007E0C02"/>
    <w:rsid w:val="007E1136"/>
    <w:rsid w:val="007E139E"/>
    <w:rsid w:val="007E1537"/>
    <w:rsid w:val="007E155A"/>
    <w:rsid w:val="007E1B33"/>
    <w:rsid w:val="007E1FC2"/>
    <w:rsid w:val="007E2289"/>
    <w:rsid w:val="007E24CE"/>
    <w:rsid w:val="007E25A2"/>
    <w:rsid w:val="007E3C77"/>
    <w:rsid w:val="007E3D82"/>
    <w:rsid w:val="007E4039"/>
    <w:rsid w:val="007E40A5"/>
    <w:rsid w:val="007E411A"/>
    <w:rsid w:val="007E4568"/>
    <w:rsid w:val="007E4645"/>
    <w:rsid w:val="007E47D0"/>
    <w:rsid w:val="007E49FC"/>
    <w:rsid w:val="007E4B07"/>
    <w:rsid w:val="007E4BAF"/>
    <w:rsid w:val="007E4E8D"/>
    <w:rsid w:val="007E5543"/>
    <w:rsid w:val="007E5645"/>
    <w:rsid w:val="007E5851"/>
    <w:rsid w:val="007E5D45"/>
    <w:rsid w:val="007E5D6D"/>
    <w:rsid w:val="007E5D85"/>
    <w:rsid w:val="007E6185"/>
    <w:rsid w:val="007E61A9"/>
    <w:rsid w:val="007E63D7"/>
    <w:rsid w:val="007E6411"/>
    <w:rsid w:val="007E6795"/>
    <w:rsid w:val="007E69F6"/>
    <w:rsid w:val="007E6A22"/>
    <w:rsid w:val="007E6F72"/>
    <w:rsid w:val="007E735B"/>
    <w:rsid w:val="007E75F2"/>
    <w:rsid w:val="007E778B"/>
    <w:rsid w:val="007E77C4"/>
    <w:rsid w:val="007E795C"/>
    <w:rsid w:val="007E7F27"/>
    <w:rsid w:val="007F0245"/>
    <w:rsid w:val="007F0C42"/>
    <w:rsid w:val="007F1275"/>
    <w:rsid w:val="007F1354"/>
    <w:rsid w:val="007F185C"/>
    <w:rsid w:val="007F1A11"/>
    <w:rsid w:val="007F1E08"/>
    <w:rsid w:val="007F1FFC"/>
    <w:rsid w:val="007F2033"/>
    <w:rsid w:val="007F2199"/>
    <w:rsid w:val="007F2553"/>
    <w:rsid w:val="007F2638"/>
    <w:rsid w:val="007F27CC"/>
    <w:rsid w:val="007F291A"/>
    <w:rsid w:val="007F2BBE"/>
    <w:rsid w:val="007F3139"/>
    <w:rsid w:val="007F332F"/>
    <w:rsid w:val="007F345C"/>
    <w:rsid w:val="007F3F20"/>
    <w:rsid w:val="007F4C0F"/>
    <w:rsid w:val="007F5311"/>
    <w:rsid w:val="007F5790"/>
    <w:rsid w:val="007F5977"/>
    <w:rsid w:val="007F5FC5"/>
    <w:rsid w:val="007F61C2"/>
    <w:rsid w:val="007F623E"/>
    <w:rsid w:val="007F72B0"/>
    <w:rsid w:val="007F73EE"/>
    <w:rsid w:val="007F74C4"/>
    <w:rsid w:val="007F765D"/>
    <w:rsid w:val="007F7EC6"/>
    <w:rsid w:val="00800798"/>
    <w:rsid w:val="00800ED2"/>
    <w:rsid w:val="008011BD"/>
    <w:rsid w:val="00801324"/>
    <w:rsid w:val="00801542"/>
    <w:rsid w:val="008016D1"/>
    <w:rsid w:val="00801E24"/>
    <w:rsid w:val="008024CF"/>
    <w:rsid w:val="008025FA"/>
    <w:rsid w:val="00802A0C"/>
    <w:rsid w:val="00802CB8"/>
    <w:rsid w:val="0080304A"/>
    <w:rsid w:val="00803501"/>
    <w:rsid w:val="00803F9B"/>
    <w:rsid w:val="00804070"/>
    <w:rsid w:val="008042B0"/>
    <w:rsid w:val="008047AA"/>
    <w:rsid w:val="0080487B"/>
    <w:rsid w:val="00804DC9"/>
    <w:rsid w:val="00805D8D"/>
    <w:rsid w:val="0080615E"/>
    <w:rsid w:val="0080632A"/>
    <w:rsid w:val="00806929"/>
    <w:rsid w:val="00806D8C"/>
    <w:rsid w:val="00806DA0"/>
    <w:rsid w:val="008071F6"/>
    <w:rsid w:val="0080722E"/>
    <w:rsid w:val="00810081"/>
    <w:rsid w:val="008101EF"/>
    <w:rsid w:val="00810471"/>
    <w:rsid w:val="00810531"/>
    <w:rsid w:val="00810956"/>
    <w:rsid w:val="00810FA4"/>
    <w:rsid w:val="0081164A"/>
    <w:rsid w:val="008118A1"/>
    <w:rsid w:val="00811CF6"/>
    <w:rsid w:val="008121C7"/>
    <w:rsid w:val="008125BF"/>
    <w:rsid w:val="00812B1A"/>
    <w:rsid w:val="00812DC8"/>
    <w:rsid w:val="00812F77"/>
    <w:rsid w:val="00813384"/>
    <w:rsid w:val="008134FF"/>
    <w:rsid w:val="0081368E"/>
    <w:rsid w:val="00813A92"/>
    <w:rsid w:val="00813B4B"/>
    <w:rsid w:val="00813CD2"/>
    <w:rsid w:val="00813E0B"/>
    <w:rsid w:val="00813F33"/>
    <w:rsid w:val="00814396"/>
    <w:rsid w:val="00814BF0"/>
    <w:rsid w:val="00814E59"/>
    <w:rsid w:val="00814F5B"/>
    <w:rsid w:val="00815048"/>
    <w:rsid w:val="008150A2"/>
    <w:rsid w:val="0081555A"/>
    <w:rsid w:val="008158D7"/>
    <w:rsid w:val="00815988"/>
    <w:rsid w:val="008168C6"/>
    <w:rsid w:val="00816D27"/>
    <w:rsid w:val="00816F2D"/>
    <w:rsid w:val="008173A8"/>
    <w:rsid w:val="00817807"/>
    <w:rsid w:val="0082077D"/>
    <w:rsid w:val="0082081F"/>
    <w:rsid w:val="0082112A"/>
    <w:rsid w:val="0082130B"/>
    <w:rsid w:val="0082196D"/>
    <w:rsid w:val="00821D2D"/>
    <w:rsid w:val="00821FE3"/>
    <w:rsid w:val="008223BA"/>
    <w:rsid w:val="00822446"/>
    <w:rsid w:val="0082245B"/>
    <w:rsid w:val="00822646"/>
    <w:rsid w:val="008228EA"/>
    <w:rsid w:val="00822D4C"/>
    <w:rsid w:val="008235F7"/>
    <w:rsid w:val="00823615"/>
    <w:rsid w:val="0082372C"/>
    <w:rsid w:val="00823CC4"/>
    <w:rsid w:val="008240EA"/>
    <w:rsid w:val="00824694"/>
    <w:rsid w:val="00824B02"/>
    <w:rsid w:val="00824E6B"/>
    <w:rsid w:val="008252CB"/>
    <w:rsid w:val="00825783"/>
    <w:rsid w:val="00825DF0"/>
    <w:rsid w:val="0082609E"/>
    <w:rsid w:val="00826111"/>
    <w:rsid w:val="008268A7"/>
    <w:rsid w:val="00826A16"/>
    <w:rsid w:val="00826DFD"/>
    <w:rsid w:val="00827556"/>
    <w:rsid w:val="0082759B"/>
    <w:rsid w:val="00827B42"/>
    <w:rsid w:val="00827F7E"/>
    <w:rsid w:val="0083024D"/>
    <w:rsid w:val="008302CB"/>
    <w:rsid w:val="008309F9"/>
    <w:rsid w:val="00831031"/>
    <w:rsid w:val="00831408"/>
    <w:rsid w:val="00831DFB"/>
    <w:rsid w:val="008325CD"/>
    <w:rsid w:val="008326EC"/>
    <w:rsid w:val="00832EA9"/>
    <w:rsid w:val="00832F9B"/>
    <w:rsid w:val="00833C57"/>
    <w:rsid w:val="0083417E"/>
    <w:rsid w:val="008342B4"/>
    <w:rsid w:val="00834CC3"/>
    <w:rsid w:val="00835674"/>
    <w:rsid w:val="008356EA"/>
    <w:rsid w:val="0083574F"/>
    <w:rsid w:val="00835D5D"/>
    <w:rsid w:val="008368F1"/>
    <w:rsid w:val="00836AA8"/>
    <w:rsid w:val="00836D36"/>
    <w:rsid w:val="00836F9E"/>
    <w:rsid w:val="00837158"/>
    <w:rsid w:val="008371AF"/>
    <w:rsid w:val="008371C5"/>
    <w:rsid w:val="0083736A"/>
    <w:rsid w:val="008373CC"/>
    <w:rsid w:val="008373FD"/>
    <w:rsid w:val="00837426"/>
    <w:rsid w:val="00840047"/>
    <w:rsid w:val="008404A9"/>
    <w:rsid w:val="008408E7"/>
    <w:rsid w:val="00840AFF"/>
    <w:rsid w:val="00840BAA"/>
    <w:rsid w:val="00840C62"/>
    <w:rsid w:val="00840C76"/>
    <w:rsid w:val="008411CF"/>
    <w:rsid w:val="0084125A"/>
    <w:rsid w:val="00841674"/>
    <w:rsid w:val="00841E0B"/>
    <w:rsid w:val="0084202F"/>
    <w:rsid w:val="00842111"/>
    <w:rsid w:val="008426CF"/>
    <w:rsid w:val="00842781"/>
    <w:rsid w:val="00842E57"/>
    <w:rsid w:val="008431BA"/>
    <w:rsid w:val="00843B1B"/>
    <w:rsid w:val="00843BC3"/>
    <w:rsid w:val="00843CE1"/>
    <w:rsid w:val="00844075"/>
    <w:rsid w:val="00844303"/>
    <w:rsid w:val="008445F6"/>
    <w:rsid w:val="00844E1D"/>
    <w:rsid w:val="00845468"/>
    <w:rsid w:val="00845DD6"/>
    <w:rsid w:val="00845E9E"/>
    <w:rsid w:val="0084622D"/>
    <w:rsid w:val="00846510"/>
    <w:rsid w:val="0084662A"/>
    <w:rsid w:val="00846650"/>
    <w:rsid w:val="008466EB"/>
    <w:rsid w:val="008468DB"/>
    <w:rsid w:val="00847186"/>
    <w:rsid w:val="00847C24"/>
    <w:rsid w:val="008500B1"/>
    <w:rsid w:val="008501A5"/>
    <w:rsid w:val="008501F0"/>
    <w:rsid w:val="0085031B"/>
    <w:rsid w:val="00850D6A"/>
    <w:rsid w:val="00850E6C"/>
    <w:rsid w:val="00851053"/>
    <w:rsid w:val="008513AE"/>
    <w:rsid w:val="00851676"/>
    <w:rsid w:val="00851A08"/>
    <w:rsid w:val="00851F5F"/>
    <w:rsid w:val="00852483"/>
    <w:rsid w:val="008528AD"/>
    <w:rsid w:val="00852B3B"/>
    <w:rsid w:val="008530B6"/>
    <w:rsid w:val="008533DA"/>
    <w:rsid w:val="008533FE"/>
    <w:rsid w:val="00853C4E"/>
    <w:rsid w:val="00854119"/>
    <w:rsid w:val="008549DD"/>
    <w:rsid w:val="00854C16"/>
    <w:rsid w:val="00854E2B"/>
    <w:rsid w:val="00855041"/>
    <w:rsid w:val="008550DF"/>
    <w:rsid w:val="00855105"/>
    <w:rsid w:val="00855280"/>
    <w:rsid w:val="0085582B"/>
    <w:rsid w:val="00855BD6"/>
    <w:rsid w:val="00855C06"/>
    <w:rsid w:val="0085616F"/>
    <w:rsid w:val="00856FB2"/>
    <w:rsid w:val="0085728C"/>
    <w:rsid w:val="0085734F"/>
    <w:rsid w:val="00857410"/>
    <w:rsid w:val="0085745E"/>
    <w:rsid w:val="008575A1"/>
    <w:rsid w:val="00857688"/>
    <w:rsid w:val="008576A6"/>
    <w:rsid w:val="00857704"/>
    <w:rsid w:val="00857924"/>
    <w:rsid w:val="00857972"/>
    <w:rsid w:val="0086040C"/>
    <w:rsid w:val="00860565"/>
    <w:rsid w:val="008608F1"/>
    <w:rsid w:val="00861140"/>
    <w:rsid w:val="00861D1E"/>
    <w:rsid w:val="00861FF5"/>
    <w:rsid w:val="00862410"/>
    <w:rsid w:val="008628FF"/>
    <w:rsid w:val="00862BEB"/>
    <w:rsid w:val="00862C23"/>
    <w:rsid w:val="00863137"/>
    <w:rsid w:val="00863427"/>
    <w:rsid w:val="008634B0"/>
    <w:rsid w:val="00863580"/>
    <w:rsid w:val="00863BE8"/>
    <w:rsid w:val="00863C29"/>
    <w:rsid w:val="0086408E"/>
    <w:rsid w:val="008641DE"/>
    <w:rsid w:val="0086491C"/>
    <w:rsid w:val="00865310"/>
    <w:rsid w:val="00865915"/>
    <w:rsid w:val="00865B9A"/>
    <w:rsid w:val="00865BFE"/>
    <w:rsid w:val="00866013"/>
    <w:rsid w:val="00866630"/>
    <w:rsid w:val="00866635"/>
    <w:rsid w:val="0086669E"/>
    <w:rsid w:val="00866E9F"/>
    <w:rsid w:val="00867061"/>
    <w:rsid w:val="00867E81"/>
    <w:rsid w:val="00870257"/>
    <w:rsid w:val="008704F9"/>
    <w:rsid w:val="0087062F"/>
    <w:rsid w:val="00870757"/>
    <w:rsid w:val="00870D20"/>
    <w:rsid w:val="00870E3E"/>
    <w:rsid w:val="00870E4C"/>
    <w:rsid w:val="00871239"/>
    <w:rsid w:val="0087131A"/>
    <w:rsid w:val="00871483"/>
    <w:rsid w:val="00872073"/>
    <w:rsid w:val="008725A1"/>
    <w:rsid w:val="008729A0"/>
    <w:rsid w:val="00872D62"/>
    <w:rsid w:val="00872E8F"/>
    <w:rsid w:val="00872F91"/>
    <w:rsid w:val="00873660"/>
    <w:rsid w:val="00873875"/>
    <w:rsid w:val="00873B1C"/>
    <w:rsid w:val="0087444D"/>
    <w:rsid w:val="00874B68"/>
    <w:rsid w:val="00874B74"/>
    <w:rsid w:val="00874B87"/>
    <w:rsid w:val="00874DD5"/>
    <w:rsid w:val="00875033"/>
    <w:rsid w:val="00875D43"/>
    <w:rsid w:val="008768E1"/>
    <w:rsid w:val="00876E6C"/>
    <w:rsid w:val="0087767C"/>
    <w:rsid w:val="00877921"/>
    <w:rsid w:val="00877A1F"/>
    <w:rsid w:val="00877B08"/>
    <w:rsid w:val="00877B1B"/>
    <w:rsid w:val="00877E06"/>
    <w:rsid w:val="00877E86"/>
    <w:rsid w:val="00877E8D"/>
    <w:rsid w:val="00877EAE"/>
    <w:rsid w:val="0088046A"/>
    <w:rsid w:val="008809C7"/>
    <w:rsid w:val="00880E3A"/>
    <w:rsid w:val="0088109E"/>
    <w:rsid w:val="008811A9"/>
    <w:rsid w:val="00881FCD"/>
    <w:rsid w:val="0088232D"/>
    <w:rsid w:val="00882393"/>
    <w:rsid w:val="00882A30"/>
    <w:rsid w:val="00882E1A"/>
    <w:rsid w:val="008830A2"/>
    <w:rsid w:val="00883422"/>
    <w:rsid w:val="008839FB"/>
    <w:rsid w:val="008841D4"/>
    <w:rsid w:val="00884329"/>
    <w:rsid w:val="0088565B"/>
    <w:rsid w:val="0088578F"/>
    <w:rsid w:val="00885E2A"/>
    <w:rsid w:val="00886229"/>
    <w:rsid w:val="0088630D"/>
    <w:rsid w:val="0088643C"/>
    <w:rsid w:val="008868AF"/>
    <w:rsid w:val="00886C43"/>
    <w:rsid w:val="0088718E"/>
    <w:rsid w:val="0088723C"/>
    <w:rsid w:val="00887498"/>
    <w:rsid w:val="00887913"/>
    <w:rsid w:val="00887BC0"/>
    <w:rsid w:val="00887F33"/>
    <w:rsid w:val="0089004B"/>
    <w:rsid w:val="00890A63"/>
    <w:rsid w:val="00890F65"/>
    <w:rsid w:val="00891381"/>
    <w:rsid w:val="0089141C"/>
    <w:rsid w:val="008920B6"/>
    <w:rsid w:val="0089235E"/>
    <w:rsid w:val="00893472"/>
    <w:rsid w:val="008936EE"/>
    <w:rsid w:val="0089419D"/>
    <w:rsid w:val="008949F7"/>
    <w:rsid w:val="00894BEB"/>
    <w:rsid w:val="00894F2C"/>
    <w:rsid w:val="00895AD3"/>
    <w:rsid w:val="00895EE0"/>
    <w:rsid w:val="0089680E"/>
    <w:rsid w:val="00896C16"/>
    <w:rsid w:val="00896C47"/>
    <w:rsid w:val="008971C8"/>
    <w:rsid w:val="00897528"/>
    <w:rsid w:val="00897629"/>
    <w:rsid w:val="00897874"/>
    <w:rsid w:val="00897CD0"/>
    <w:rsid w:val="00897FC1"/>
    <w:rsid w:val="008A0504"/>
    <w:rsid w:val="008A0ACD"/>
    <w:rsid w:val="008A1FE9"/>
    <w:rsid w:val="008A20A8"/>
    <w:rsid w:val="008A26EE"/>
    <w:rsid w:val="008A36C7"/>
    <w:rsid w:val="008A39FC"/>
    <w:rsid w:val="008A3DD0"/>
    <w:rsid w:val="008A4105"/>
    <w:rsid w:val="008A41A9"/>
    <w:rsid w:val="008A5093"/>
    <w:rsid w:val="008A578C"/>
    <w:rsid w:val="008A5D2E"/>
    <w:rsid w:val="008A5DBB"/>
    <w:rsid w:val="008A6208"/>
    <w:rsid w:val="008A6315"/>
    <w:rsid w:val="008A6B51"/>
    <w:rsid w:val="008A6F05"/>
    <w:rsid w:val="008A70C2"/>
    <w:rsid w:val="008A723F"/>
    <w:rsid w:val="008A755E"/>
    <w:rsid w:val="008A798A"/>
    <w:rsid w:val="008A7C62"/>
    <w:rsid w:val="008A7E15"/>
    <w:rsid w:val="008A7E1D"/>
    <w:rsid w:val="008A7E4E"/>
    <w:rsid w:val="008B048B"/>
    <w:rsid w:val="008B0A4D"/>
    <w:rsid w:val="008B0A98"/>
    <w:rsid w:val="008B1931"/>
    <w:rsid w:val="008B1C64"/>
    <w:rsid w:val="008B1D96"/>
    <w:rsid w:val="008B2733"/>
    <w:rsid w:val="008B2997"/>
    <w:rsid w:val="008B2D92"/>
    <w:rsid w:val="008B2D96"/>
    <w:rsid w:val="008B369D"/>
    <w:rsid w:val="008B3A7D"/>
    <w:rsid w:val="008B3E0B"/>
    <w:rsid w:val="008B3E82"/>
    <w:rsid w:val="008B40D9"/>
    <w:rsid w:val="008B472D"/>
    <w:rsid w:val="008B48A8"/>
    <w:rsid w:val="008B4A06"/>
    <w:rsid w:val="008B4A42"/>
    <w:rsid w:val="008B4FAE"/>
    <w:rsid w:val="008B518D"/>
    <w:rsid w:val="008B5364"/>
    <w:rsid w:val="008B53FF"/>
    <w:rsid w:val="008B5844"/>
    <w:rsid w:val="008B5D27"/>
    <w:rsid w:val="008B5F73"/>
    <w:rsid w:val="008B6251"/>
    <w:rsid w:val="008B6597"/>
    <w:rsid w:val="008B6ACE"/>
    <w:rsid w:val="008B6E49"/>
    <w:rsid w:val="008B71E9"/>
    <w:rsid w:val="008B7EBE"/>
    <w:rsid w:val="008B7FC3"/>
    <w:rsid w:val="008C00FB"/>
    <w:rsid w:val="008C05DE"/>
    <w:rsid w:val="008C098A"/>
    <w:rsid w:val="008C0E88"/>
    <w:rsid w:val="008C144E"/>
    <w:rsid w:val="008C1624"/>
    <w:rsid w:val="008C176F"/>
    <w:rsid w:val="008C1C05"/>
    <w:rsid w:val="008C2C73"/>
    <w:rsid w:val="008C30A2"/>
    <w:rsid w:val="008C3696"/>
    <w:rsid w:val="008C383F"/>
    <w:rsid w:val="008C387E"/>
    <w:rsid w:val="008C4248"/>
    <w:rsid w:val="008C53AC"/>
    <w:rsid w:val="008C53FF"/>
    <w:rsid w:val="008C5756"/>
    <w:rsid w:val="008C5B8B"/>
    <w:rsid w:val="008C5D71"/>
    <w:rsid w:val="008C5F3A"/>
    <w:rsid w:val="008C6208"/>
    <w:rsid w:val="008C63FD"/>
    <w:rsid w:val="008C6876"/>
    <w:rsid w:val="008C697A"/>
    <w:rsid w:val="008C6A04"/>
    <w:rsid w:val="008C71B3"/>
    <w:rsid w:val="008C73E7"/>
    <w:rsid w:val="008C78AC"/>
    <w:rsid w:val="008D05FF"/>
    <w:rsid w:val="008D0CB7"/>
    <w:rsid w:val="008D0E0E"/>
    <w:rsid w:val="008D0E1E"/>
    <w:rsid w:val="008D0E65"/>
    <w:rsid w:val="008D1CFD"/>
    <w:rsid w:val="008D1E60"/>
    <w:rsid w:val="008D257E"/>
    <w:rsid w:val="008D2588"/>
    <w:rsid w:val="008D2C46"/>
    <w:rsid w:val="008D2F2E"/>
    <w:rsid w:val="008D30A4"/>
    <w:rsid w:val="008D372C"/>
    <w:rsid w:val="008D373E"/>
    <w:rsid w:val="008D3BB6"/>
    <w:rsid w:val="008D3E63"/>
    <w:rsid w:val="008D3E6B"/>
    <w:rsid w:val="008D41BD"/>
    <w:rsid w:val="008D4370"/>
    <w:rsid w:val="008D47B1"/>
    <w:rsid w:val="008D48EF"/>
    <w:rsid w:val="008D4955"/>
    <w:rsid w:val="008D4F63"/>
    <w:rsid w:val="008D57EF"/>
    <w:rsid w:val="008D5DA8"/>
    <w:rsid w:val="008D65DF"/>
    <w:rsid w:val="008D66C5"/>
    <w:rsid w:val="008D6980"/>
    <w:rsid w:val="008D6BD2"/>
    <w:rsid w:val="008D749D"/>
    <w:rsid w:val="008D756A"/>
    <w:rsid w:val="008E00B3"/>
    <w:rsid w:val="008E0141"/>
    <w:rsid w:val="008E0DFF"/>
    <w:rsid w:val="008E0E33"/>
    <w:rsid w:val="008E1A1F"/>
    <w:rsid w:val="008E20EB"/>
    <w:rsid w:val="008E2362"/>
    <w:rsid w:val="008E23F7"/>
    <w:rsid w:val="008E2592"/>
    <w:rsid w:val="008E26E6"/>
    <w:rsid w:val="008E2C9E"/>
    <w:rsid w:val="008E3123"/>
    <w:rsid w:val="008E42BB"/>
    <w:rsid w:val="008E476F"/>
    <w:rsid w:val="008E4876"/>
    <w:rsid w:val="008E51E2"/>
    <w:rsid w:val="008E52B5"/>
    <w:rsid w:val="008E57A3"/>
    <w:rsid w:val="008E5800"/>
    <w:rsid w:val="008E58A2"/>
    <w:rsid w:val="008E5A28"/>
    <w:rsid w:val="008E602C"/>
    <w:rsid w:val="008E66E6"/>
    <w:rsid w:val="008E69F8"/>
    <w:rsid w:val="008E6C56"/>
    <w:rsid w:val="008E6D49"/>
    <w:rsid w:val="008E6F21"/>
    <w:rsid w:val="008E6FDB"/>
    <w:rsid w:val="008E71A2"/>
    <w:rsid w:val="008E71DB"/>
    <w:rsid w:val="008E722C"/>
    <w:rsid w:val="008E72F0"/>
    <w:rsid w:val="008E77D6"/>
    <w:rsid w:val="008E7EC3"/>
    <w:rsid w:val="008F07FD"/>
    <w:rsid w:val="008F08A0"/>
    <w:rsid w:val="008F091D"/>
    <w:rsid w:val="008F0BB2"/>
    <w:rsid w:val="008F0CCC"/>
    <w:rsid w:val="008F114A"/>
    <w:rsid w:val="008F14E5"/>
    <w:rsid w:val="008F15C2"/>
    <w:rsid w:val="008F16FC"/>
    <w:rsid w:val="008F1DB1"/>
    <w:rsid w:val="008F2580"/>
    <w:rsid w:val="008F2596"/>
    <w:rsid w:val="008F2B9D"/>
    <w:rsid w:val="008F2DD8"/>
    <w:rsid w:val="008F3567"/>
    <w:rsid w:val="008F35DC"/>
    <w:rsid w:val="008F382F"/>
    <w:rsid w:val="008F3888"/>
    <w:rsid w:val="008F3A37"/>
    <w:rsid w:val="008F3B3B"/>
    <w:rsid w:val="008F4453"/>
    <w:rsid w:val="008F4507"/>
    <w:rsid w:val="008F4591"/>
    <w:rsid w:val="008F48EA"/>
    <w:rsid w:val="008F4E83"/>
    <w:rsid w:val="008F5089"/>
    <w:rsid w:val="008F54E4"/>
    <w:rsid w:val="008F54FB"/>
    <w:rsid w:val="008F58CD"/>
    <w:rsid w:val="008F5A68"/>
    <w:rsid w:val="008F5FA9"/>
    <w:rsid w:val="008F6665"/>
    <w:rsid w:val="008F67F4"/>
    <w:rsid w:val="008F6B62"/>
    <w:rsid w:val="008F6D00"/>
    <w:rsid w:val="008F6DF2"/>
    <w:rsid w:val="008F74C3"/>
    <w:rsid w:val="008F763F"/>
    <w:rsid w:val="00900E29"/>
    <w:rsid w:val="00900F5F"/>
    <w:rsid w:val="00900F65"/>
    <w:rsid w:val="00900FB7"/>
    <w:rsid w:val="0090183E"/>
    <w:rsid w:val="0090195F"/>
    <w:rsid w:val="0090198D"/>
    <w:rsid w:val="00901E54"/>
    <w:rsid w:val="00902147"/>
    <w:rsid w:val="009021FF"/>
    <w:rsid w:val="00902348"/>
    <w:rsid w:val="009026D1"/>
    <w:rsid w:val="00902934"/>
    <w:rsid w:val="0090307B"/>
    <w:rsid w:val="009030E5"/>
    <w:rsid w:val="00903766"/>
    <w:rsid w:val="009037DB"/>
    <w:rsid w:val="00903B11"/>
    <w:rsid w:val="00903CA9"/>
    <w:rsid w:val="00904433"/>
    <w:rsid w:val="009048E6"/>
    <w:rsid w:val="00904A2F"/>
    <w:rsid w:val="009052C9"/>
    <w:rsid w:val="00905484"/>
    <w:rsid w:val="0090568C"/>
    <w:rsid w:val="009057FB"/>
    <w:rsid w:val="00905AEE"/>
    <w:rsid w:val="00905D9B"/>
    <w:rsid w:val="009063BE"/>
    <w:rsid w:val="00906402"/>
    <w:rsid w:val="00906413"/>
    <w:rsid w:val="0090677F"/>
    <w:rsid w:val="00906C70"/>
    <w:rsid w:val="00906DFB"/>
    <w:rsid w:val="0090724E"/>
    <w:rsid w:val="00907463"/>
    <w:rsid w:val="00907F81"/>
    <w:rsid w:val="009100CA"/>
    <w:rsid w:val="00910AD9"/>
    <w:rsid w:val="00910EF3"/>
    <w:rsid w:val="009113B2"/>
    <w:rsid w:val="009116CA"/>
    <w:rsid w:val="00911B0D"/>
    <w:rsid w:val="00911D5B"/>
    <w:rsid w:val="00912711"/>
    <w:rsid w:val="00912DC1"/>
    <w:rsid w:val="009130A6"/>
    <w:rsid w:val="00913DF8"/>
    <w:rsid w:val="00913EFC"/>
    <w:rsid w:val="009140C0"/>
    <w:rsid w:val="00914479"/>
    <w:rsid w:val="00914EBB"/>
    <w:rsid w:val="009159A0"/>
    <w:rsid w:val="00916580"/>
    <w:rsid w:val="00916788"/>
    <w:rsid w:val="00920453"/>
    <w:rsid w:val="009209AA"/>
    <w:rsid w:val="00920DBA"/>
    <w:rsid w:val="0092126A"/>
    <w:rsid w:val="00921674"/>
    <w:rsid w:val="00922121"/>
    <w:rsid w:val="009221D3"/>
    <w:rsid w:val="0092237E"/>
    <w:rsid w:val="0092294C"/>
    <w:rsid w:val="00922EB9"/>
    <w:rsid w:val="009233D5"/>
    <w:rsid w:val="009238EB"/>
    <w:rsid w:val="00923B18"/>
    <w:rsid w:val="00924183"/>
    <w:rsid w:val="009243E6"/>
    <w:rsid w:val="0092457B"/>
    <w:rsid w:val="00924DC9"/>
    <w:rsid w:val="0092539C"/>
    <w:rsid w:val="009256B0"/>
    <w:rsid w:val="00925844"/>
    <w:rsid w:val="00925D5D"/>
    <w:rsid w:val="009265DA"/>
    <w:rsid w:val="009268A3"/>
    <w:rsid w:val="00926ABC"/>
    <w:rsid w:val="00926C66"/>
    <w:rsid w:val="00926D6C"/>
    <w:rsid w:val="00927375"/>
    <w:rsid w:val="009278A2"/>
    <w:rsid w:val="00927B15"/>
    <w:rsid w:val="00927CB5"/>
    <w:rsid w:val="00927D4D"/>
    <w:rsid w:val="00927F8C"/>
    <w:rsid w:val="00930312"/>
    <w:rsid w:val="00930394"/>
    <w:rsid w:val="00930687"/>
    <w:rsid w:val="0093072F"/>
    <w:rsid w:val="00930B22"/>
    <w:rsid w:val="009313CB"/>
    <w:rsid w:val="0093149A"/>
    <w:rsid w:val="00931BC5"/>
    <w:rsid w:val="00931FBD"/>
    <w:rsid w:val="0093298D"/>
    <w:rsid w:val="00932C5E"/>
    <w:rsid w:val="00933718"/>
    <w:rsid w:val="009337FB"/>
    <w:rsid w:val="00933CE5"/>
    <w:rsid w:val="00934979"/>
    <w:rsid w:val="00935122"/>
    <w:rsid w:val="009356CC"/>
    <w:rsid w:val="0093598E"/>
    <w:rsid w:val="00935BFE"/>
    <w:rsid w:val="00935F9A"/>
    <w:rsid w:val="00936123"/>
    <w:rsid w:val="0093621F"/>
    <w:rsid w:val="009362F7"/>
    <w:rsid w:val="00936466"/>
    <w:rsid w:val="00936893"/>
    <w:rsid w:val="00936925"/>
    <w:rsid w:val="00936A13"/>
    <w:rsid w:val="00936CB2"/>
    <w:rsid w:val="00936CB9"/>
    <w:rsid w:val="00937157"/>
    <w:rsid w:val="009371CE"/>
    <w:rsid w:val="009374C5"/>
    <w:rsid w:val="00937598"/>
    <w:rsid w:val="00937DE1"/>
    <w:rsid w:val="00940F4D"/>
    <w:rsid w:val="00940FAE"/>
    <w:rsid w:val="009411F7"/>
    <w:rsid w:val="00941386"/>
    <w:rsid w:val="00941BC3"/>
    <w:rsid w:val="00941DEB"/>
    <w:rsid w:val="00941F5F"/>
    <w:rsid w:val="00942038"/>
    <w:rsid w:val="00942364"/>
    <w:rsid w:val="0094246F"/>
    <w:rsid w:val="0094261C"/>
    <w:rsid w:val="00942BE0"/>
    <w:rsid w:val="00942F3C"/>
    <w:rsid w:val="00942F75"/>
    <w:rsid w:val="0094308A"/>
    <w:rsid w:val="009432AB"/>
    <w:rsid w:val="00943701"/>
    <w:rsid w:val="00943C38"/>
    <w:rsid w:val="00943CCC"/>
    <w:rsid w:val="0094402C"/>
    <w:rsid w:val="0094407D"/>
    <w:rsid w:val="0094430F"/>
    <w:rsid w:val="00944891"/>
    <w:rsid w:val="009450AB"/>
    <w:rsid w:val="009457C4"/>
    <w:rsid w:val="00945D94"/>
    <w:rsid w:val="00945DA1"/>
    <w:rsid w:val="00945F97"/>
    <w:rsid w:val="0094608C"/>
    <w:rsid w:val="00946244"/>
    <w:rsid w:val="0094624E"/>
    <w:rsid w:val="00946399"/>
    <w:rsid w:val="00946E78"/>
    <w:rsid w:val="009500A7"/>
    <w:rsid w:val="009503C0"/>
    <w:rsid w:val="009504E8"/>
    <w:rsid w:val="00950A60"/>
    <w:rsid w:val="00950E24"/>
    <w:rsid w:val="0095112C"/>
    <w:rsid w:val="00951236"/>
    <w:rsid w:val="0095140C"/>
    <w:rsid w:val="0095148A"/>
    <w:rsid w:val="00951651"/>
    <w:rsid w:val="00951670"/>
    <w:rsid w:val="009516BF"/>
    <w:rsid w:val="009517D2"/>
    <w:rsid w:val="009519AB"/>
    <w:rsid w:val="00951A7C"/>
    <w:rsid w:val="00951F6E"/>
    <w:rsid w:val="0095293F"/>
    <w:rsid w:val="00952AAE"/>
    <w:rsid w:val="0095314A"/>
    <w:rsid w:val="009540E9"/>
    <w:rsid w:val="0095416D"/>
    <w:rsid w:val="009543F3"/>
    <w:rsid w:val="009546AA"/>
    <w:rsid w:val="00954885"/>
    <w:rsid w:val="00954AEC"/>
    <w:rsid w:val="009550D6"/>
    <w:rsid w:val="00955491"/>
    <w:rsid w:val="009554C2"/>
    <w:rsid w:val="00956717"/>
    <w:rsid w:val="009568D2"/>
    <w:rsid w:val="0095699F"/>
    <w:rsid w:val="00956ABE"/>
    <w:rsid w:val="00956D48"/>
    <w:rsid w:val="009571DA"/>
    <w:rsid w:val="009572FF"/>
    <w:rsid w:val="00957362"/>
    <w:rsid w:val="009573E4"/>
    <w:rsid w:val="00957872"/>
    <w:rsid w:val="00957950"/>
    <w:rsid w:val="00957F7F"/>
    <w:rsid w:val="00960AA7"/>
    <w:rsid w:val="00961AB0"/>
    <w:rsid w:val="00961DB1"/>
    <w:rsid w:val="00961F6C"/>
    <w:rsid w:val="00962652"/>
    <w:rsid w:val="0096271B"/>
    <w:rsid w:val="009629BE"/>
    <w:rsid w:val="0096312E"/>
    <w:rsid w:val="00963236"/>
    <w:rsid w:val="00963695"/>
    <w:rsid w:val="009636F2"/>
    <w:rsid w:val="00963A3C"/>
    <w:rsid w:val="00963CC9"/>
    <w:rsid w:val="00963D10"/>
    <w:rsid w:val="00963E94"/>
    <w:rsid w:val="00963FE2"/>
    <w:rsid w:val="009642EC"/>
    <w:rsid w:val="0096451F"/>
    <w:rsid w:val="00964DCD"/>
    <w:rsid w:val="00964E97"/>
    <w:rsid w:val="0096501A"/>
    <w:rsid w:val="00965ACF"/>
    <w:rsid w:val="00965B8D"/>
    <w:rsid w:val="00965C76"/>
    <w:rsid w:val="00965CEF"/>
    <w:rsid w:val="009661EF"/>
    <w:rsid w:val="00966425"/>
    <w:rsid w:val="00966546"/>
    <w:rsid w:val="009666A8"/>
    <w:rsid w:val="0096686E"/>
    <w:rsid w:val="00967087"/>
    <w:rsid w:val="0096714F"/>
    <w:rsid w:val="0096743D"/>
    <w:rsid w:val="00967734"/>
    <w:rsid w:val="00967F3A"/>
    <w:rsid w:val="00967F6C"/>
    <w:rsid w:val="00970542"/>
    <w:rsid w:val="00970AF3"/>
    <w:rsid w:val="00971B84"/>
    <w:rsid w:val="009720B5"/>
    <w:rsid w:val="00972E34"/>
    <w:rsid w:val="00972FA3"/>
    <w:rsid w:val="00973606"/>
    <w:rsid w:val="00973852"/>
    <w:rsid w:val="00974179"/>
    <w:rsid w:val="009745AC"/>
    <w:rsid w:val="00974A53"/>
    <w:rsid w:val="00974AE2"/>
    <w:rsid w:val="00974CC1"/>
    <w:rsid w:val="00974DFE"/>
    <w:rsid w:val="009750E8"/>
    <w:rsid w:val="0097510A"/>
    <w:rsid w:val="00975A09"/>
    <w:rsid w:val="00975AFB"/>
    <w:rsid w:val="00975DA8"/>
    <w:rsid w:val="00976181"/>
    <w:rsid w:val="0097704B"/>
    <w:rsid w:val="009771DD"/>
    <w:rsid w:val="0097787E"/>
    <w:rsid w:val="00977C84"/>
    <w:rsid w:val="00980A5D"/>
    <w:rsid w:val="00981001"/>
    <w:rsid w:val="009810F5"/>
    <w:rsid w:val="009810FF"/>
    <w:rsid w:val="009813AA"/>
    <w:rsid w:val="009818AC"/>
    <w:rsid w:val="0098198B"/>
    <w:rsid w:val="00981D82"/>
    <w:rsid w:val="00981DD1"/>
    <w:rsid w:val="00981FDA"/>
    <w:rsid w:val="0098240C"/>
    <w:rsid w:val="0098262C"/>
    <w:rsid w:val="0098278B"/>
    <w:rsid w:val="00982C19"/>
    <w:rsid w:val="00982E8E"/>
    <w:rsid w:val="00982F58"/>
    <w:rsid w:val="0098325D"/>
    <w:rsid w:val="009837A0"/>
    <w:rsid w:val="00984320"/>
    <w:rsid w:val="00984602"/>
    <w:rsid w:val="00984670"/>
    <w:rsid w:val="00984E1C"/>
    <w:rsid w:val="009853E6"/>
    <w:rsid w:val="0098556D"/>
    <w:rsid w:val="009855A9"/>
    <w:rsid w:val="0098578A"/>
    <w:rsid w:val="009859DA"/>
    <w:rsid w:val="00985B2F"/>
    <w:rsid w:val="00985E81"/>
    <w:rsid w:val="00985FD8"/>
    <w:rsid w:val="00986305"/>
    <w:rsid w:val="0098644B"/>
    <w:rsid w:val="00986C7D"/>
    <w:rsid w:val="00986E3E"/>
    <w:rsid w:val="00987414"/>
    <w:rsid w:val="009877D6"/>
    <w:rsid w:val="00987A0D"/>
    <w:rsid w:val="00987C8F"/>
    <w:rsid w:val="009902F6"/>
    <w:rsid w:val="00990483"/>
    <w:rsid w:val="00990B4B"/>
    <w:rsid w:val="00991083"/>
    <w:rsid w:val="0099173A"/>
    <w:rsid w:val="00991C00"/>
    <w:rsid w:val="00992232"/>
    <w:rsid w:val="009927AD"/>
    <w:rsid w:val="00992985"/>
    <w:rsid w:val="00992AF4"/>
    <w:rsid w:val="0099341C"/>
    <w:rsid w:val="00993D2E"/>
    <w:rsid w:val="009945B5"/>
    <w:rsid w:val="00994939"/>
    <w:rsid w:val="00994993"/>
    <w:rsid w:val="009949D8"/>
    <w:rsid w:val="009955E8"/>
    <w:rsid w:val="00995891"/>
    <w:rsid w:val="00995A59"/>
    <w:rsid w:val="00995C6C"/>
    <w:rsid w:val="00996025"/>
    <w:rsid w:val="00996869"/>
    <w:rsid w:val="009969D3"/>
    <w:rsid w:val="00996DFE"/>
    <w:rsid w:val="0099747E"/>
    <w:rsid w:val="00997717"/>
    <w:rsid w:val="009A00D8"/>
    <w:rsid w:val="009A0295"/>
    <w:rsid w:val="009A09B3"/>
    <w:rsid w:val="009A1351"/>
    <w:rsid w:val="009A1364"/>
    <w:rsid w:val="009A178C"/>
    <w:rsid w:val="009A17BD"/>
    <w:rsid w:val="009A234E"/>
    <w:rsid w:val="009A28A6"/>
    <w:rsid w:val="009A2B3C"/>
    <w:rsid w:val="009A31F3"/>
    <w:rsid w:val="009A33A9"/>
    <w:rsid w:val="009A3BD4"/>
    <w:rsid w:val="009A3D57"/>
    <w:rsid w:val="009A3E16"/>
    <w:rsid w:val="009A3E62"/>
    <w:rsid w:val="009A3F67"/>
    <w:rsid w:val="009A42E1"/>
    <w:rsid w:val="009A47AE"/>
    <w:rsid w:val="009A4A47"/>
    <w:rsid w:val="009A4BA6"/>
    <w:rsid w:val="009A4D60"/>
    <w:rsid w:val="009A5158"/>
    <w:rsid w:val="009A5932"/>
    <w:rsid w:val="009A5A87"/>
    <w:rsid w:val="009A5EC7"/>
    <w:rsid w:val="009A6277"/>
    <w:rsid w:val="009A633C"/>
    <w:rsid w:val="009A6667"/>
    <w:rsid w:val="009A7220"/>
    <w:rsid w:val="009A753E"/>
    <w:rsid w:val="009B026E"/>
    <w:rsid w:val="009B049D"/>
    <w:rsid w:val="009B0ACB"/>
    <w:rsid w:val="009B0B8A"/>
    <w:rsid w:val="009B0E59"/>
    <w:rsid w:val="009B0FF6"/>
    <w:rsid w:val="009B1551"/>
    <w:rsid w:val="009B1B1F"/>
    <w:rsid w:val="009B204D"/>
    <w:rsid w:val="009B37E4"/>
    <w:rsid w:val="009B398F"/>
    <w:rsid w:val="009B3D5C"/>
    <w:rsid w:val="009B3E70"/>
    <w:rsid w:val="009B4F61"/>
    <w:rsid w:val="009B4FDF"/>
    <w:rsid w:val="009B531D"/>
    <w:rsid w:val="009B54EC"/>
    <w:rsid w:val="009B555A"/>
    <w:rsid w:val="009B58DF"/>
    <w:rsid w:val="009B5A6F"/>
    <w:rsid w:val="009B5F95"/>
    <w:rsid w:val="009B61A9"/>
    <w:rsid w:val="009B6222"/>
    <w:rsid w:val="009B6906"/>
    <w:rsid w:val="009B6C30"/>
    <w:rsid w:val="009B6CC0"/>
    <w:rsid w:val="009B7198"/>
    <w:rsid w:val="009B7727"/>
    <w:rsid w:val="009C0828"/>
    <w:rsid w:val="009C1077"/>
    <w:rsid w:val="009C10C1"/>
    <w:rsid w:val="009C1168"/>
    <w:rsid w:val="009C151F"/>
    <w:rsid w:val="009C1BD7"/>
    <w:rsid w:val="009C27A7"/>
    <w:rsid w:val="009C2927"/>
    <w:rsid w:val="009C2BD9"/>
    <w:rsid w:val="009C3517"/>
    <w:rsid w:val="009C36C7"/>
    <w:rsid w:val="009C3807"/>
    <w:rsid w:val="009C38B3"/>
    <w:rsid w:val="009C3B57"/>
    <w:rsid w:val="009C3CA6"/>
    <w:rsid w:val="009C41B6"/>
    <w:rsid w:val="009C4475"/>
    <w:rsid w:val="009C4D26"/>
    <w:rsid w:val="009C51E9"/>
    <w:rsid w:val="009C5558"/>
    <w:rsid w:val="009C5722"/>
    <w:rsid w:val="009C57A1"/>
    <w:rsid w:val="009C57D7"/>
    <w:rsid w:val="009C5A5F"/>
    <w:rsid w:val="009C5BF4"/>
    <w:rsid w:val="009C68A1"/>
    <w:rsid w:val="009C6B9B"/>
    <w:rsid w:val="009C70C2"/>
    <w:rsid w:val="009C7139"/>
    <w:rsid w:val="009C766C"/>
    <w:rsid w:val="009C77C4"/>
    <w:rsid w:val="009C7A21"/>
    <w:rsid w:val="009C7B12"/>
    <w:rsid w:val="009D0972"/>
    <w:rsid w:val="009D0A4E"/>
    <w:rsid w:val="009D10D6"/>
    <w:rsid w:val="009D1584"/>
    <w:rsid w:val="009D19B1"/>
    <w:rsid w:val="009D1BA8"/>
    <w:rsid w:val="009D1D92"/>
    <w:rsid w:val="009D20E9"/>
    <w:rsid w:val="009D2448"/>
    <w:rsid w:val="009D2516"/>
    <w:rsid w:val="009D25A7"/>
    <w:rsid w:val="009D2705"/>
    <w:rsid w:val="009D3444"/>
    <w:rsid w:val="009D3D04"/>
    <w:rsid w:val="009D3D48"/>
    <w:rsid w:val="009D3D73"/>
    <w:rsid w:val="009D46F0"/>
    <w:rsid w:val="009D48D2"/>
    <w:rsid w:val="009D49D0"/>
    <w:rsid w:val="009D4A3C"/>
    <w:rsid w:val="009D4AD0"/>
    <w:rsid w:val="009D5277"/>
    <w:rsid w:val="009D673A"/>
    <w:rsid w:val="009D6AA4"/>
    <w:rsid w:val="009D7D34"/>
    <w:rsid w:val="009D7E22"/>
    <w:rsid w:val="009E02F2"/>
    <w:rsid w:val="009E07F0"/>
    <w:rsid w:val="009E07F1"/>
    <w:rsid w:val="009E0C97"/>
    <w:rsid w:val="009E0D06"/>
    <w:rsid w:val="009E1B99"/>
    <w:rsid w:val="009E1D2A"/>
    <w:rsid w:val="009E2912"/>
    <w:rsid w:val="009E2BA3"/>
    <w:rsid w:val="009E2C27"/>
    <w:rsid w:val="009E2DE9"/>
    <w:rsid w:val="009E3677"/>
    <w:rsid w:val="009E4271"/>
    <w:rsid w:val="009E436B"/>
    <w:rsid w:val="009E47BF"/>
    <w:rsid w:val="009E4CCD"/>
    <w:rsid w:val="009E4FAE"/>
    <w:rsid w:val="009E524B"/>
    <w:rsid w:val="009E5396"/>
    <w:rsid w:val="009E5512"/>
    <w:rsid w:val="009E5DB7"/>
    <w:rsid w:val="009E5E09"/>
    <w:rsid w:val="009E5F4E"/>
    <w:rsid w:val="009E5F71"/>
    <w:rsid w:val="009E6446"/>
    <w:rsid w:val="009E6488"/>
    <w:rsid w:val="009E6948"/>
    <w:rsid w:val="009E6A3E"/>
    <w:rsid w:val="009E6B9D"/>
    <w:rsid w:val="009E6CD4"/>
    <w:rsid w:val="009E6CFD"/>
    <w:rsid w:val="009E6DC5"/>
    <w:rsid w:val="009E6E01"/>
    <w:rsid w:val="009E6F27"/>
    <w:rsid w:val="009E71A8"/>
    <w:rsid w:val="009E73A0"/>
    <w:rsid w:val="009E7477"/>
    <w:rsid w:val="009E7759"/>
    <w:rsid w:val="009F00AD"/>
    <w:rsid w:val="009F16A6"/>
    <w:rsid w:val="009F1B3A"/>
    <w:rsid w:val="009F2798"/>
    <w:rsid w:val="009F29A9"/>
    <w:rsid w:val="009F2D2A"/>
    <w:rsid w:val="009F2FDA"/>
    <w:rsid w:val="009F33EB"/>
    <w:rsid w:val="009F3B31"/>
    <w:rsid w:val="009F3F2E"/>
    <w:rsid w:val="009F4234"/>
    <w:rsid w:val="009F4CD2"/>
    <w:rsid w:val="009F5067"/>
    <w:rsid w:val="009F621C"/>
    <w:rsid w:val="009F6AF2"/>
    <w:rsid w:val="009F6B55"/>
    <w:rsid w:val="009F6BDF"/>
    <w:rsid w:val="009F746B"/>
    <w:rsid w:val="009F75D0"/>
    <w:rsid w:val="009F7735"/>
    <w:rsid w:val="009F7A0F"/>
    <w:rsid w:val="009F7DEF"/>
    <w:rsid w:val="00A00043"/>
    <w:rsid w:val="00A00054"/>
    <w:rsid w:val="00A002D5"/>
    <w:rsid w:val="00A00B12"/>
    <w:rsid w:val="00A00FF3"/>
    <w:rsid w:val="00A00FF8"/>
    <w:rsid w:val="00A010A1"/>
    <w:rsid w:val="00A015BD"/>
    <w:rsid w:val="00A01DD2"/>
    <w:rsid w:val="00A024AE"/>
    <w:rsid w:val="00A0305F"/>
    <w:rsid w:val="00A032C9"/>
    <w:rsid w:val="00A035C0"/>
    <w:rsid w:val="00A036F8"/>
    <w:rsid w:val="00A038E3"/>
    <w:rsid w:val="00A03931"/>
    <w:rsid w:val="00A03A9D"/>
    <w:rsid w:val="00A03F3B"/>
    <w:rsid w:val="00A0433D"/>
    <w:rsid w:val="00A049D9"/>
    <w:rsid w:val="00A04CF1"/>
    <w:rsid w:val="00A04ED2"/>
    <w:rsid w:val="00A04EE3"/>
    <w:rsid w:val="00A052C3"/>
    <w:rsid w:val="00A0538F"/>
    <w:rsid w:val="00A05F4A"/>
    <w:rsid w:val="00A06001"/>
    <w:rsid w:val="00A0615C"/>
    <w:rsid w:val="00A06427"/>
    <w:rsid w:val="00A06715"/>
    <w:rsid w:val="00A06918"/>
    <w:rsid w:val="00A06BEB"/>
    <w:rsid w:val="00A0738B"/>
    <w:rsid w:val="00A07629"/>
    <w:rsid w:val="00A0775B"/>
    <w:rsid w:val="00A07E46"/>
    <w:rsid w:val="00A1054F"/>
    <w:rsid w:val="00A10B72"/>
    <w:rsid w:val="00A10C8E"/>
    <w:rsid w:val="00A11EED"/>
    <w:rsid w:val="00A1231A"/>
    <w:rsid w:val="00A12360"/>
    <w:rsid w:val="00A123A3"/>
    <w:rsid w:val="00A124F5"/>
    <w:rsid w:val="00A126E0"/>
    <w:rsid w:val="00A1273B"/>
    <w:rsid w:val="00A1284A"/>
    <w:rsid w:val="00A12E32"/>
    <w:rsid w:val="00A12FCD"/>
    <w:rsid w:val="00A135C4"/>
    <w:rsid w:val="00A138C3"/>
    <w:rsid w:val="00A13A3A"/>
    <w:rsid w:val="00A13B7A"/>
    <w:rsid w:val="00A1406D"/>
    <w:rsid w:val="00A14408"/>
    <w:rsid w:val="00A14517"/>
    <w:rsid w:val="00A14A43"/>
    <w:rsid w:val="00A15224"/>
    <w:rsid w:val="00A152BE"/>
    <w:rsid w:val="00A1553D"/>
    <w:rsid w:val="00A15A46"/>
    <w:rsid w:val="00A16415"/>
    <w:rsid w:val="00A16438"/>
    <w:rsid w:val="00A16680"/>
    <w:rsid w:val="00A167CB"/>
    <w:rsid w:val="00A16944"/>
    <w:rsid w:val="00A16E06"/>
    <w:rsid w:val="00A171AF"/>
    <w:rsid w:val="00A179FF"/>
    <w:rsid w:val="00A17A2B"/>
    <w:rsid w:val="00A17F5A"/>
    <w:rsid w:val="00A202C9"/>
    <w:rsid w:val="00A20647"/>
    <w:rsid w:val="00A20651"/>
    <w:rsid w:val="00A20AE4"/>
    <w:rsid w:val="00A20F8E"/>
    <w:rsid w:val="00A21065"/>
    <w:rsid w:val="00A2123A"/>
    <w:rsid w:val="00A2130F"/>
    <w:rsid w:val="00A217CB"/>
    <w:rsid w:val="00A22253"/>
    <w:rsid w:val="00A2287C"/>
    <w:rsid w:val="00A22AD7"/>
    <w:rsid w:val="00A22B89"/>
    <w:rsid w:val="00A23111"/>
    <w:rsid w:val="00A2382D"/>
    <w:rsid w:val="00A23D5D"/>
    <w:rsid w:val="00A23E63"/>
    <w:rsid w:val="00A24379"/>
    <w:rsid w:val="00A245BC"/>
    <w:rsid w:val="00A246BC"/>
    <w:rsid w:val="00A24933"/>
    <w:rsid w:val="00A24D66"/>
    <w:rsid w:val="00A25255"/>
    <w:rsid w:val="00A25355"/>
    <w:rsid w:val="00A25631"/>
    <w:rsid w:val="00A25707"/>
    <w:rsid w:val="00A25964"/>
    <w:rsid w:val="00A25CEC"/>
    <w:rsid w:val="00A25E25"/>
    <w:rsid w:val="00A261E3"/>
    <w:rsid w:val="00A26879"/>
    <w:rsid w:val="00A26B4F"/>
    <w:rsid w:val="00A26C32"/>
    <w:rsid w:val="00A26D80"/>
    <w:rsid w:val="00A2713B"/>
    <w:rsid w:val="00A272FA"/>
    <w:rsid w:val="00A273B8"/>
    <w:rsid w:val="00A274BD"/>
    <w:rsid w:val="00A2791D"/>
    <w:rsid w:val="00A27920"/>
    <w:rsid w:val="00A27CBB"/>
    <w:rsid w:val="00A27E56"/>
    <w:rsid w:val="00A30111"/>
    <w:rsid w:val="00A30304"/>
    <w:rsid w:val="00A30504"/>
    <w:rsid w:val="00A30516"/>
    <w:rsid w:val="00A30863"/>
    <w:rsid w:val="00A30E66"/>
    <w:rsid w:val="00A315C5"/>
    <w:rsid w:val="00A316E2"/>
    <w:rsid w:val="00A3187F"/>
    <w:rsid w:val="00A319F9"/>
    <w:rsid w:val="00A31D48"/>
    <w:rsid w:val="00A31F57"/>
    <w:rsid w:val="00A323C2"/>
    <w:rsid w:val="00A32514"/>
    <w:rsid w:val="00A33391"/>
    <w:rsid w:val="00A33663"/>
    <w:rsid w:val="00A337E4"/>
    <w:rsid w:val="00A33899"/>
    <w:rsid w:val="00A33C41"/>
    <w:rsid w:val="00A3426B"/>
    <w:rsid w:val="00A3463E"/>
    <w:rsid w:val="00A3491F"/>
    <w:rsid w:val="00A352E4"/>
    <w:rsid w:val="00A353A6"/>
    <w:rsid w:val="00A359A9"/>
    <w:rsid w:val="00A35BB0"/>
    <w:rsid w:val="00A35C2A"/>
    <w:rsid w:val="00A360C9"/>
    <w:rsid w:val="00A361CD"/>
    <w:rsid w:val="00A3677E"/>
    <w:rsid w:val="00A36DAD"/>
    <w:rsid w:val="00A3731F"/>
    <w:rsid w:val="00A374E3"/>
    <w:rsid w:val="00A3778B"/>
    <w:rsid w:val="00A377A0"/>
    <w:rsid w:val="00A3790F"/>
    <w:rsid w:val="00A37E03"/>
    <w:rsid w:val="00A4027E"/>
    <w:rsid w:val="00A403AC"/>
    <w:rsid w:val="00A4089A"/>
    <w:rsid w:val="00A40A12"/>
    <w:rsid w:val="00A40D6E"/>
    <w:rsid w:val="00A411B0"/>
    <w:rsid w:val="00A41224"/>
    <w:rsid w:val="00A4137F"/>
    <w:rsid w:val="00A41939"/>
    <w:rsid w:val="00A41A6E"/>
    <w:rsid w:val="00A41B34"/>
    <w:rsid w:val="00A41DFA"/>
    <w:rsid w:val="00A42221"/>
    <w:rsid w:val="00A43082"/>
    <w:rsid w:val="00A43A74"/>
    <w:rsid w:val="00A43EFC"/>
    <w:rsid w:val="00A43FBF"/>
    <w:rsid w:val="00A44039"/>
    <w:rsid w:val="00A440E3"/>
    <w:rsid w:val="00A446A3"/>
    <w:rsid w:val="00A44990"/>
    <w:rsid w:val="00A449C5"/>
    <w:rsid w:val="00A451C1"/>
    <w:rsid w:val="00A4527D"/>
    <w:rsid w:val="00A452DC"/>
    <w:rsid w:val="00A45342"/>
    <w:rsid w:val="00A4623F"/>
    <w:rsid w:val="00A46432"/>
    <w:rsid w:val="00A46C2E"/>
    <w:rsid w:val="00A46DA5"/>
    <w:rsid w:val="00A46E99"/>
    <w:rsid w:val="00A46F66"/>
    <w:rsid w:val="00A471CD"/>
    <w:rsid w:val="00A47489"/>
    <w:rsid w:val="00A475CA"/>
    <w:rsid w:val="00A47682"/>
    <w:rsid w:val="00A47A43"/>
    <w:rsid w:val="00A47D2A"/>
    <w:rsid w:val="00A47DFA"/>
    <w:rsid w:val="00A500F1"/>
    <w:rsid w:val="00A50278"/>
    <w:rsid w:val="00A503A1"/>
    <w:rsid w:val="00A50741"/>
    <w:rsid w:val="00A50B60"/>
    <w:rsid w:val="00A51643"/>
    <w:rsid w:val="00A51689"/>
    <w:rsid w:val="00A51A30"/>
    <w:rsid w:val="00A527FF"/>
    <w:rsid w:val="00A52ABE"/>
    <w:rsid w:val="00A52AFD"/>
    <w:rsid w:val="00A52BBF"/>
    <w:rsid w:val="00A52C27"/>
    <w:rsid w:val="00A539ED"/>
    <w:rsid w:val="00A53D0B"/>
    <w:rsid w:val="00A5411C"/>
    <w:rsid w:val="00A5433A"/>
    <w:rsid w:val="00A54A0F"/>
    <w:rsid w:val="00A54F5F"/>
    <w:rsid w:val="00A54FA8"/>
    <w:rsid w:val="00A55057"/>
    <w:rsid w:val="00A552BC"/>
    <w:rsid w:val="00A554EA"/>
    <w:rsid w:val="00A56224"/>
    <w:rsid w:val="00A5622D"/>
    <w:rsid w:val="00A5628C"/>
    <w:rsid w:val="00A56756"/>
    <w:rsid w:val="00A56991"/>
    <w:rsid w:val="00A56BB6"/>
    <w:rsid w:val="00A56BC5"/>
    <w:rsid w:val="00A56BEE"/>
    <w:rsid w:val="00A5707A"/>
    <w:rsid w:val="00A57322"/>
    <w:rsid w:val="00A5769D"/>
    <w:rsid w:val="00A57B79"/>
    <w:rsid w:val="00A57BA6"/>
    <w:rsid w:val="00A57D19"/>
    <w:rsid w:val="00A60596"/>
    <w:rsid w:val="00A605CB"/>
    <w:rsid w:val="00A608FC"/>
    <w:rsid w:val="00A60B13"/>
    <w:rsid w:val="00A60E44"/>
    <w:rsid w:val="00A60E84"/>
    <w:rsid w:val="00A613BA"/>
    <w:rsid w:val="00A61898"/>
    <w:rsid w:val="00A61C11"/>
    <w:rsid w:val="00A61D07"/>
    <w:rsid w:val="00A62098"/>
    <w:rsid w:val="00A621FB"/>
    <w:rsid w:val="00A62338"/>
    <w:rsid w:val="00A62494"/>
    <w:rsid w:val="00A62CB9"/>
    <w:rsid w:val="00A631EF"/>
    <w:rsid w:val="00A63241"/>
    <w:rsid w:val="00A633C6"/>
    <w:rsid w:val="00A633FD"/>
    <w:rsid w:val="00A63678"/>
    <w:rsid w:val="00A63B73"/>
    <w:rsid w:val="00A63FDB"/>
    <w:rsid w:val="00A64131"/>
    <w:rsid w:val="00A644CC"/>
    <w:rsid w:val="00A6491F"/>
    <w:rsid w:val="00A64AA5"/>
    <w:rsid w:val="00A64B03"/>
    <w:rsid w:val="00A64C20"/>
    <w:rsid w:val="00A64FEF"/>
    <w:rsid w:val="00A657CF"/>
    <w:rsid w:val="00A65B66"/>
    <w:rsid w:val="00A65F14"/>
    <w:rsid w:val="00A66272"/>
    <w:rsid w:val="00A6630F"/>
    <w:rsid w:val="00A670D5"/>
    <w:rsid w:val="00A6730D"/>
    <w:rsid w:val="00A67575"/>
    <w:rsid w:val="00A701FD"/>
    <w:rsid w:val="00A70389"/>
    <w:rsid w:val="00A70423"/>
    <w:rsid w:val="00A70C98"/>
    <w:rsid w:val="00A714E8"/>
    <w:rsid w:val="00A71BD7"/>
    <w:rsid w:val="00A71D85"/>
    <w:rsid w:val="00A72152"/>
    <w:rsid w:val="00A725B6"/>
    <w:rsid w:val="00A72CD2"/>
    <w:rsid w:val="00A72E94"/>
    <w:rsid w:val="00A72F1E"/>
    <w:rsid w:val="00A7310C"/>
    <w:rsid w:val="00A7331B"/>
    <w:rsid w:val="00A733D1"/>
    <w:rsid w:val="00A73584"/>
    <w:rsid w:val="00A73B19"/>
    <w:rsid w:val="00A73C04"/>
    <w:rsid w:val="00A73CF8"/>
    <w:rsid w:val="00A73CFB"/>
    <w:rsid w:val="00A7406D"/>
    <w:rsid w:val="00A7484D"/>
    <w:rsid w:val="00A7493F"/>
    <w:rsid w:val="00A74A01"/>
    <w:rsid w:val="00A7562A"/>
    <w:rsid w:val="00A75635"/>
    <w:rsid w:val="00A75B14"/>
    <w:rsid w:val="00A76026"/>
    <w:rsid w:val="00A76265"/>
    <w:rsid w:val="00A765D0"/>
    <w:rsid w:val="00A76757"/>
    <w:rsid w:val="00A769B5"/>
    <w:rsid w:val="00A76BFD"/>
    <w:rsid w:val="00A77541"/>
    <w:rsid w:val="00A77A03"/>
    <w:rsid w:val="00A77B04"/>
    <w:rsid w:val="00A80881"/>
    <w:rsid w:val="00A80DA2"/>
    <w:rsid w:val="00A820EF"/>
    <w:rsid w:val="00A8224D"/>
    <w:rsid w:val="00A82C32"/>
    <w:rsid w:val="00A831B9"/>
    <w:rsid w:val="00A833C2"/>
    <w:rsid w:val="00A83705"/>
    <w:rsid w:val="00A83F41"/>
    <w:rsid w:val="00A84F44"/>
    <w:rsid w:val="00A84F7E"/>
    <w:rsid w:val="00A852FE"/>
    <w:rsid w:val="00A85D80"/>
    <w:rsid w:val="00A85F20"/>
    <w:rsid w:val="00A86243"/>
    <w:rsid w:val="00A8681B"/>
    <w:rsid w:val="00A86CBA"/>
    <w:rsid w:val="00A86F9E"/>
    <w:rsid w:val="00A87018"/>
    <w:rsid w:val="00A8702D"/>
    <w:rsid w:val="00A8745F"/>
    <w:rsid w:val="00A87514"/>
    <w:rsid w:val="00A87586"/>
    <w:rsid w:val="00A87A5E"/>
    <w:rsid w:val="00A9009E"/>
    <w:rsid w:val="00A901F0"/>
    <w:rsid w:val="00A903A2"/>
    <w:rsid w:val="00A90579"/>
    <w:rsid w:val="00A90897"/>
    <w:rsid w:val="00A90922"/>
    <w:rsid w:val="00A90E7A"/>
    <w:rsid w:val="00A91110"/>
    <w:rsid w:val="00A9121E"/>
    <w:rsid w:val="00A91810"/>
    <w:rsid w:val="00A91F1E"/>
    <w:rsid w:val="00A92EEB"/>
    <w:rsid w:val="00A931FF"/>
    <w:rsid w:val="00A936C3"/>
    <w:rsid w:val="00A93756"/>
    <w:rsid w:val="00A93783"/>
    <w:rsid w:val="00A9380E"/>
    <w:rsid w:val="00A93A0F"/>
    <w:rsid w:val="00A93A39"/>
    <w:rsid w:val="00A942EA"/>
    <w:rsid w:val="00A9432E"/>
    <w:rsid w:val="00A94A57"/>
    <w:rsid w:val="00A94A7E"/>
    <w:rsid w:val="00A95035"/>
    <w:rsid w:val="00A951E0"/>
    <w:rsid w:val="00A9538A"/>
    <w:rsid w:val="00A956E1"/>
    <w:rsid w:val="00A957E4"/>
    <w:rsid w:val="00A95861"/>
    <w:rsid w:val="00A9591D"/>
    <w:rsid w:val="00A95A35"/>
    <w:rsid w:val="00A95E2D"/>
    <w:rsid w:val="00A95E36"/>
    <w:rsid w:val="00A9622B"/>
    <w:rsid w:val="00A96482"/>
    <w:rsid w:val="00A965D3"/>
    <w:rsid w:val="00A966A6"/>
    <w:rsid w:val="00A96765"/>
    <w:rsid w:val="00A96796"/>
    <w:rsid w:val="00A967DF"/>
    <w:rsid w:val="00A9688D"/>
    <w:rsid w:val="00A96CCB"/>
    <w:rsid w:val="00A974F8"/>
    <w:rsid w:val="00A9796E"/>
    <w:rsid w:val="00A979BD"/>
    <w:rsid w:val="00A97AB6"/>
    <w:rsid w:val="00A97B54"/>
    <w:rsid w:val="00AA0898"/>
    <w:rsid w:val="00AA0D0D"/>
    <w:rsid w:val="00AA0D18"/>
    <w:rsid w:val="00AA132F"/>
    <w:rsid w:val="00AA14EE"/>
    <w:rsid w:val="00AA29A4"/>
    <w:rsid w:val="00AA2AC8"/>
    <w:rsid w:val="00AA31CE"/>
    <w:rsid w:val="00AA3514"/>
    <w:rsid w:val="00AA3A0B"/>
    <w:rsid w:val="00AA3F53"/>
    <w:rsid w:val="00AA4138"/>
    <w:rsid w:val="00AA498A"/>
    <w:rsid w:val="00AA4AC3"/>
    <w:rsid w:val="00AA50A7"/>
    <w:rsid w:val="00AA596B"/>
    <w:rsid w:val="00AA5F54"/>
    <w:rsid w:val="00AA60F5"/>
    <w:rsid w:val="00AA62F8"/>
    <w:rsid w:val="00AA660C"/>
    <w:rsid w:val="00AA67DD"/>
    <w:rsid w:val="00AA68B2"/>
    <w:rsid w:val="00AA69CE"/>
    <w:rsid w:val="00AA6A68"/>
    <w:rsid w:val="00AA6E0B"/>
    <w:rsid w:val="00AA70BC"/>
    <w:rsid w:val="00AA711E"/>
    <w:rsid w:val="00AA74D2"/>
    <w:rsid w:val="00AA751F"/>
    <w:rsid w:val="00AA7543"/>
    <w:rsid w:val="00AA76E6"/>
    <w:rsid w:val="00AA7B97"/>
    <w:rsid w:val="00AA7C55"/>
    <w:rsid w:val="00AB02AA"/>
    <w:rsid w:val="00AB033C"/>
    <w:rsid w:val="00AB044A"/>
    <w:rsid w:val="00AB1361"/>
    <w:rsid w:val="00AB1CCA"/>
    <w:rsid w:val="00AB2575"/>
    <w:rsid w:val="00AB2871"/>
    <w:rsid w:val="00AB3177"/>
    <w:rsid w:val="00AB3224"/>
    <w:rsid w:val="00AB42DB"/>
    <w:rsid w:val="00AB42FE"/>
    <w:rsid w:val="00AB47FB"/>
    <w:rsid w:val="00AB4AB9"/>
    <w:rsid w:val="00AB4EFF"/>
    <w:rsid w:val="00AB550D"/>
    <w:rsid w:val="00AB5992"/>
    <w:rsid w:val="00AB5C9D"/>
    <w:rsid w:val="00AB5D90"/>
    <w:rsid w:val="00AB6CBA"/>
    <w:rsid w:val="00AB6E44"/>
    <w:rsid w:val="00AB6F08"/>
    <w:rsid w:val="00AB7077"/>
    <w:rsid w:val="00AB7395"/>
    <w:rsid w:val="00AB7437"/>
    <w:rsid w:val="00AB754B"/>
    <w:rsid w:val="00AC0758"/>
    <w:rsid w:val="00AC08DD"/>
    <w:rsid w:val="00AC0961"/>
    <w:rsid w:val="00AC0B58"/>
    <w:rsid w:val="00AC0D68"/>
    <w:rsid w:val="00AC0DC2"/>
    <w:rsid w:val="00AC1155"/>
    <w:rsid w:val="00AC1DFB"/>
    <w:rsid w:val="00AC1FD8"/>
    <w:rsid w:val="00AC2CE2"/>
    <w:rsid w:val="00AC2F9E"/>
    <w:rsid w:val="00AC3068"/>
    <w:rsid w:val="00AC3120"/>
    <w:rsid w:val="00AC31A7"/>
    <w:rsid w:val="00AC31E7"/>
    <w:rsid w:val="00AC3445"/>
    <w:rsid w:val="00AC38EE"/>
    <w:rsid w:val="00AC3AC7"/>
    <w:rsid w:val="00AC3C5A"/>
    <w:rsid w:val="00AC3FBD"/>
    <w:rsid w:val="00AC4113"/>
    <w:rsid w:val="00AC47B5"/>
    <w:rsid w:val="00AC47BC"/>
    <w:rsid w:val="00AC496B"/>
    <w:rsid w:val="00AC4C02"/>
    <w:rsid w:val="00AC4D2E"/>
    <w:rsid w:val="00AC5109"/>
    <w:rsid w:val="00AC5127"/>
    <w:rsid w:val="00AC55E1"/>
    <w:rsid w:val="00AC57EB"/>
    <w:rsid w:val="00AC672F"/>
    <w:rsid w:val="00AC6A6C"/>
    <w:rsid w:val="00AC7115"/>
    <w:rsid w:val="00AC74FB"/>
    <w:rsid w:val="00AC77C5"/>
    <w:rsid w:val="00AC7CB4"/>
    <w:rsid w:val="00AC7F45"/>
    <w:rsid w:val="00AC7FF3"/>
    <w:rsid w:val="00AD0137"/>
    <w:rsid w:val="00AD04DE"/>
    <w:rsid w:val="00AD0955"/>
    <w:rsid w:val="00AD1215"/>
    <w:rsid w:val="00AD14EA"/>
    <w:rsid w:val="00AD16F8"/>
    <w:rsid w:val="00AD173C"/>
    <w:rsid w:val="00AD239B"/>
    <w:rsid w:val="00AD24A3"/>
    <w:rsid w:val="00AD2567"/>
    <w:rsid w:val="00AD2A39"/>
    <w:rsid w:val="00AD3506"/>
    <w:rsid w:val="00AD3731"/>
    <w:rsid w:val="00AD3763"/>
    <w:rsid w:val="00AD3991"/>
    <w:rsid w:val="00AD3D31"/>
    <w:rsid w:val="00AD4582"/>
    <w:rsid w:val="00AD4741"/>
    <w:rsid w:val="00AD4D22"/>
    <w:rsid w:val="00AD54FB"/>
    <w:rsid w:val="00AD5A3C"/>
    <w:rsid w:val="00AD5A53"/>
    <w:rsid w:val="00AD5C76"/>
    <w:rsid w:val="00AD5F3C"/>
    <w:rsid w:val="00AD650B"/>
    <w:rsid w:val="00AD6F62"/>
    <w:rsid w:val="00AD73AB"/>
    <w:rsid w:val="00AD7598"/>
    <w:rsid w:val="00AD78CE"/>
    <w:rsid w:val="00AD7EDD"/>
    <w:rsid w:val="00AD7F65"/>
    <w:rsid w:val="00AE012E"/>
    <w:rsid w:val="00AE0AC1"/>
    <w:rsid w:val="00AE11DA"/>
    <w:rsid w:val="00AE12D9"/>
    <w:rsid w:val="00AE14B2"/>
    <w:rsid w:val="00AE1B47"/>
    <w:rsid w:val="00AE1E60"/>
    <w:rsid w:val="00AE2314"/>
    <w:rsid w:val="00AE2344"/>
    <w:rsid w:val="00AE2714"/>
    <w:rsid w:val="00AE277D"/>
    <w:rsid w:val="00AE2995"/>
    <w:rsid w:val="00AE3024"/>
    <w:rsid w:val="00AE3770"/>
    <w:rsid w:val="00AE3AC3"/>
    <w:rsid w:val="00AE443F"/>
    <w:rsid w:val="00AE4508"/>
    <w:rsid w:val="00AE4AA6"/>
    <w:rsid w:val="00AE55AE"/>
    <w:rsid w:val="00AE55F4"/>
    <w:rsid w:val="00AE6176"/>
    <w:rsid w:val="00AE6F85"/>
    <w:rsid w:val="00AE7675"/>
    <w:rsid w:val="00AE7AA3"/>
    <w:rsid w:val="00AE7BF0"/>
    <w:rsid w:val="00AE7FDD"/>
    <w:rsid w:val="00AF033B"/>
    <w:rsid w:val="00AF0467"/>
    <w:rsid w:val="00AF0905"/>
    <w:rsid w:val="00AF0FF0"/>
    <w:rsid w:val="00AF11CF"/>
    <w:rsid w:val="00AF18D1"/>
    <w:rsid w:val="00AF281C"/>
    <w:rsid w:val="00AF2981"/>
    <w:rsid w:val="00AF2F65"/>
    <w:rsid w:val="00AF3710"/>
    <w:rsid w:val="00AF3D03"/>
    <w:rsid w:val="00AF41FB"/>
    <w:rsid w:val="00AF46DE"/>
    <w:rsid w:val="00AF4B2E"/>
    <w:rsid w:val="00AF4DA4"/>
    <w:rsid w:val="00AF58A3"/>
    <w:rsid w:val="00AF5A74"/>
    <w:rsid w:val="00AF5B26"/>
    <w:rsid w:val="00AF5CF5"/>
    <w:rsid w:val="00AF6345"/>
    <w:rsid w:val="00AF65AD"/>
    <w:rsid w:val="00AF6A47"/>
    <w:rsid w:val="00AF6BA8"/>
    <w:rsid w:val="00AF6C31"/>
    <w:rsid w:val="00AF722E"/>
    <w:rsid w:val="00AF7A46"/>
    <w:rsid w:val="00AF7F63"/>
    <w:rsid w:val="00B00114"/>
    <w:rsid w:val="00B00399"/>
    <w:rsid w:val="00B00483"/>
    <w:rsid w:val="00B00A8C"/>
    <w:rsid w:val="00B012D0"/>
    <w:rsid w:val="00B01D2C"/>
    <w:rsid w:val="00B0207B"/>
    <w:rsid w:val="00B024FC"/>
    <w:rsid w:val="00B026E0"/>
    <w:rsid w:val="00B026E1"/>
    <w:rsid w:val="00B02879"/>
    <w:rsid w:val="00B02B73"/>
    <w:rsid w:val="00B0382A"/>
    <w:rsid w:val="00B03AD9"/>
    <w:rsid w:val="00B03CA9"/>
    <w:rsid w:val="00B03D4A"/>
    <w:rsid w:val="00B042D5"/>
    <w:rsid w:val="00B04620"/>
    <w:rsid w:val="00B046A6"/>
    <w:rsid w:val="00B04C38"/>
    <w:rsid w:val="00B04CF4"/>
    <w:rsid w:val="00B0545E"/>
    <w:rsid w:val="00B0581F"/>
    <w:rsid w:val="00B058E9"/>
    <w:rsid w:val="00B05BE0"/>
    <w:rsid w:val="00B05CC1"/>
    <w:rsid w:val="00B06338"/>
    <w:rsid w:val="00B06988"/>
    <w:rsid w:val="00B06F67"/>
    <w:rsid w:val="00B07CF0"/>
    <w:rsid w:val="00B07DC0"/>
    <w:rsid w:val="00B10053"/>
    <w:rsid w:val="00B10393"/>
    <w:rsid w:val="00B1049A"/>
    <w:rsid w:val="00B10D7D"/>
    <w:rsid w:val="00B10E94"/>
    <w:rsid w:val="00B10EA9"/>
    <w:rsid w:val="00B11004"/>
    <w:rsid w:val="00B112CF"/>
    <w:rsid w:val="00B113A9"/>
    <w:rsid w:val="00B1143F"/>
    <w:rsid w:val="00B11725"/>
    <w:rsid w:val="00B11C65"/>
    <w:rsid w:val="00B12672"/>
    <w:rsid w:val="00B12790"/>
    <w:rsid w:val="00B12FFF"/>
    <w:rsid w:val="00B13083"/>
    <w:rsid w:val="00B13237"/>
    <w:rsid w:val="00B13AF6"/>
    <w:rsid w:val="00B13D76"/>
    <w:rsid w:val="00B141FE"/>
    <w:rsid w:val="00B146C0"/>
    <w:rsid w:val="00B148C9"/>
    <w:rsid w:val="00B149E6"/>
    <w:rsid w:val="00B14B3B"/>
    <w:rsid w:val="00B155BA"/>
    <w:rsid w:val="00B156F2"/>
    <w:rsid w:val="00B15C7A"/>
    <w:rsid w:val="00B15E0E"/>
    <w:rsid w:val="00B1654E"/>
    <w:rsid w:val="00B167A1"/>
    <w:rsid w:val="00B16A1E"/>
    <w:rsid w:val="00B16F53"/>
    <w:rsid w:val="00B16F6B"/>
    <w:rsid w:val="00B172E3"/>
    <w:rsid w:val="00B17594"/>
    <w:rsid w:val="00B1774A"/>
    <w:rsid w:val="00B17E40"/>
    <w:rsid w:val="00B17F3A"/>
    <w:rsid w:val="00B2018B"/>
    <w:rsid w:val="00B201E7"/>
    <w:rsid w:val="00B212FB"/>
    <w:rsid w:val="00B21861"/>
    <w:rsid w:val="00B21BFE"/>
    <w:rsid w:val="00B21CF0"/>
    <w:rsid w:val="00B21DA2"/>
    <w:rsid w:val="00B21F9B"/>
    <w:rsid w:val="00B22088"/>
    <w:rsid w:val="00B22197"/>
    <w:rsid w:val="00B22A21"/>
    <w:rsid w:val="00B22BCD"/>
    <w:rsid w:val="00B22E3D"/>
    <w:rsid w:val="00B23279"/>
    <w:rsid w:val="00B234DD"/>
    <w:rsid w:val="00B23633"/>
    <w:rsid w:val="00B23A23"/>
    <w:rsid w:val="00B23AB5"/>
    <w:rsid w:val="00B23B30"/>
    <w:rsid w:val="00B23E85"/>
    <w:rsid w:val="00B23E9D"/>
    <w:rsid w:val="00B24151"/>
    <w:rsid w:val="00B24228"/>
    <w:rsid w:val="00B24505"/>
    <w:rsid w:val="00B245B2"/>
    <w:rsid w:val="00B251AF"/>
    <w:rsid w:val="00B258B6"/>
    <w:rsid w:val="00B2599C"/>
    <w:rsid w:val="00B25A47"/>
    <w:rsid w:val="00B271B6"/>
    <w:rsid w:val="00B272B4"/>
    <w:rsid w:val="00B2732A"/>
    <w:rsid w:val="00B2785A"/>
    <w:rsid w:val="00B2799A"/>
    <w:rsid w:val="00B27C95"/>
    <w:rsid w:val="00B27DB6"/>
    <w:rsid w:val="00B3023D"/>
    <w:rsid w:val="00B30AB4"/>
    <w:rsid w:val="00B30D27"/>
    <w:rsid w:val="00B30F68"/>
    <w:rsid w:val="00B30F99"/>
    <w:rsid w:val="00B31549"/>
    <w:rsid w:val="00B32062"/>
    <w:rsid w:val="00B3206F"/>
    <w:rsid w:val="00B32123"/>
    <w:rsid w:val="00B323EF"/>
    <w:rsid w:val="00B328F9"/>
    <w:rsid w:val="00B32B47"/>
    <w:rsid w:val="00B33009"/>
    <w:rsid w:val="00B330E3"/>
    <w:rsid w:val="00B33E59"/>
    <w:rsid w:val="00B33FC5"/>
    <w:rsid w:val="00B34556"/>
    <w:rsid w:val="00B34ADE"/>
    <w:rsid w:val="00B34C7F"/>
    <w:rsid w:val="00B34DAF"/>
    <w:rsid w:val="00B35407"/>
    <w:rsid w:val="00B35B1F"/>
    <w:rsid w:val="00B35C08"/>
    <w:rsid w:val="00B35DFA"/>
    <w:rsid w:val="00B35FAF"/>
    <w:rsid w:val="00B361C7"/>
    <w:rsid w:val="00B36247"/>
    <w:rsid w:val="00B364CE"/>
    <w:rsid w:val="00B3659D"/>
    <w:rsid w:val="00B36C5A"/>
    <w:rsid w:val="00B37234"/>
    <w:rsid w:val="00B374E5"/>
    <w:rsid w:val="00B404DD"/>
    <w:rsid w:val="00B40A89"/>
    <w:rsid w:val="00B40B40"/>
    <w:rsid w:val="00B40E0C"/>
    <w:rsid w:val="00B41623"/>
    <w:rsid w:val="00B416FA"/>
    <w:rsid w:val="00B41DAE"/>
    <w:rsid w:val="00B4226A"/>
    <w:rsid w:val="00B4256E"/>
    <w:rsid w:val="00B4271F"/>
    <w:rsid w:val="00B42872"/>
    <w:rsid w:val="00B42A87"/>
    <w:rsid w:val="00B42CC5"/>
    <w:rsid w:val="00B43065"/>
    <w:rsid w:val="00B435C9"/>
    <w:rsid w:val="00B436E1"/>
    <w:rsid w:val="00B43758"/>
    <w:rsid w:val="00B43D22"/>
    <w:rsid w:val="00B44143"/>
    <w:rsid w:val="00B4431D"/>
    <w:rsid w:val="00B44320"/>
    <w:rsid w:val="00B4447C"/>
    <w:rsid w:val="00B44F22"/>
    <w:rsid w:val="00B44FDB"/>
    <w:rsid w:val="00B45341"/>
    <w:rsid w:val="00B4537C"/>
    <w:rsid w:val="00B4551E"/>
    <w:rsid w:val="00B45593"/>
    <w:rsid w:val="00B46242"/>
    <w:rsid w:val="00B4637E"/>
    <w:rsid w:val="00B464A3"/>
    <w:rsid w:val="00B46746"/>
    <w:rsid w:val="00B467EE"/>
    <w:rsid w:val="00B46849"/>
    <w:rsid w:val="00B46E6E"/>
    <w:rsid w:val="00B46EA1"/>
    <w:rsid w:val="00B47236"/>
    <w:rsid w:val="00B4734F"/>
    <w:rsid w:val="00B4787C"/>
    <w:rsid w:val="00B478D7"/>
    <w:rsid w:val="00B5008F"/>
    <w:rsid w:val="00B50310"/>
    <w:rsid w:val="00B503BB"/>
    <w:rsid w:val="00B506F6"/>
    <w:rsid w:val="00B50968"/>
    <w:rsid w:val="00B50C17"/>
    <w:rsid w:val="00B51043"/>
    <w:rsid w:val="00B51268"/>
    <w:rsid w:val="00B51269"/>
    <w:rsid w:val="00B5148F"/>
    <w:rsid w:val="00B517EB"/>
    <w:rsid w:val="00B51853"/>
    <w:rsid w:val="00B51D68"/>
    <w:rsid w:val="00B520BF"/>
    <w:rsid w:val="00B527A9"/>
    <w:rsid w:val="00B530CB"/>
    <w:rsid w:val="00B534EF"/>
    <w:rsid w:val="00B53CF5"/>
    <w:rsid w:val="00B54BA3"/>
    <w:rsid w:val="00B54D0D"/>
    <w:rsid w:val="00B55725"/>
    <w:rsid w:val="00B565E5"/>
    <w:rsid w:val="00B566EA"/>
    <w:rsid w:val="00B56C1F"/>
    <w:rsid w:val="00B56C46"/>
    <w:rsid w:val="00B57113"/>
    <w:rsid w:val="00B573BF"/>
    <w:rsid w:val="00B57433"/>
    <w:rsid w:val="00B604B1"/>
    <w:rsid w:val="00B60632"/>
    <w:rsid w:val="00B60655"/>
    <w:rsid w:val="00B60C1F"/>
    <w:rsid w:val="00B61A04"/>
    <w:rsid w:val="00B61E25"/>
    <w:rsid w:val="00B623C7"/>
    <w:rsid w:val="00B62419"/>
    <w:rsid w:val="00B628BA"/>
    <w:rsid w:val="00B62A46"/>
    <w:rsid w:val="00B62BA8"/>
    <w:rsid w:val="00B62BC8"/>
    <w:rsid w:val="00B62D05"/>
    <w:rsid w:val="00B62EF0"/>
    <w:rsid w:val="00B62F02"/>
    <w:rsid w:val="00B642A6"/>
    <w:rsid w:val="00B64452"/>
    <w:rsid w:val="00B64790"/>
    <w:rsid w:val="00B64DD1"/>
    <w:rsid w:val="00B65DAA"/>
    <w:rsid w:val="00B6626A"/>
    <w:rsid w:val="00B66386"/>
    <w:rsid w:val="00B669DB"/>
    <w:rsid w:val="00B66B56"/>
    <w:rsid w:val="00B6707D"/>
    <w:rsid w:val="00B672B2"/>
    <w:rsid w:val="00B672E0"/>
    <w:rsid w:val="00B67697"/>
    <w:rsid w:val="00B67D17"/>
    <w:rsid w:val="00B70083"/>
    <w:rsid w:val="00B70D30"/>
    <w:rsid w:val="00B70FB4"/>
    <w:rsid w:val="00B71565"/>
    <w:rsid w:val="00B7185F"/>
    <w:rsid w:val="00B71AD2"/>
    <w:rsid w:val="00B71BE1"/>
    <w:rsid w:val="00B71D96"/>
    <w:rsid w:val="00B71DB1"/>
    <w:rsid w:val="00B72444"/>
    <w:rsid w:val="00B72D8C"/>
    <w:rsid w:val="00B72F96"/>
    <w:rsid w:val="00B730A7"/>
    <w:rsid w:val="00B7313D"/>
    <w:rsid w:val="00B733B3"/>
    <w:rsid w:val="00B73A1E"/>
    <w:rsid w:val="00B73EE5"/>
    <w:rsid w:val="00B7484B"/>
    <w:rsid w:val="00B74C4A"/>
    <w:rsid w:val="00B74D3D"/>
    <w:rsid w:val="00B74F7C"/>
    <w:rsid w:val="00B75013"/>
    <w:rsid w:val="00B7539E"/>
    <w:rsid w:val="00B75B35"/>
    <w:rsid w:val="00B76032"/>
    <w:rsid w:val="00B7620D"/>
    <w:rsid w:val="00B765DD"/>
    <w:rsid w:val="00B766F6"/>
    <w:rsid w:val="00B76C0B"/>
    <w:rsid w:val="00B7730B"/>
    <w:rsid w:val="00B77434"/>
    <w:rsid w:val="00B77647"/>
    <w:rsid w:val="00B77A3A"/>
    <w:rsid w:val="00B77C6F"/>
    <w:rsid w:val="00B80720"/>
    <w:rsid w:val="00B80B3A"/>
    <w:rsid w:val="00B80C9D"/>
    <w:rsid w:val="00B80D3D"/>
    <w:rsid w:val="00B80D49"/>
    <w:rsid w:val="00B8197A"/>
    <w:rsid w:val="00B81D0D"/>
    <w:rsid w:val="00B820CE"/>
    <w:rsid w:val="00B82133"/>
    <w:rsid w:val="00B8250A"/>
    <w:rsid w:val="00B82706"/>
    <w:rsid w:val="00B828D8"/>
    <w:rsid w:val="00B82B29"/>
    <w:rsid w:val="00B82F6D"/>
    <w:rsid w:val="00B834D5"/>
    <w:rsid w:val="00B8387D"/>
    <w:rsid w:val="00B83A54"/>
    <w:rsid w:val="00B83DF0"/>
    <w:rsid w:val="00B83FD9"/>
    <w:rsid w:val="00B85348"/>
    <w:rsid w:val="00B85506"/>
    <w:rsid w:val="00B85755"/>
    <w:rsid w:val="00B85DD1"/>
    <w:rsid w:val="00B86025"/>
    <w:rsid w:val="00B86035"/>
    <w:rsid w:val="00B86220"/>
    <w:rsid w:val="00B86561"/>
    <w:rsid w:val="00B86B43"/>
    <w:rsid w:val="00B87294"/>
    <w:rsid w:val="00B872CE"/>
    <w:rsid w:val="00B87E28"/>
    <w:rsid w:val="00B9022E"/>
    <w:rsid w:val="00B90310"/>
    <w:rsid w:val="00B904E7"/>
    <w:rsid w:val="00B90919"/>
    <w:rsid w:val="00B9099A"/>
    <w:rsid w:val="00B9109C"/>
    <w:rsid w:val="00B9121B"/>
    <w:rsid w:val="00B91621"/>
    <w:rsid w:val="00B91D05"/>
    <w:rsid w:val="00B92470"/>
    <w:rsid w:val="00B924FC"/>
    <w:rsid w:val="00B92D10"/>
    <w:rsid w:val="00B93081"/>
    <w:rsid w:val="00B931C9"/>
    <w:rsid w:val="00B9343F"/>
    <w:rsid w:val="00B9377B"/>
    <w:rsid w:val="00B93CAC"/>
    <w:rsid w:val="00B9459F"/>
    <w:rsid w:val="00B94CEB"/>
    <w:rsid w:val="00B94D14"/>
    <w:rsid w:val="00B94F7B"/>
    <w:rsid w:val="00B95BA4"/>
    <w:rsid w:val="00B95EFF"/>
    <w:rsid w:val="00B96059"/>
    <w:rsid w:val="00B9613E"/>
    <w:rsid w:val="00B961FA"/>
    <w:rsid w:val="00B964F3"/>
    <w:rsid w:val="00B96561"/>
    <w:rsid w:val="00B97376"/>
    <w:rsid w:val="00B974A8"/>
    <w:rsid w:val="00B9764A"/>
    <w:rsid w:val="00B977AC"/>
    <w:rsid w:val="00B97A47"/>
    <w:rsid w:val="00B97D6E"/>
    <w:rsid w:val="00BA0BB2"/>
    <w:rsid w:val="00BA1930"/>
    <w:rsid w:val="00BA1C6A"/>
    <w:rsid w:val="00BA231D"/>
    <w:rsid w:val="00BA266B"/>
    <w:rsid w:val="00BA28D7"/>
    <w:rsid w:val="00BA2C05"/>
    <w:rsid w:val="00BA38A7"/>
    <w:rsid w:val="00BA3FA8"/>
    <w:rsid w:val="00BA4D45"/>
    <w:rsid w:val="00BA537F"/>
    <w:rsid w:val="00BA5513"/>
    <w:rsid w:val="00BA554F"/>
    <w:rsid w:val="00BA5656"/>
    <w:rsid w:val="00BA57BD"/>
    <w:rsid w:val="00BA5933"/>
    <w:rsid w:val="00BA5D77"/>
    <w:rsid w:val="00BA6155"/>
    <w:rsid w:val="00BA67E1"/>
    <w:rsid w:val="00BA6C37"/>
    <w:rsid w:val="00BA6C4B"/>
    <w:rsid w:val="00BA71D4"/>
    <w:rsid w:val="00BA7871"/>
    <w:rsid w:val="00BA7B9C"/>
    <w:rsid w:val="00BA7FF5"/>
    <w:rsid w:val="00BB08BA"/>
    <w:rsid w:val="00BB0AAA"/>
    <w:rsid w:val="00BB0B1C"/>
    <w:rsid w:val="00BB0BF1"/>
    <w:rsid w:val="00BB15CB"/>
    <w:rsid w:val="00BB1C1D"/>
    <w:rsid w:val="00BB1E5E"/>
    <w:rsid w:val="00BB2468"/>
    <w:rsid w:val="00BB24C3"/>
    <w:rsid w:val="00BB252E"/>
    <w:rsid w:val="00BB2730"/>
    <w:rsid w:val="00BB27A3"/>
    <w:rsid w:val="00BB2A32"/>
    <w:rsid w:val="00BB2ACA"/>
    <w:rsid w:val="00BB2DA2"/>
    <w:rsid w:val="00BB3562"/>
    <w:rsid w:val="00BB359C"/>
    <w:rsid w:val="00BB37F6"/>
    <w:rsid w:val="00BB3EF7"/>
    <w:rsid w:val="00BB423B"/>
    <w:rsid w:val="00BB43E8"/>
    <w:rsid w:val="00BB4661"/>
    <w:rsid w:val="00BB4BC7"/>
    <w:rsid w:val="00BB4E8C"/>
    <w:rsid w:val="00BB5282"/>
    <w:rsid w:val="00BB5B1A"/>
    <w:rsid w:val="00BB619C"/>
    <w:rsid w:val="00BB6436"/>
    <w:rsid w:val="00BB647E"/>
    <w:rsid w:val="00BB65C1"/>
    <w:rsid w:val="00BB65D9"/>
    <w:rsid w:val="00BB6C1F"/>
    <w:rsid w:val="00BB73DA"/>
    <w:rsid w:val="00BB747C"/>
    <w:rsid w:val="00BB7AAF"/>
    <w:rsid w:val="00BB7C13"/>
    <w:rsid w:val="00BC0149"/>
    <w:rsid w:val="00BC09FD"/>
    <w:rsid w:val="00BC1053"/>
    <w:rsid w:val="00BC1159"/>
    <w:rsid w:val="00BC1650"/>
    <w:rsid w:val="00BC1896"/>
    <w:rsid w:val="00BC1AB7"/>
    <w:rsid w:val="00BC1BF6"/>
    <w:rsid w:val="00BC217B"/>
    <w:rsid w:val="00BC253F"/>
    <w:rsid w:val="00BC28EF"/>
    <w:rsid w:val="00BC2A90"/>
    <w:rsid w:val="00BC2BFA"/>
    <w:rsid w:val="00BC2C07"/>
    <w:rsid w:val="00BC2DC9"/>
    <w:rsid w:val="00BC34AE"/>
    <w:rsid w:val="00BC3AC8"/>
    <w:rsid w:val="00BC3AEC"/>
    <w:rsid w:val="00BC3BCF"/>
    <w:rsid w:val="00BC3F59"/>
    <w:rsid w:val="00BC4229"/>
    <w:rsid w:val="00BC4492"/>
    <w:rsid w:val="00BC45B0"/>
    <w:rsid w:val="00BC534D"/>
    <w:rsid w:val="00BC578C"/>
    <w:rsid w:val="00BC5B7E"/>
    <w:rsid w:val="00BC60AA"/>
    <w:rsid w:val="00BC6147"/>
    <w:rsid w:val="00BC69D9"/>
    <w:rsid w:val="00BC6C91"/>
    <w:rsid w:val="00BC6F78"/>
    <w:rsid w:val="00BC7039"/>
    <w:rsid w:val="00BC72A5"/>
    <w:rsid w:val="00BC7BE3"/>
    <w:rsid w:val="00BCE300"/>
    <w:rsid w:val="00BD000D"/>
    <w:rsid w:val="00BD0091"/>
    <w:rsid w:val="00BD0467"/>
    <w:rsid w:val="00BD095F"/>
    <w:rsid w:val="00BD0E17"/>
    <w:rsid w:val="00BD1332"/>
    <w:rsid w:val="00BD14F2"/>
    <w:rsid w:val="00BD18C0"/>
    <w:rsid w:val="00BD1BDD"/>
    <w:rsid w:val="00BD1E81"/>
    <w:rsid w:val="00BD26C5"/>
    <w:rsid w:val="00BD3080"/>
    <w:rsid w:val="00BD3442"/>
    <w:rsid w:val="00BD3534"/>
    <w:rsid w:val="00BD3688"/>
    <w:rsid w:val="00BD3834"/>
    <w:rsid w:val="00BD3E28"/>
    <w:rsid w:val="00BD42D6"/>
    <w:rsid w:val="00BD4696"/>
    <w:rsid w:val="00BD51C7"/>
    <w:rsid w:val="00BD52C8"/>
    <w:rsid w:val="00BD5502"/>
    <w:rsid w:val="00BD5B87"/>
    <w:rsid w:val="00BD5FCB"/>
    <w:rsid w:val="00BD6342"/>
    <w:rsid w:val="00BD6554"/>
    <w:rsid w:val="00BD6B1E"/>
    <w:rsid w:val="00BD6F32"/>
    <w:rsid w:val="00BD708F"/>
    <w:rsid w:val="00BD7184"/>
    <w:rsid w:val="00BD71DC"/>
    <w:rsid w:val="00BD720D"/>
    <w:rsid w:val="00BD7348"/>
    <w:rsid w:val="00BD76A9"/>
    <w:rsid w:val="00BE02FB"/>
    <w:rsid w:val="00BE099A"/>
    <w:rsid w:val="00BE0B83"/>
    <w:rsid w:val="00BE0CAD"/>
    <w:rsid w:val="00BE11E6"/>
    <w:rsid w:val="00BE13F6"/>
    <w:rsid w:val="00BE1723"/>
    <w:rsid w:val="00BE2441"/>
    <w:rsid w:val="00BE2CDA"/>
    <w:rsid w:val="00BE314F"/>
    <w:rsid w:val="00BE31BC"/>
    <w:rsid w:val="00BE3493"/>
    <w:rsid w:val="00BE389C"/>
    <w:rsid w:val="00BE47B9"/>
    <w:rsid w:val="00BE48F5"/>
    <w:rsid w:val="00BE4DF2"/>
    <w:rsid w:val="00BE4FD9"/>
    <w:rsid w:val="00BE4FF1"/>
    <w:rsid w:val="00BE5675"/>
    <w:rsid w:val="00BE595B"/>
    <w:rsid w:val="00BE606C"/>
    <w:rsid w:val="00BE641E"/>
    <w:rsid w:val="00BE6959"/>
    <w:rsid w:val="00BE6CBB"/>
    <w:rsid w:val="00BE6D5C"/>
    <w:rsid w:val="00BE703B"/>
    <w:rsid w:val="00BE7728"/>
    <w:rsid w:val="00BE7DAB"/>
    <w:rsid w:val="00BF06DB"/>
    <w:rsid w:val="00BF0B61"/>
    <w:rsid w:val="00BF0BE3"/>
    <w:rsid w:val="00BF0F1F"/>
    <w:rsid w:val="00BF0FFD"/>
    <w:rsid w:val="00BF15B8"/>
    <w:rsid w:val="00BF1B5E"/>
    <w:rsid w:val="00BF2514"/>
    <w:rsid w:val="00BF25FE"/>
    <w:rsid w:val="00BF26DE"/>
    <w:rsid w:val="00BF271B"/>
    <w:rsid w:val="00BF2CE0"/>
    <w:rsid w:val="00BF2CE3"/>
    <w:rsid w:val="00BF2D31"/>
    <w:rsid w:val="00BF3410"/>
    <w:rsid w:val="00BF342B"/>
    <w:rsid w:val="00BF3583"/>
    <w:rsid w:val="00BF3750"/>
    <w:rsid w:val="00BF3757"/>
    <w:rsid w:val="00BF3C46"/>
    <w:rsid w:val="00BF3C5C"/>
    <w:rsid w:val="00BF457B"/>
    <w:rsid w:val="00BF4A40"/>
    <w:rsid w:val="00BF4ACC"/>
    <w:rsid w:val="00BF4F4D"/>
    <w:rsid w:val="00BF630D"/>
    <w:rsid w:val="00BF6407"/>
    <w:rsid w:val="00BF6724"/>
    <w:rsid w:val="00BF6D70"/>
    <w:rsid w:val="00BF6EFF"/>
    <w:rsid w:val="00BF76E5"/>
    <w:rsid w:val="00C00BC2"/>
    <w:rsid w:val="00C00ECC"/>
    <w:rsid w:val="00C0165D"/>
    <w:rsid w:val="00C01744"/>
    <w:rsid w:val="00C0177B"/>
    <w:rsid w:val="00C01786"/>
    <w:rsid w:val="00C01C3B"/>
    <w:rsid w:val="00C01E22"/>
    <w:rsid w:val="00C02764"/>
    <w:rsid w:val="00C028EA"/>
    <w:rsid w:val="00C03023"/>
    <w:rsid w:val="00C03033"/>
    <w:rsid w:val="00C034C2"/>
    <w:rsid w:val="00C03D27"/>
    <w:rsid w:val="00C03E4E"/>
    <w:rsid w:val="00C03E81"/>
    <w:rsid w:val="00C03EED"/>
    <w:rsid w:val="00C03FC7"/>
    <w:rsid w:val="00C04691"/>
    <w:rsid w:val="00C057F6"/>
    <w:rsid w:val="00C05C61"/>
    <w:rsid w:val="00C05E85"/>
    <w:rsid w:val="00C06529"/>
    <w:rsid w:val="00C06701"/>
    <w:rsid w:val="00C06A37"/>
    <w:rsid w:val="00C0703C"/>
    <w:rsid w:val="00C0730C"/>
    <w:rsid w:val="00C07368"/>
    <w:rsid w:val="00C07878"/>
    <w:rsid w:val="00C108C3"/>
    <w:rsid w:val="00C10A40"/>
    <w:rsid w:val="00C10A6C"/>
    <w:rsid w:val="00C11096"/>
    <w:rsid w:val="00C12A9D"/>
    <w:rsid w:val="00C13100"/>
    <w:rsid w:val="00C132A7"/>
    <w:rsid w:val="00C1392D"/>
    <w:rsid w:val="00C13B18"/>
    <w:rsid w:val="00C1413D"/>
    <w:rsid w:val="00C142CB"/>
    <w:rsid w:val="00C14BCF"/>
    <w:rsid w:val="00C15306"/>
    <w:rsid w:val="00C15822"/>
    <w:rsid w:val="00C15861"/>
    <w:rsid w:val="00C15871"/>
    <w:rsid w:val="00C1627C"/>
    <w:rsid w:val="00C162B4"/>
    <w:rsid w:val="00C16797"/>
    <w:rsid w:val="00C16CC9"/>
    <w:rsid w:val="00C16E51"/>
    <w:rsid w:val="00C16F9B"/>
    <w:rsid w:val="00C1747E"/>
    <w:rsid w:val="00C175E0"/>
    <w:rsid w:val="00C17688"/>
    <w:rsid w:val="00C17BC6"/>
    <w:rsid w:val="00C17FFA"/>
    <w:rsid w:val="00C20083"/>
    <w:rsid w:val="00C20CE0"/>
    <w:rsid w:val="00C20E23"/>
    <w:rsid w:val="00C211BF"/>
    <w:rsid w:val="00C2128B"/>
    <w:rsid w:val="00C2146D"/>
    <w:rsid w:val="00C21BD4"/>
    <w:rsid w:val="00C21E86"/>
    <w:rsid w:val="00C22082"/>
    <w:rsid w:val="00C220F1"/>
    <w:rsid w:val="00C22743"/>
    <w:rsid w:val="00C22D77"/>
    <w:rsid w:val="00C22DA5"/>
    <w:rsid w:val="00C22E65"/>
    <w:rsid w:val="00C232BC"/>
    <w:rsid w:val="00C23332"/>
    <w:rsid w:val="00C23506"/>
    <w:rsid w:val="00C23906"/>
    <w:rsid w:val="00C23B24"/>
    <w:rsid w:val="00C244AC"/>
    <w:rsid w:val="00C2465B"/>
    <w:rsid w:val="00C24755"/>
    <w:rsid w:val="00C24C54"/>
    <w:rsid w:val="00C25075"/>
    <w:rsid w:val="00C25355"/>
    <w:rsid w:val="00C2584E"/>
    <w:rsid w:val="00C25D86"/>
    <w:rsid w:val="00C25EE6"/>
    <w:rsid w:val="00C260BC"/>
    <w:rsid w:val="00C26724"/>
    <w:rsid w:val="00C2751F"/>
    <w:rsid w:val="00C27777"/>
    <w:rsid w:val="00C27DF7"/>
    <w:rsid w:val="00C30556"/>
    <w:rsid w:val="00C30C03"/>
    <w:rsid w:val="00C30F37"/>
    <w:rsid w:val="00C30F80"/>
    <w:rsid w:val="00C31640"/>
    <w:rsid w:val="00C316DC"/>
    <w:rsid w:val="00C31DE3"/>
    <w:rsid w:val="00C31ECE"/>
    <w:rsid w:val="00C32119"/>
    <w:rsid w:val="00C32296"/>
    <w:rsid w:val="00C32685"/>
    <w:rsid w:val="00C326D7"/>
    <w:rsid w:val="00C32F21"/>
    <w:rsid w:val="00C32FA0"/>
    <w:rsid w:val="00C3327F"/>
    <w:rsid w:val="00C33300"/>
    <w:rsid w:val="00C33406"/>
    <w:rsid w:val="00C3342D"/>
    <w:rsid w:val="00C3351A"/>
    <w:rsid w:val="00C337E8"/>
    <w:rsid w:val="00C3467C"/>
    <w:rsid w:val="00C34FD5"/>
    <w:rsid w:val="00C35168"/>
    <w:rsid w:val="00C35B12"/>
    <w:rsid w:val="00C35D84"/>
    <w:rsid w:val="00C35EC3"/>
    <w:rsid w:val="00C35F45"/>
    <w:rsid w:val="00C36009"/>
    <w:rsid w:val="00C36216"/>
    <w:rsid w:val="00C364D7"/>
    <w:rsid w:val="00C3668C"/>
    <w:rsid w:val="00C36E17"/>
    <w:rsid w:val="00C3743B"/>
    <w:rsid w:val="00C37747"/>
    <w:rsid w:val="00C40104"/>
    <w:rsid w:val="00C404B0"/>
    <w:rsid w:val="00C409ED"/>
    <w:rsid w:val="00C40A1E"/>
    <w:rsid w:val="00C4226A"/>
    <w:rsid w:val="00C42D44"/>
    <w:rsid w:val="00C42DD9"/>
    <w:rsid w:val="00C4302F"/>
    <w:rsid w:val="00C43292"/>
    <w:rsid w:val="00C43294"/>
    <w:rsid w:val="00C432D6"/>
    <w:rsid w:val="00C43408"/>
    <w:rsid w:val="00C43BBB"/>
    <w:rsid w:val="00C43FB4"/>
    <w:rsid w:val="00C44FA5"/>
    <w:rsid w:val="00C4511D"/>
    <w:rsid w:val="00C451C7"/>
    <w:rsid w:val="00C45241"/>
    <w:rsid w:val="00C452C0"/>
    <w:rsid w:val="00C453CA"/>
    <w:rsid w:val="00C4550C"/>
    <w:rsid w:val="00C45845"/>
    <w:rsid w:val="00C4595E"/>
    <w:rsid w:val="00C45DED"/>
    <w:rsid w:val="00C46157"/>
    <w:rsid w:val="00C46642"/>
    <w:rsid w:val="00C46C9C"/>
    <w:rsid w:val="00C473F6"/>
    <w:rsid w:val="00C4758F"/>
    <w:rsid w:val="00C477A2"/>
    <w:rsid w:val="00C4783D"/>
    <w:rsid w:val="00C4790F"/>
    <w:rsid w:val="00C50618"/>
    <w:rsid w:val="00C50740"/>
    <w:rsid w:val="00C5075C"/>
    <w:rsid w:val="00C5088A"/>
    <w:rsid w:val="00C50C9F"/>
    <w:rsid w:val="00C5152D"/>
    <w:rsid w:val="00C520AD"/>
    <w:rsid w:val="00C52209"/>
    <w:rsid w:val="00C52A0D"/>
    <w:rsid w:val="00C52A83"/>
    <w:rsid w:val="00C52BA5"/>
    <w:rsid w:val="00C532A3"/>
    <w:rsid w:val="00C53B21"/>
    <w:rsid w:val="00C53C0E"/>
    <w:rsid w:val="00C53C34"/>
    <w:rsid w:val="00C5487B"/>
    <w:rsid w:val="00C54A16"/>
    <w:rsid w:val="00C54C4F"/>
    <w:rsid w:val="00C55E3D"/>
    <w:rsid w:val="00C5627B"/>
    <w:rsid w:val="00C5743B"/>
    <w:rsid w:val="00C57543"/>
    <w:rsid w:val="00C57BD2"/>
    <w:rsid w:val="00C57E80"/>
    <w:rsid w:val="00C57F1C"/>
    <w:rsid w:val="00C57FA9"/>
    <w:rsid w:val="00C6010B"/>
    <w:rsid w:val="00C608AF"/>
    <w:rsid w:val="00C60B4C"/>
    <w:rsid w:val="00C60C40"/>
    <w:rsid w:val="00C60DB8"/>
    <w:rsid w:val="00C6117A"/>
    <w:rsid w:val="00C61887"/>
    <w:rsid w:val="00C61A89"/>
    <w:rsid w:val="00C62487"/>
    <w:rsid w:val="00C62EBE"/>
    <w:rsid w:val="00C63374"/>
    <w:rsid w:val="00C63404"/>
    <w:rsid w:val="00C6346D"/>
    <w:rsid w:val="00C638FF"/>
    <w:rsid w:val="00C63926"/>
    <w:rsid w:val="00C6393B"/>
    <w:rsid w:val="00C6398E"/>
    <w:rsid w:val="00C63C97"/>
    <w:rsid w:val="00C63E2B"/>
    <w:rsid w:val="00C64221"/>
    <w:rsid w:val="00C64DA7"/>
    <w:rsid w:val="00C64E92"/>
    <w:rsid w:val="00C64ED6"/>
    <w:rsid w:val="00C65134"/>
    <w:rsid w:val="00C651C1"/>
    <w:rsid w:val="00C654A1"/>
    <w:rsid w:val="00C658E8"/>
    <w:rsid w:val="00C65AB3"/>
    <w:rsid w:val="00C65D3E"/>
    <w:rsid w:val="00C65F20"/>
    <w:rsid w:val="00C661BB"/>
    <w:rsid w:val="00C66461"/>
    <w:rsid w:val="00C666D7"/>
    <w:rsid w:val="00C66D6A"/>
    <w:rsid w:val="00C66D8C"/>
    <w:rsid w:val="00C67C08"/>
    <w:rsid w:val="00C70009"/>
    <w:rsid w:val="00C7066E"/>
    <w:rsid w:val="00C70BA8"/>
    <w:rsid w:val="00C70D1E"/>
    <w:rsid w:val="00C70F39"/>
    <w:rsid w:val="00C7111D"/>
    <w:rsid w:val="00C71784"/>
    <w:rsid w:val="00C717BF"/>
    <w:rsid w:val="00C71E55"/>
    <w:rsid w:val="00C720B9"/>
    <w:rsid w:val="00C7249E"/>
    <w:rsid w:val="00C72C4E"/>
    <w:rsid w:val="00C72C97"/>
    <w:rsid w:val="00C72CC6"/>
    <w:rsid w:val="00C72F59"/>
    <w:rsid w:val="00C733BF"/>
    <w:rsid w:val="00C73608"/>
    <w:rsid w:val="00C73B2E"/>
    <w:rsid w:val="00C73C24"/>
    <w:rsid w:val="00C73C31"/>
    <w:rsid w:val="00C73C74"/>
    <w:rsid w:val="00C73FEE"/>
    <w:rsid w:val="00C741C4"/>
    <w:rsid w:val="00C748B3"/>
    <w:rsid w:val="00C74DDB"/>
    <w:rsid w:val="00C74EB2"/>
    <w:rsid w:val="00C74F89"/>
    <w:rsid w:val="00C75BD9"/>
    <w:rsid w:val="00C75E54"/>
    <w:rsid w:val="00C7615B"/>
    <w:rsid w:val="00C7616D"/>
    <w:rsid w:val="00C763C7"/>
    <w:rsid w:val="00C76435"/>
    <w:rsid w:val="00C76D51"/>
    <w:rsid w:val="00C76E26"/>
    <w:rsid w:val="00C76EA8"/>
    <w:rsid w:val="00C77012"/>
    <w:rsid w:val="00C7713E"/>
    <w:rsid w:val="00C77366"/>
    <w:rsid w:val="00C7789A"/>
    <w:rsid w:val="00C77F83"/>
    <w:rsid w:val="00C80381"/>
    <w:rsid w:val="00C80628"/>
    <w:rsid w:val="00C81054"/>
    <w:rsid w:val="00C814B8"/>
    <w:rsid w:val="00C8176A"/>
    <w:rsid w:val="00C817CC"/>
    <w:rsid w:val="00C81A94"/>
    <w:rsid w:val="00C81D02"/>
    <w:rsid w:val="00C81DB9"/>
    <w:rsid w:val="00C81EAF"/>
    <w:rsid w:val="00C82198"/>
    <w:rsid w:val="00C822C2"/>
    <w:rsid w:val="00C827A1"/>
    <w:rsid w:val="00C83768"/>
    <w:rsid w:val="00C838C4"/>
    <w:rsid w:val="00C839AF"/>
    <w:rsid w:val="00C84116"/>
    <w:rsid w:val="00C84349"/>
    <w:rsid w:val="00C84FE0"/>
    <w:rsid w:val="00C850EB"/>
    <w:rsid w:val="00C8523A"/>
    <w:rsid w:val="00C85721"/>
    <w:rsid w:val="00C859D9"/>
    <w:rsid w:val="00C85CCF"/>
    <w:rsid w:val="00C862C4"/>
    <w:rsid w:val="00C86690"/>
    <w:rsid w:val="00C86858"/>
    <w:rsid w:val="00C87842"/>
    <w:rsid w:val="00C87C4B"/>
    <w:rsid w:val="00C900D8"/>
    <w:rsid w:val="00C904C4"/>
    <w:rsid w:val="00C90AD2"/>
    <w:rsid w:val="00C915CE"/>
    <w:rsid w:val="00C918E7"/>
    <w:rsid w:val="00C9193C"/>
    <w:rsid w:val="00C91A70"/>
    <w:rsid w:val="00C91AB8"/>
    <w:rsid w:val="00C91DF0"/>
    <w:rsid w:val="00C9268F"/>
    <w:rsid w:val="00C92AA4"/>
    <w:rsid w:val="00C92D09"/>
    <w:rsid w:val="00C930A2"/>
    <w:rsid w:val="00C93111"/>
    <w:rsid w:val="00C94222"/>
    <w:rsid w:val="00C9438C"/>
    <w:rsid w:val="00C944A7"/>
    <w:rsid w:val="00C94925"/>
    <w:rsid w:val="00C95B8B"/>
    <w:rsid w:val="00C95CCE"/>
    <w:rsid w:val="00C95D87"/>
    <w:rsid w:val="00C96033"/>
    <w:rsid w:val="00C961F2"/>
    <w:rsid w:val="00C96671"/>
    <w:rsid w:val="00C96A26"/>
    <w:rsid w:val="00C96EAC"/>
    <w:rsid w:val="00C97335"/>
    <w:rsid w:val="00C97383"/>
    <w:rsid w:val="00C977DE"/>
    <w:rsid w:val="00CA0272"/>
    <w:rsid w:val="00CA072A"/>
    <w:rsid w:val="00CA079E"/>
    <w:rsid w:val="00CA0DA7"/>
    <w:rsid w:val="00CA1224"/>
    <w:rsid w:val="00CA1A38"/>
    <w:rsid w:val="00CA1D7B"/>
    <w:rsid w:val="00CA212E"/>
    <w:rsid w:val="00CA2512"/>
    <w:rsid w:val="00CA25B1"/>
    <w:rsid w:val="00CA30B3"/>
    <w:rsid w:val="00CA3487"/>
    <w:rsid w:val="00CA37AC"/>
    <w:rsid w:val="00CA3BAA"/>
    <w:rsid w:val="00CA3BEF"/>
    <w:rsid w:val="00CA3D99"/>
    <w:rsid w:val="00CA46D1"/>
    <w:rsid w:val="00CA52CC"/>
    <w:rsid w:val="00CA5F41"/>
    <w:rsid w:val="00CA5FAC"/>
    <w:rsid w:val="00CA641C"/>
    <w:rsid w:val="00CA64E3"/>
    <w:rsid w:val="00CA701C"/>
    <w:rsid w:val="00CA734A"/>
    <w:rsid w:val="00CA73D5"/>
    <w:rsid w:val="00CA743A"/>
    <w:rsid w:val="00CA7446"/>
    <w:rsid w:val="00CA77AE"/>
    <w:rsid w:val="00CB0035"/>
    <w:rsid w:val="00CB054C"/>
    <w:rsid w:val="00CB0640"/>
    <w:rsid w:val="00CB0823"/>
    <w:rsid w:val="00CB09CE"/>
    <w:rsid w:val="00CB0C2C"/>
    <w:rsid w:val="00CB0C52"/>
    <w:rsid w:val="00CB100E"/>
    <w:rsid w:val="00CB1728"/>
    <w:rsid w:val="00CB25FF"/>
    <w:rsid w:val="00CB2CD3"/>
    <w:rsid w:val="00CB3EE4"/>
    <w:rsid w:val="00CB4116"/>
    <w:rsid w:val="00CB4293"/>
    <w:rsid w:val="00CB4AAA"/>
    <w:rsid w:val="00CB4C1A"/>
    <w:rsid w:val="00CB4D57"/>
    <w:rsid w:val="00CB4E13"/>
    <w:rsid w:val="00CB5101"/>
    <w:rsid w:val="00CB511D"/>
    <w:rsid w:val="00CB5227"/>
    <w:rsid w:val="00CB53AE"/>
    <w:rsid w:val="00CB5E7B"/>
    <w:rsid w:val="00CB5F89"/>
    <w:rsid w:val="00CB6013"/>
    <w:rsid w:val="00CB6C29"/>
    <w:rsid w:val="00CB6E0C"/>
    <w:rsid w:val="00CB7013"/>
    <w:rsid w:val="00CB7082"/>
    <w:rsid w:val="00CB714F"/>
    <w:rsid w:val="00CB7357"/>
    <w:rsid w:val="00CB76E6"/>
    <w:rsid w:val="00CB78DC"/>
    <w:rsid w:val="00CB7D19"/>
    <w:rsid w:val="00CC02DB"/>
    <w:rsid w:val="00CC039F"/>
    <w:rsid w:val="00CC0590"/>
    <w:rsid w:val="00CC0A5F"/>
    <w:rsid w:val="00CC0E3B"/>
    <w:rsid w:val="00CC0F55"/>
    <w:rsid w:val="00CC1055"/>
    <w:rsid w:val="00CC141E"/>
    <w:rsid w:val="00CC18C1"/>
    <w:rsid w:val="00CC193C"/>
    <w:rsid w:val="00CC1A8D"/>
    <w:rsid w:val="00CC1D6D"/>
    <w:rsid w:val="00CC2173"/>
    <w:rsid w:val="00CC24C3"/>
    <w:rsid w:val="00CC2C84"/>
    <w:rsid w:val="00CC34E6"/>
    <w:rsid w:val="00CC404E"/>
    <w:rsid w:val="00CC41BB"/>
    <w:rsid w:val="00CC41FC"/>
    <w:rsid w:val="00CC43B7"/>
    <w:rsid w:val="00CC4857"/>
    <w:rsid w:val="00CC4F8D"/>
    <w:rsid w:val="00CC521C"/>
    <w:rsid w:val="00CC533B"/>
    <w:rsid w:val="00CC57A6"/>
    <w:rsid w:val="00CC5CEE"/>
    <w:rsid w:val="00CC5D0C"/>
    <w:rsid w:val="00CC5F4C"/>
    <w:rsid w:val="00CC601C"/>
    <w:rsid w:val="00CC687D"/>
    <w:rsid w:val="00CC6BF4"/>
    <w:rsid w:val="00CC7067"/>
    <w:rsid w:val="00CC706F"/>
    <w:rsid w:val="00CC7C9F"/>
    <w:rsid w:val="00CC7F8C"/>
    <w:rsid w:val="00CD062C"/>
    <w:rsid w:val="00CD14AD"/>
    <w:rsid w:val="00CD21F2"/>
    <w:rsid w:val="00CD22FD"/>
    <w:rsid w:val="00CD24C9"/>
    <w:rsid w:val="00CD25A7"/>
    <w:rsid w:val="00CD2D5C"/>
    <w:rsid w:val="00CD33C8"/>
    <w:rsid w:val="00CD3D2B"/>
    <w:rsid w:val="00CD4020"/>
    <w:rsid w:val="00CD416A"/>
    <w:rsid w:val="00CD43F8"/>
    <w:rsid w:val="00CD49DB"/>
    <w:rsid w:val="00CD4C47"/>
    <w:rsid w:val="00CD520D"/>
    <w:rsid w:val="00CD56A2"/>
    <w:rsid w:val="00CD56DA"/>
    <w:rsid w:val="00CD6074"/>
    <w:rsid w:val="00CD61C5"/>
    <w:rsid w:val="00CD61F0"/>
    <w:rsid w:val="00CD62FF"/>
    <w:rsid w:val="00CD63CD"/>
    <w:rsid w:val="00CD66EB"/>
    <w:rsid w:val="00CD6B9B"/>
    <w:rsid w:val="00CD6D8F"/>
    <w:rsid w:val="00CD7741"/>
    <w:rsid w:val="00CD7AA5"/>
    <w:rsid w:val="00CE04B7"/>
    <w:rsid w:val="00CE08D1"/>
    <w:rsid w:val="00CE0B7F"/>
    <w:rsid w:val="00CE0C21"/>
    <w:rsid w:val="00CE16D2"/>
    <w:rsid w:val="00CE172A"/>
    <w:rsid w:val="00CE26E0"/>
    <w:rsid w:val="00CE2927"/>
    <w:rsid w:val="00CE338D"/>
    <w:rsid w:val="00CE3423"/>
    <w:rsid w:val="00CE35B4"/>
    <w:rsid w:val="00CE3E87"/>
    <w:rsid w:val="00CE4165"/>
    <w:rsid w:val="00CE456A"/>
    <w:rsid w:val="00CE4623"/>
    <w:rsid w:val="00CE52CD"/>
    <w:rsid w:val="00CE59A3"/>
    <w:rsid w:val="00CE5D34"/>
    <w:rsid w:val="00CE5D7C"/>
    <w:rsid w:val="00CE5E5C"/>
    <w:rsid w:val="00CE5ED4"/>
    <w:rsid w:val="00CE603D"/>
    <w:rsid w:val="00CE60E1"/>
    <w:rsid w:val="00CE6732"/>
    <w:rsid w:val="00CE6E8E"/>
    <w:rsid w:val="00CE70A7"/>
    <w:rsid w:val="00CE70D8"/>
    <w:rsid w:val="00CE7593"/>
    <w:rsid w:val="00CE775D"/>
    <w:rsid w:val="00CE7AB9"/>
    <w:rsid w:val="00CE7C16"/>
    <w:rsid w:val="00CE7EC5"/>
    <w:rsid w:val="00CF050F"/>
    <w:rsid w:val="00CF05C1"/>
    <w:rsid w:val="00CF0A2B"/>
    <w:rsid w:val="00CF0DF2"/>
    <w:rsid w:val="00CF0E72"/>
    <w:rsid w:val="00CF1379"/>
    <w:rsid w:val="00CF147D"/>
    <w:rsid w:val="00CF17E2"/>
    <w:rsid w:val="00CF1A4B"/>
    <w:rsid w:val="00CF1B86"/>
    <w:rsid w:val="00CF1FE4"/>
    <w:rsid w:val="00CF202C"/>
    <w:rsid w:val="00CF23FD"/>
    <w:rsid w:val="00CF2A55"/>
    <w:rsid w:val="00CF2AC5"/>
    <w:rsid w:val="00CF2E1E"/>
    <w:rsid w:val="00CF2ECC"/>
    <w:rsid w:val="00CF30BE"/>
    <w:rsid w:val="00CF3A3D"/>
    <w:rsid w:val="00CF3B36"/>
    <w:rsid w:val="00CF3C89"/>
    <w:rsid w:val="00CF48E1"/>
    <w:rsid w:val="00CF49DB"/>
    <w:rsid w:val="00CF5203"/>
    <w:rsid w:val="00CF525A"/>
    <w:rsid w:val="00CF5474"/>
    <w:rsid w:val="00CF59D8"/>
    <w:rsid w:val="00CF6193"/>
    <w:rsid w:val="00CF62AD"/>
    <w:rsid w:val="00CF648C"/>
    <w:rsid w:val="00CF7038"/>
    <w:rsid w:val="00CF7211"/>
    <w:rsid w:val="00CF7690"/>
    <w:rsid w:val="00CF798C"/>
    <w:rsid w:val="00CF7A0C"/>
    <w:rsid w:val="00CF7C03"/>
    <w:rsid w:val="00CF7E20"/>
    <w:rsid w:val="00CF7F80"/>
    <w:rsid w:val="00D005EB"/>
    <w:rsid w:val="00D0079D"/>
    <w:rsid w:val="00D009BE"/>
    <w:rsid w:val="00D011C2"/>
    <w:rsid w:val="00D01850"/>
    <w:rsid w:val="00D01A21"/>
    <w:rsid w:val="00D01F3A"/>
    <w:rsid w:val="00D02074"/>
    <w:rsid w:val="00D02B91"/>
    <w:rsid w:val="00D02CFF"/>
    <w:rsid w:val="00D02D7D"/>
    <w:rsid w:val="00D030B4"/>
    <w:rsid w:val="00D0311B"/>
    <w:rsid w:val="00D032F6"/>
    <w:rsid w:val="00D03FD0"/>
    <w:rsid w:val="00D04136"/>
    <w:rsid w:val="00D0492D"/>
    <w:rsid w:val="00D049D9"/>
    <w:rsid w:val="00D04A6E"/>
    <w:rsid w:val="00D04B22"/>
    <w:rsid w:val="00D04C59"/>
    <w:rsid w:val="00D04DDF"/>
    <w:rsid w:val="00D056A8"/>
    <w:rsid w:val="00D056FD"/>
    <w:rsid w:val="00D05760"/>
    <w:rsid w:val="00D05BEA"/>
    <w:rsid w:val="00D05C24"/>
    <w:rsid w:val="00D0660B"/>
    <w:rsid w:val="00D06B1F"/>
    <w:rsid w:val="00D07B54"/>
    <w:rsid w:val="00D07B76"/>
    <w:rsid w:val="00D07E74"/>
    <w:rsid w:val="00D1024E"/>
    <w:rsid w:val="00D103C1"/>
    <w:rsid w:val="00D10735"/>
    <w:rsid w:val="00D1093B"/>
    <w:rsid w:val="00D10A6F"/>
    <w:rsid w:val="00D11973"/>
    <w:rsid w:val="00D11F07"/>
    <w:rsid w:val="00D11F87"/>
    <w:rsid w:val="00D1217E"/>
    <w:rsid w:val="00D12DC7"/>
    <w:rsid w:val="00D12F55"/>
    <w:rsid w:val="00D13897"/>
    <w:rsid w:val="00D13F3D"/>
    <w:rsid w:val="00D14459"/>
    <w:rsid w:val="00D1455C"/>
    <w:rsid w:val="00D14872"/>
    <w:rsid w:val="00D1491E"/>
    <w:rsid w:val="00D14B63"/>
    <w:rsid w:val="00D14CBE"/>
    <w:rsid w:val="00D14DF7"/>
    <w:rsid w:val="00D14E52"/>
    <w:rsid w:val="00D14F5E"/>
    <w:rsid w:val="00D15244"/>
    <w:rsid w:val="00D154D2"/>
    <w:rsid w:val="00D15575"/>
    <w:rsid w:val="00D159BB"/>
    <w:rsid w:val="00D159E0"/>
    <w:rsid w:val="00D160B0"/>
    <w:rsid w:val="00D16185"/>
    <w:rsid w:val="00D165DF"/>
    <w:rsid w:val="00D1692E"/>
    <w:rsid w:val="00D16AF6"/>
    <w:rsid w:val="00D16CE3"/>
    <w:rsid w:val="00D2018D"/>
    <w:rsid w:val="00D20ADB"/>
    <w:rsid w:val="00D20F4A"/>
    <w:rsid w:val="00D2148E"/>
    <w:rsid w:val="00D2173F"/>
    <w:rsid w:val="00D2183D"/>
    <w:rsid w:val="00D21F5F"/>
    <w:rsid w:val="00D222AF"/>
    <w:rsid w:val="00D2265E"/>
    <w:rsid w:val="00D227F5"/>
    <w:rsid w:val="00D22A02"/>
    <w:rsid w:val="00D22D5F"/>
    <w:rsid w:val="00D231A1"/>
    <w:rsid w:val="00D23B73"/>
    <w:rsid w:val="00D23C13"/>
    <w:rsid w:val="00D24110"/>
    <w:rsid w:val="00D2451D"/>
    <w:rsid w:val="00D258F8"/>
    <w:rsid w:val="00D2591D"/>
    <w:rsid w:val="00D25AD5"/>
    <w:rsid w:val="00D25E04"/>
    <w:rsid w:val="00D25FDD"/>
    <w:rsid w:val="00D26A14"/>
    <w:rsid w:val="00D26B51"/>
    <w:rsid w:val="00D3026B"/>
    <w:rsid w:val="00D30406"/>
    <w:rsid w:val="00D3048C"/>
    <w:rsid w:val="00D30AEC"/>
    <w:rsid w:val="00D30CC6"/>
    <w:rsid w:val="00D31019"/>
    <w:rsid w:val="00D31441"/>
    <w:rsid w:val="00D31954"/>
    <w:rsid w:val="00D31CCC"/>
    <w:rsid w:val="00D31F5C"/>
    <w:rsid w:val="00D31FCF"/>
    <w:rsid w:val="00D32C66"/>
    <w:rsid w:val="00D32C93"/>
    <w:rsid w:val="00D3326E"/>
    <w:rsid w:val="00D33276"/>
    <w:rsid w:val="00D33600"/>
    <w:rsid w:val="00D33ADB"/>
    <w:rsid w:val="00D33B55"/>
    <w:rsid w:val="00D33F94"/>
    <w:rsid w:val="00D34006"/>
    <w:rsid w:val="00D34858"/>
    <w:rsid w:val="00D34F7C"/>
    <w:rsid w:val="00D354D6"/>
    <w:rsid w:val="00D355EA"/>
    <w:rsid w:val="00D35CC5"/>
    <w:rsid w:val="00D35E88"/>
    <w:rsid w:val="00D36394"/>
    <w:rsid w:val="00D36F1C"/>
    <w:rsid w:val="00D37728"/>
    <w:rsid w:val="00D3793F"/>
    <w:rsid w:val="00D379D8"/>
    <w:rsid w:val="00D37BAD"/>
    <w:rsid w:val="00D4012D"/>
    <w:rsid w:val="00D40289"/>
    <w:rsid w:val="00D402C7"/>
    <w:rsid w:val="00D40428"/>
    <w:rsid w:val="00D413C9"/>
    <w:rsid w:val="00D41D5A"/>
    <w:rsid w:val="00D4221D"/>
    <w:rsid w:val="00D42A55"/>
    <w:rsid w:val="00D42B3D"/>
    <w:rsid w:val="00D43118"/>
    <w:rsid w:val="00D43C5F"/>
    <w:rsid w:val="00D43D0D"/>
    <w:rsid w:val="00D44369"/>
    <w:rsid w:val="00D44986"/>
    <w:rsid w:val="00D44D0A"/>
    <w:rsid w:val="00D44EF5"/>
    <w:rsid w:val="00D44FC2"/>
    <w:rsid w:val="00D450C6"/>
    <w:rsid w:val="00D46406"/>
    <w:rsid w:val="00D4651B"/>
    <w:rsid w:val="00D46682"/>
    <w:rsid w:val="00D466ED"/>
    <w:rsid w:val="00D46B82"/>
    <w:rsid w:val="00D46E29"/>
    <w:rsid w:val="00D46F04"/>
    <w:rsid w:val="00D4702A"/>
    <w:rsid w:val="00D47268"/>
    <w:rsid w:val="00D47764"/>
    <w:rsid w:val="00D4778E"/>
    <w:rsid w:val="00D478B2"/>
    <w:rsid w:val="00D47CD4"/>
    <w:rsid w:val="00D47EEE"/>
    <w:rsid w:val="00D500FF"/>
    <w:rsid w:val="00D50F2E"/>
    <w:rsid w:val="00D51004"/>
    <w:rsid w:val="00D511A8"/>
    <w:rsid w:val="00D516EB"/>
    <w:rsid w:val="00D518A1"/>
    <w:rsid w:val="00D525A9"/>
    <w:rsid w:val="00D5273C"/>
    <w:rsid w:val="00D527D8"/>
    <w:rsid w:val="00D52D96"/>
    <w:rsid w:val="00D534A9"/>
    <w:rsid w:val="00D54A08"/>
    <w:rsid w:val="00D54ACC"/>
    <w:rsid w:val="00D54C8C"/>
    <w:rsid w:val="00D54ECB"/>
    <w:rsid w:val="00D55155"/>
    <w:rsid w:val="00D55406"/>
    <w:rsid w:val="00D55D7B"/>
    <w:rsid w:val="00D56610"/>
    <w:rsid w:val="00D56A31"/>
    <w:rsid w:val="00D56CDD"/>
    <w:rsid w:val="00D56E6A"/>
    <w:rsid w:val="00D56F24"/>
    <w:rsid w:val="00D575EA"/>
    <w:rsid w:val="00D60247"/>
    <w:rsid w:val="00D60CD6"/>
    <w:rsid w:val="00D61311"/>
    <w:rsid w:val="00D61686"/>
    <w:rsid w:val="00D61D0B"/>
    <w:rsid w:val="00D61D0F"/>
    <w:rsid w:val="00D61D91"/>
    <w:rsid w:val="00D61E0C"/>
    <w:rsid w:val="00D61ED0"/>
    <w:rsid w:val="00D61FDA"/>
    <w:rsid w:val="00D621BC"/>
    <w:rsid w:val="00D622C7"/>
    <w:rsid w:val="00D622F9"/>
    <w:rsid w:val="00D63318"/>
    <w:rsid w:val="00D63931"/>
    <w:rsid w:val="00D63A75"/>
    <w:rsid w:val="00D63D08"/>
    <w:rsid w:val="00D63F99"/>
    <w:rsid w:val="00D64351"/>
    <w:rsid w:val="00D647BF"/>
    <w:rsid w:val="00D65027"/>
    <w:rsid w:val="00D65191"/>
    <w:rsid w:val="00D651C4"/>
    <w:rsid w:val="00D65212"/>
    <w:rsid w:val="00D65313"/>
    <w:rsid w:val="00D65412"/>
    <w:rsid w:val="00D6597A"/>
    <w:rsid w:val="00D65E20"/>
    <w:rsid w:val="00D6630D"/>
    <w:rsid w:val="00D6647A"/>
    <w:rsid w:val="00D66ABB"/>
    <w:rsid w:val="00D67053"/>
    <w:rsid w:val="00D7046C"/>
    <w:rsid w:val="00D70A65"/>
    <w:rsid w:val="00D71206"/>
    <w:rsid w:val="00D7136F"/>
    <w:rsid w:val="00D71BA0"/>
    <w:rsid w:val="00D721B2"/>
    <w:rsid w:val="00D722A7"/>
    <w:rsid w:val="00D724C7"/>
    <w:rsid w:val="00D7270D"/>
    <w:rsid w:val="00D72919"/>
    <w:rsid w:val="00D72922"/>
    <w:rsid w:val="00D72C57"/>
    <w:rsid w:val="00D736E7"/>
    <w:rsid w:val="00D73959"/>
    <w:rsid w:val="00D739DC"/>
    <w:rsid w:val="00D73E4A"/>
    <w:rsid w:val="00D742D0"/>
    <w:rsid w:val="00D74386"/>
    <w:rsid w:val="00D74861"/>
    <w:rsid w:val="00D74903"/>
    <w:rsid w:val="00D74C00"/>
    <w:rsid w:val="00D753CC"/>
    <w:rsid w:val="00D75697"/>
    <w:rsid w:val="00D75BB3"/>
    <w:rsid w:val="00D75C21"/>
    <w:rsid w:val="00D75CF3"/>
    <w:rsid w:val="00D75EAD"/>
    <w:rsid w:val="00D75F29"/>
    <w:rsid w:val="00D76AFB"/>
    <w:rsid w:val="00D76C32"/>
    <w:rsid w:val="00D76E17"/>
    <w:rsid w:val="00D77676"/>
    <w:rsid w:val="00D80324"/>
    <w:rsid w:val="00D80745"/>
    <w:rsid w:val="00D80BE9"/>
    <w:rsid w:val="00D825AD"/>
    <w:rsid w:val="00D82AEF"/>
    <w:rsid w:val="00D82C38"/>
    <w:rsid w:val="00D83887"/>
    <w:rsid w:val="00D8450A"/>
    <w:rsid w:val="00D846FF"/>
    <w:rsid w:val="00D8497B"/>
    <w:rsid w:val="00D84B90"/>
    <w:rsid w:val="00D84C7E"/>
    <w:rsid w:val="00D84DB5"/>
    <w:rsid w:val="00D857D5"/>
    <w:rsid w:val="00D85935"/>
    <w:rsid w:val="00D862E7"/>
    <w:rsid w:val="00D86953"/>
    <w:rsid w:val="00D87307"/>
    <w:rsid w:val="00D87579"/>
    <w:rsid w:val="00D90230"/>
    <w:rsid w:val="00D9098A"/>
    <w:rsid w:val="00D90DFB"/>
    <w:rsid w:val="00D916C1"/>
    <w:rsid w:val="00D917E8"/>
    <w:rsid w:val="00D91A92"/>
    <w:rsid w:val="00D923C6"/>
    <w:rsid w:val="00D9289D"/>
    <w:rsid w:val="00D92F62"/>
    <w:rsid w:val="00D934ED"/>
    <w:rsid w:val="00D93711"/>
    <w:rsid w:val="00D93760"/>
    <w:rsid w:val="00D93963"/>
    <w:rsid w:val="00D93FF6"/>
    <w:rsid w:val="00D9411A"/>
    <w:rsid w:val="00D941C7"/>
    <w:rsid w:val="00D94410"/>
    <w:rsid w:val="00D9525A"/>
    <w:rsid w:val="00D959E1"/>
    <w:rsid w:val="00D95CA9"/>
    <w:rsid w:val="00D95E34"/>
    <w:rsid w:val="00D95F18"/>
    <w:rsid w:val="00D960CB"/>
    <w:rsid w:val="00D9662A"/>
    <w:rsid w:val="00D96ECD"/>
    <w:rsid w:val="00D97C6B"/>
    <w:rsid w:val="00D97D10"/>
    <w:rsid w:val="00D97E1D"/>
    <w:rsid w:val="00DA039E"/>
    <w:rsid w:val="00DA0A8C"/>
    <w:rsid w:val="00DA1266"/>
    <w:rsid w:val="00DA126B"/>
    <w:rsid w:val="00DA160A"/>
    <w:rsid w:val="00DA1631"/>
    <w:rsid w:val="00DA167F"/>
    <w:rsid w:val="00DA1A46"/>
    <w:rsid w:val="00DA1C6A"/>
    <w:rsid w:val="00DA1D6D"/>
    <w:rsid w:val="00DA20C6"/>
    <w:rsid w:val="00DA21BB"/>
    <w:rsid w:val="00DA2424"/>
    <w:rsid w:val="00DA27C2"/>
    <w:rsid w:val="00DA2DAB"/>
    <w:rsid w:val="00DA2FD1"/>
    <w:rsid w:val="00DA368D"/>
    <w:rsid w:val="00DA3879"/>
    <w:rsid w:val="00DA3906"/>
    <w:rsid w:val="00DA3E66"/>
    <w:rsid w:val="00DA48E0"/>
    <w:rsid w:val="00DA4A30"/>
    <w:rsid w:val="00DA4B38"/>
    <w:rsid w:val="00DA4B7B"/>
    <w:rsid w:val="00DA4DC5"/>
    <w:rsid w:val="00DA52A1"/>
    <w:rsid w:val="00DA537B"/>
    <w:rsid w:val="00DA54E4"/>
    <w:rsid w:val="00DA5799"/>
    <w:rsid w:val="00DA5824"/>
    <w:rsid w:val="00DA5E0C"/>
    <w:rsid w:val="00DA5F36"/>
    <w:rsid w:val="00DA61AB"/>
    <w:rsid w:val="00DA6BB5"/>
    <w:rsid w:val="00DA6D87"/>
    <w:rsid w:val="00DA720C"/>
    <w:rsid w:val="00DA744B"/>
    <w:rsid w:val="00DA7DEB"/>
    <w:rsid w:val="00DB06ED"/>
    <w:rsid w:val="00DB074A"/>
    <w:rsid w:val="00DB08FB"/>
    <w:rsid w:val="00DB0AAA"/>
    <w:rsid w:val="00DB0B07"/>
    <w:rsid w:val="00DB11D2"/>
    <w:rsid w:val="00DB1562"/>
    <w:rsid w:val="00DB1571"/>
    <w:rsid w:val="00DB16CE"/>
    <w:rsid w:val="00DB17F1"/>
    <w:rsid w:val="00DB18FF"/>
    <w:rsid w:val="00DB1BE8"/>
    <w:rsid w:val="00DB276C"/>
    <w:rsid w:val="00DB28E5"/>
    <w:rsid w:val="00DB2E35"/>
    <w:rsid w:val="00DB2F0B"/>
    <w:rsid w:val="00DB3481"/>
    <w:rsid w:val="00DB3489"/>
    <w:rsid w:val="00DB390A"/>
    <w:rsid w:val="00DB3BB4"/>
    <w:rsid w:val="00DB3EB6"/>
    <w:rsid w:val="00DB3FFC"/>
    <w:rsid w:val="00DB4155"/>
    <w:rsid w:val="00DB4327"/>
    <w:rsid w:val="00DB5776"/>
    <w:rsid w:val="00DB5C39"/>
    <w:rsid w:val="00DB6087"/>
    <w:rsid w:val="00DB6217"/>
    <w:rsid w:val="00DB6460"/>
    <w:rsid w:val="00DB6B4A"/>
    <w:rsid w:val="00DB7597"/>
    <w:rsid w:val="00DB797B"/>
    <w:rsid w:val="00DB7A9E"/>
    <w:rsid w:val="00DB7BEC"/>
    <w:rsid w:val="00DB7F9A"/>
    <w:rsid w:val="00DC04A1"/>
    <w:rsid w:val="00DC066A"/>
    <w:rsid w:val="00DC08D6"/>
    <w:rsid w:val="00DC0A98"/>
    <w:rsid w:val="00DC0AF9"/>
    <w:rsid w:val="00DC0D13"/>
    <w:rsid w:val="00DC1A9E"/>
    <w:rsid w:val="00DC20B2"/>
    <w:rsid w:val="00DC25B4"/>
    <w:rsid w:val="00DC27E7"/>
    <w:rsid w:val="00DC2981"/>
    <w:rsid w:val="00DC2E3D"/>
    <w:rsid w:val="00DC319F"/>
    <w:rsid w:val="00DC3893"/>
    <w:rsid w:val="00DC38E1"/>
    <w:rsid w:val="00DC3E6B"/>
    <w:rsid w:val="00DC4179"/>
    <w:rsid w:val="00DC477F"/>
    <w:rsid w:val="00DC52AD"/>
    <w:rsid w:val="00DC5462"/>
    <w:rsid w:val="00DC5A88"/>
    <w:rsid w:val="00DC5D14"/>
    <w:rsid w:val="00DC5E5B"/>
    <w:rsid w:val="00DC64DF"/>
    <w:rsid w:val="00DC7086"/>
    <w:rsid w:val="00DC7EA1"/>
    <w:rsid w:val="00DD03BD"/>
    <w:rsid w:val="00DD0474"/>
    <w:rsid w:val="00DD0D92"/>
    <w:rsid w:val="00DD1D38"/>
    <w:rsid w:val="00DD21D0"/>
    <w:rsid w:val="00DD2649"/>
    <w:rsid w:val="00DD36CF"/>
    <w:rsid w:val="00DD4178"/>
    <w:rsid w:val="00DD4955"/>
    <w:rsid w:val="00DD4ABF"/>
    <w:rsid w:val="00DD4E38"/>
    <w:rsid w:val="00DD4F32"/>
    <w:rsid w:val="00DD4FEB"/>
    <w:rsid w:val="00DD57C2"/>
    <w:rsid w:val="00DD6107"/>
    <w:rsid w:val="00DD688C"/>
    <w:rsid w:val="00DD702C"/>
    <w:rsid w:val="00DD7330"/>
    <w:rsid w:val="00DD788D"/>
    <w:rsid w:val="00DD7A7E"/>
    <w:rsid w:val="00DD7F2B"/>
    <w:rsid w:val="00DE0025"/>
    <w:rsid w:val="00DE0218"/>
    <w:rsid w:val="00DE0345"/>
    <w:rsid w:val="00DE050B"/>
    <w:rsid w:val="00DE071E"/>
    <w:rsid w:val="00DE0974"/>
    <w:rsid w:val="00DE0F52"/>
    <w:rsid w:val="00DE0FB8"/>
    <w:rsid w:val="00DE11B1"/>
    <w:rsid w:val="00DE1C1A"/>
    <w:rsid w:val="00DE2283"/>
    <w:rsid w:val="00DE22B2"/>
    <w:rsid w:val="00DE262B"/>
    <w:rsid w:val="00DE313B"/>
    <w:rsid w:val="00DE337E"/>
    <w:rsid w:val="00DE36B0"/>
    <w:rsid w:val="00DE3C99"/>
    <w:rsid w:val="00DE3FB4"/>
    <w:rsid w:val="00DE4092"/>
    <w:rsid w:val="00DE41CC"/>
    <w:rsid w:val="00DE433B"/>
    <w:rsid w:val="00DE43F0"/>
    <w:rsid w:val="00DE44E5"/>
    <w:rsid w:val="00DE4CA2"/>
    <w:rsid w:val="00DE4CBE"/>
    <w:rsid w:val="00DE633C"/>
    <w:rsid w:val="00DE63B0"/>
    <w:rsid w:val="00DE6490"/>
    <w:rsid w:val="00DE6598"/>
    <w:rsid w:val="00DE6789"/>
    <w:rsid w:val="00DE67B2"/>
    <w:rsid w:val="00DE6BC1"/>
    <w:rsid w:val="00DE6FEB"/>
    <w:rsid w:val="00DE7177"/>
    <w:rsid w:val="00DE73C1"/>
    <w:rsid w:val="00DE79EB"/>
    <w:rsid w:val="00DF0015"/>
    <w:rsid w:val="00DF01B0"/>
    <w:rsid w:val="00DF02CC"/>
    <w:rsid w:val="00DF02FD"/>
    <w:rsid w:val="00DF08B9"/>
    <w:rsid w:val="00DF0BDA"/>
    <w:rsid w:val="00DF0BDB"/>
    <w:rsid w:val="00DF0E03"/>
    <w:rsid w:val="00DF172A"/>
    <w:rsid w:val="00DF19EA"/>
    <w:rsid w:val="00DF1B37"/>
    <w:rsid w:val="00DF1D39"/>
    <w:rsid w:val="00DF1D73"/>
    <w:rsid w:val="00DF223F"/>
    <w:rsid w:val="00DF25F0"/>
    <w:rsid w:val="00DF2704"/>
    <w:rsid w:val="00DF309D"/>
    <w:rsid w:val="00DF36E0"/>
    <w:rsid w:val="00DF4756"/>
    <w:rsid w:val="00DF4805"/>
    <w:rsid w:val="00DF48C8"/>
    <w:rsid w:val="00DF49E0"/>
    <w:rsid w:val="00DF4A18"/>
    <w:rsid w:val="00DF4FA6"/>
    <w:rsid w:val="00DF5061"/>
    <w:rsid w:val="00DF543B"/>
    <w:rsid w:val="00DF58E8"/>
    <w:rsid w:val="00DF59D7"/>
    <w:rsid w:val="00DF5D7F"/>
    <w:rsid w:val="00DF6717"/>
    <w:rsid w:val="00DF67F0"/>
    <w:rsid w:val="00DF6DEB"/>
    <w:rsid w:val="00DF71A0"/>
    <w:rsid w:val="00DF7442"/>
    <w:rsid w:val="00E0041A"/>
    <w:rsid w:val="00E007FF"/>
    <w:rsid w:val="00E00A29"/>
    <w:rsid w:val="00E00A34"/>
    <w:rsid w:val="00E00B33"/>
    <w:rsid w:val="00E00CF3"/>
    <w:rsid w:val="00E00DC0"/>
    <w:rsid w:val="00E0113C"/>
    <w:rsid w:val="00E01485"/>
    <w:rsid w:val="00E02846"/>
    <w:rsid w:val="00E02AA1"/>
    <w:rsid w:val="00E02EDD"/>
    <w:rsid w:val="00E0391A"/>
    <w:rsid w:val="00E0397B"/>
    <w:rsid w:val="00E03A6D"/>
    <w:rsid w:val="00E03A9D"/>
    <w:rsid w:val="00E0466F"/>
    <w:rsid w:val="00E04738"/>
    <w:rsid w:val="00E04DCA"/>
    <w:rsid w:val="00E057A4"/>
    <w:rsid w:val="00E05AC1"/>
    <w:rsid w:val="00E05B15"/>
    <w:rsid w:val="00E05FEE"/>
    <w:rsid w:val="00E060FC"/>
    <w:rsid w:val="00E0621A"/>
    <w:rsid w:val="00E0631C"/>
    <w:rsid w:val="00E078BC"/>
    <w:rsid w:val="00E07B9A"/>
    <w:rsid w:val="00E07FD3"/>
    <w:rsid w:val="00E10681"/>
    <w:rsid w:val="00E10C97"/>
    <w:rsid w:val="00E1125F"/>
    <w:rsid w:val="00E1168C"/>
    <w:rsid w:val="00E11864"/>
    <w:rsid w:val="00E11BB4"/>
    <w:rsid w:val="00E11BDC"/>
    <w:rsid w:val="00E11BE1"/>
    <w:rsid w:val="00E11ECC"/>
    <w:rsid w:val="00E11F38"/>
    <w:rsid w:val="00E123D3"/>
    <w:rsid w:val="00E12607"/>
    <w:rsid w:val="00E138CE"/>
    <w:rsid w:val="00E13FA2"/>
    <w:rsid w:val="00E1408A"/>
    <w:rsid w:val="00E1439F"/>
    <w:rsid w:val="00E143B7"/>
    <w:rsid w:val="00E14674"/>
    <w:rsid w:val="00E15390"/>
    <w:rsid w:val="00E1572B"/>
    <w:rsid w:val="00E1591B"/>
    <w:rsid w:val="00E15F70"/>
    <w:rsid w:val="00E15FA9"/>
    <w:rsid w:val="00E162E4"/>
    <w:rsid w:val="00E16417"/>
    <w:rsid w:val="00E164DA"/>
    <w:rsid w:val="00E168CE"/>
    <w:rsid w:val="00E16C88"/>
    <w:rsid w:val="00E16D93"/>
    <w:rsid w:val="00E1735C"/>
    <w:rsid w:val="00E17412"/>
    <w:rsid w:val="00E17602"/>
    <w:rsid w:val="00E17B35"/>
    <w:rsid w:val="00E20353"/>
    <w:rsid w:val="00E20718"/>
    <w:rsid w:val="00E20740"/>
    <w:rsid w:val="00E2086A"/>
    <w:rsid w:val="00E21BB1"/>
    <w:rsid w:val="00E21C18"/>
    <w:rsid w:val="00E21CDC"/>
    <w:rsid w:val="00E21E96"/>
    <w:rsid w:val="00E2215F"/>
    <w:rsid w:val="00E22278"/>
    <w:rsid w:val="00E2252A"/>
    <w:rsid w:val="00E22C73"/>
    <w:rsid w:val="00E234F3"/>
    <w:rsid w:val="00E23B73"/>
    <w:rsid w:val="00E23D45"/>
    <w:rsid w:val="00E23EBF"/>
    <w:rsid w:val="00E24682"/>
    <w:rsid w:val="00E251CD"/>
    <w:rsid w:val="00E253BE"/>
    <w:rsid w:val="00E2554C"/>
    <w:rsid w:val="00E25663"/>
    <w:rsid w:val="00E256B6"/>
    <w:rsid w:val="00E25CFE"/>
    <w:rsid w:val="00E264C3"/>
    <w:rsid w:val="00E26773"/>
    <w:rsid w:val="00E26C37"/>
    <w:rsid w:val="00E26E34"/>
    <w:rsid w:val="00E270ED"/>
    <w:rsid w:val="00E27630"/>
    <w:rsid w:val="00E27716"/>
    <w:rsid w:val="00E2785A"/>
    <w:rsid w:val="00E27A49"/>
    <w:rsid w:val="00E27E92"/>
    <w:rsid w:val="00E302DF"/>
    <w:rsid w:val="00E30524"/>
    <w:rsid w:val="00E30E14"/>
    <w:rsid w:val="00E31336"/>
    <w:rsid w:val="00E31A4F"/>
    <w:rsid w:val="00E31BFE"/>
    <w:rsid w:val="00E31F11"/>
    <w:rsid w:val="00E31F3D"/>
    <w:rsid w:val="00E323B0"/>
    <w:rsid w:val="00E32936"/>
    <w:rsid w:val="00E32B16"/>
    <w:rsid w:val="00E32DE2"/>
    <w:rsid w:val="00E333D9"/>
    <w:rsid w:val="00E3362E"/>
    <w:rsid w:val="00E33C7C"/>
    <w:rsid w:val="00E33E6E"/>
    <w:rsid w:val="00E3401D"/>
    <w:rsid w:val="00E34206"/>
    <w:rsid w:val="00E34798"/>
    <w:rsid w:val="00E34C62"/>
    <w:rsid w:val="00E35363"/>
    <w:rsid w:val="00E356E6"/>
    <w:rsid w:val="00E356F1"/>
    <w:rsid w:val="00E36DD7"/>
    <w:rsid w:val="00E3742C"/>
    <w:rsid w:val="00E3744B"/>
    <w:rsid w:val="00E378D2"/>
    <w:rsid w:val="00E37A3C"/>
    <w:rsid w:val="00E37B09"/>
    <w:rsid w:val="00E37BF5"/>
    <w:rsid w:val="00E37C08"/>
    <w:rsid w:val="00E403E5"/>
    <w:rsid w:val="00E41041"/>
    <w:rsid w:val="00E417D8"/>
    <w:rsid w:val="00E41812"/>
    <w:rsid w:val="00E41A6D"/>
    <w:rsid w:val="00E41BCE"/>
    <w:rsid w:val="00E41D01"/>
    <w:rsid w:val="00E42235"/>
    <w:rsid w:val="00E423FC"/>
    <w:rsid w:val="00E425C5"/>
    <w:rsid w:val="00E42692"/>
    <w:rsid w:val="00E42A2C"/>
    <w:rsid w:val="00E42AD5"/>
    <w:rsid w:val="00E42B5C"/>
    <w:rsid w:val="00E42F85"/>
    <w:rsid w:val="00E43288"/>
    <w:rsid w:val="00E43464"/>
    <w:rsid w:val="00E43586"/>
    <w:rsid w:val="00E43662"/>
    <w:rsid w:val="00E4467C"/>
    <w:rsid w:val="00E44841"/>
    <w:rsid w:val="00E448AB"/>
    <w:rsid w:val="00E44CE0"/>
    <w:rsid w:val="00E4527B"/>
    <w:rsid w:val="00E4530A"/>
    <w:rsid w:val="00E45480"/>
    <w:rsid w:val="00E45702"/>
    <w:rsid w:val="00E45BE9"/>
    <w:rsid w:val="00E45C15"/>
    <w:rsid w:val="00E46313"/>
    <w:rsid w:val="00E46633"/>
    <w:rsid w:val="00E4707D"/>
    <w:rsid w:val="00E47121"/>
    <w:rsid w:val="00E479FB"/>
    <w:rsid w:val="00E47F88"/>
    <w:rsid w:val="00E50268"/>
    <w:rsid w:val="00E5074A"/>
    <w:rsid w:val="00E507EF"/>
    <w:rsid w:val="00E50DE3"/>
    <w:rsid w:val="00E5159D"/>
    <w:rsid w:val="00E51BF3"/>
    <w:rsid w:val="00E51E69"/>
    <w:rsid w:val="00E52096"/>
    <w:rsid w:val="00E5210A"/>
    <w:rsid w:val="00E522DB"/>
    <w:rsid w:val="00E52578"/>
    <w:rsid w:val="00E526B7"/>
    <w:rsid w:val="00E52DB4"/>
    <w:rsid w:val="00E52EED"/>
    <w:rsid w:val="00E531D9"/>
    <w:rsid w:val="00E5325B"/>
    <w:rsid w:val="00E53C0A"/>
    <w:rsid w:val="00E53D5D"/>
    <w:rsid w:val="00E53D8A"/>
    <w:rsid w:val="00E543C1"/>
    <w:rsid w:val="00E54672"/>
    <w:rsid w:val="00E549F4"/>
    <w:rsid w:val="00E54A8C"/>
    <w:rsid w:val="00E54C1A"/>
    <w:rsid w:val="00E55623"/>
    <w:rsid w:val="00E55BD5"/>
    <w:rsid w:val="00E55F69"/>
    <w:rsid w:val="00E56002"/>
    <w:rsid w:val="00E5636D"/>
    <w:rsid w:val="00E563FA"/>
    <w:rsid w:val="00E56BD2"/>
    <w:rsid w:val="00E56CBF"/>
    <w:rsid w:val="00E56E0F"/>
    <w:rsid w:val="00E57035"/>
    <w:rsid w:val="00E5717C"/>
    <w:rsid w:val="00E57602"/>
    <w:rsid w:val="00E57E78"/>
    <w:rsid w:val="00E57FB5"/>
    <w:rsid w:val="00E60398"/>
    <w:rsid w:val="00E606E4"/>
    <w:rsid w:val="00E60BF0"/>
    <w:rsid w:val="00E60DE3"/>
    <w:rsid w:val="00E611C7"/>
    <w:rsid w:val="00E6132B"/>
    <w:rsid w:val="00E6133E"/>
    <w:rsid w:val="00E61FB9"/>
    <w:rsid w:val="00E62377"/>
    <w:rsid w:val="00E62498"/>
    <w:rsid w:val="00E62B12"/>
    <w:rsid w:val="00E62F32"/>
    <w:rsid w:val="00E63904"/>
    <w:rsid w:val="00E63DBF"/>
    <w:rsid w:val="00E63FAA"/>
    <w:rsid w:val="00E6486F"/>
    <w:rsid w:val="00E64B73"/>
    <w:rsid w:val="00E65156"/>
    <w:rsid w:val="00E6527C"/>
    <w:rsid w:val="00E65BD9"/>
    <w:rsid w:val="00E65FD6"/>
    <w:rsid w:val="00E65FF3"/>
    <w:rsid w:val="00E668F7"/>
    <w:rsid w:val="00E66980"/>
    <w:rsid w:val="00E66BD7"/>
    <w:rsid w:val="00E66D7F"/>
    <w:rsid w:val="00E66DB8"/>
    <w:rsid w:val="00E66F80"/>
    <w:rsid w:val="00E66FCA"/>
    <w:rsid w:val="00E6710C"/>
    <w:rsid w:val="00E67172"/>
    <w:rsid w:val="00E671D7"/>
    <w:rsid w:val="00E67334"/>
    <w:rsid w:val="00E678A7"/>
    <w:rsid w:val="00E67B26"/>
    <w:rsid w:val="00E7028A"/>
    <w:rsid w:val="00E703A6"/>
    <w:rsid w:val="00E7047F"/>
    <w:rsid w:val="00E7080C"/>
    <w:rsid w:val="00E708F2"/>
    <w:rsid w:val="00E70AEE"/>
    <w:rsid w:val="00E71301"/>
    <w:rsid w:val="00E71398"/>
    <w:rsid w:val="00E71629"/>
    <w:rsid w:val="00E71ABF"/>
    <w:rsid w:val="00E729ED"/>
    <w:rsid w:val="00E72CCA"/>
    <w:rsid w:val="00E73197"/>
    <w:rsid w:val="00E73260"/>
    <w:rsid w:val="00E73328"/>
    <w:rsid w:val="00E73393"/>
    <w:rsid w:val="00E73638"/>
    <w:rsid w:val="00E7364A"/>
    <w:rsid w:val="00E73ADE"/>
    <w:rsid w:val="00E73BE3"/>
    <w:rsid w:val="00E74C03"/>
    <w:rsid w:val="00E74D75"/>
    <w:rsid w:val="00E74E86"/>
    <w:rsid w:val="00E75334"/>
    <w:rsid w:val="00E75A7D"/>
    <w:rsid w:val="00E76204"/>
    <w:rsid w:val="00E76558"/>
    <w:rsid w:val="00E76A76"/>
    <w:rsid w:val="00E76C84"/>
    <w:rsid w:val="00E77074"/>
    <w:rsid w:val="00E77D36"/>
    <w:rsid w:val="00E77E23"/>
    <w:rsid w:val="00E8022C"/>
    <w:rsid w:val="00E80341"/>
    <w:rsid w:val="00E80747"/>
    <w:rsid w:val="00E81286"/>
    <w:rsid w:val="00E818A8"/>
    <w:rsid w:val="00E819FE"/>
    <w:rsid w:val="00E81B9E"/>
    <w:rsid w:val="00E831A6"/>
    <w:rsid w:val="00E83545"/>
    <w:rsid w:val="00E83A73"/>
    <w:rsid w:val="00E83C52"/>
    <w:rsid w:val="00E842F3"/>
    <w:rsid w:val="00E845D0"/>
    <w:rsid w:val="00E85007"/>
    <w:rsid w:val="00E8523C"/>
    <w:rsid w:val="00E856F4"/>
    <w:rsid w:val="00E859F2"/>
    <w:rsid w:val="00E85E9E"/>
    <w:rsid w:val="00E8641A"/>
    <w:rsid w:val="00E8680B"/>
    <w:rsid w:val="00E86EEE"/>
    <w:rsid w:val="00E874A8"/>
    <w:rsid w:val="00E879AC"/>
    <w:rsid w:val="00E87EAF"/>
    <w:rsid w:val="00E9015A"/>
    <w:rsid w:val="00E90737"/>
    <w:rsid w:val="00E909B2"/>
    <w:rsid w:val="00E90D0B"/>
    <w:rsid w:val="00E91296"/>
    <w:rsid w:val="00E913B7"/>
    <w:rsid w:val="00E915AA"/>
    <w:rsid w:val="00E91FC9"/>
    <w:rsid w:val="00E920D2"/>
    <w:rsid w:val="00E927B7"/>
    <w:rsid w:val="00E9322A"/>
    <w:rsid w:val="00E93262"/>
    <w:rsid w:val="00E93282"/>
    <w:rsid w:val="00E9373D"/>
    <w:rsid w:val="00E9388D"/>
    <w:rsid w:val="00E93B8D"/>
    <w:rsid w:val="00E93B98"/>
    <w:rsid w:val="00E940CF"/>
    <w:rsid w:val="00E94BFC"/>
    <w:rsid w:val="00E94EB0"/>
    <w:rsid w:val="00E95786"/>
    <w:rsid w:val="00E959EE"/>
    <w:rsid w:val="00E95BB7"/>
    <w:rsid w:val="00E95EF1"/>
    <w:rsid w:val="00E96937"/>
    <w:rsid w:val="00E96B97"/>
    <w:rsid w:val="00E96E50"/>
    <w:rsid w:val="00E97031"/>
    <w:rsid w:val="00E97351"/>
    <w:rsid w:val="00EA0294"/>
    <w:rsid w:val="00EA07C4"/>
    <w:rsid w:val="00EA0B4A"/>
    <w:rsid w:val="00EA0E6C"/>
    <w:rsid w:val="00EA13A7"/>
    <w:rsid w:val="00EA1498"/>
    <w:rsid w:val="00EA1813"/>
    <w:rsid w:val="00EA18E3"/>
    <w:rsid w:val="00EA19E2"/>
    <w:rsid w:val="00EA1C55"/>
    <w:rsid w:val="00EA2DA7"/>
    <w:rsid w:val="00EA30B6"/>
    <w:rsid w:val="00EA3936"/>
    <w:rsid w:val="00EA3C8C"/>
    <w:rsid w:val="00EA3F90"/>
    <w:rsid w:val="00EA4523"/>
    <w:rsid w:val="00EA4577"/>
    <w:rsid w:val="00EA4932"/>
    <w:rsid w:val="00EA4DF9"/>
    <w:rsid w:val="00EA4EBD"/>
    <w:rsid w:val="00EA5374"/>
    <w:rsid w:val="00EA541D"/>
    <w:rsid w:val="00EA5B48"/>
    <w:rsid w:val="00EA5D95"/>
    <w:rsid w:val="00EA60BC"/>
    <w:rsid w:val="00EA61F5"/>
    <w:rsid w:val="00EA6240"/>
    <w:rsid w:val="00EA650B"/>
    <w:rsid w:val="00EA682D"/>
    <w:rsid w:val="00EA7A54"/>
    <w:rsid w:val="00EA7DFE"/>
    <w:rsid w:val="00EA7FF8"/>
    <w:rsid w:val="00EB009A"/>
    <w:rsid w:val="00EB076F"/>
    <w:rsid w:val="00EB0D81"/>
    <w:rsid w:val="00EB18E0"/>
    <w:rsid w:val="00EB1907"/>
    <w:rsid w:val="00EB1CB6"/>
    <w:rsid w:val="00EB1E29"/>
    <w:rsid w:val="00EB2133"/>
    <w:rsid w:val="00EB2714"/>
    <w:rsid w:val="00EB2749"/>
    <w:rsid w:val="00EB2E33"/>
    <w:rsid w:val="00EB344B"/>
    <w:rsid w:val="00EB34AF"/>
    <w:rsid w:val="00EB3AD5"/>
    <w:rsid w:val="00EB3D63"/>
    <w:rsid w:val="00EB4213"/>
    <w:rsid w:val="00EB4323"/>
    <w:rsid w:val="00EB44C5"/>
    <w:rsid w:val="00EB4753"/>
    <w:rsid w:val="00EB487D"/>
    <w:rsid w:val="00EB4A0A"/>
    <w:rsid w:val="00EB4DE4"/>
    <w:rsid w:val="00EB52CA"/>
    <w:rsid w:val="00EB530B"/>
    <w:rsid w:val="00EB5547"/>
    <w:rsid w:val="00EB593D"/>
    <w:rsid w:val="00EB672E"/>
    <w:rsid w:val="00EB6C4A"/>
    <w:rsid w:val="00EB702D"/>
    <w:rsid w:val="00EB7188"/>
    <w:rsid w:val="00EB7299"/>
    <w:rsid w:val="00EB7304"/>
    <w:rsid w:val="00EB78C0"/>
    <w:rsid w:val="00EB7EC1"/>
    <w:rsid w:val="00EB7F7A"/>
    <w:rsid w:val="00EC0022"/>
    <w:rsid w:val="00EC042F"/>
    <w:rsid w:val="00EC0797"/>
    <w:rsid w:val="00EC0AE7"/>
    <w:rsid w:val="00EC0C9C"/>
    <w:rsid w:val="00EC0DDC"/>
    <w:rsid w:val="00EC1145"/>
    <w:rsid w:val="00EC11D1"/>
    <w:rsid w:val="00EC14D6"/>
    <w:rsid w:val="00EC1B46"/>
    <w:rsid w:val="00EC2652"/>
    <w:rsid w:val="00EC28D9"/>
    <w:rsid w:val="00EC30E9"/>
    <w:rsid w:val="00EC3112"/>
    <w:rsid w:val="00EC33B4"/>
    <w:rsid w:val="00EC3697"/>
    <w:rsid w:val="00EC3C3C"/>
    <w:rsid w:val="00EC4616"/>
    <w:rsid w:val="00EC4CFC"/>
    <w:rsid w:val="00EC4DCB"/>
    <w:rsid w:val="00EC4F8E"/>
    <w:rsid w:val="00EC53E2"/>
    <w:rsid w:val="00EC599B"/>
    <w:rsid w:val="00EC5E16"/>
    <w:rsid w:val="00EC60DD"/>
    <w:rsid w:val="00EC6936"/>
    <w:rsid w:val="00EC6AC8"/>
    <w:rsid w:val="00EC6BB2"/>
    <w:rsid w:val="00EC6C52"/>
    <w:rsid w:val="00EC7661"/>
    <w:rsid w:val="00EC7835"/>
    <w:rsid w:val="00EC79D1"/>
    <w:rsid w:val="00ED00D4"/>
    <w:rsid w:val="00ED0673"/>
    <w:rsid w:val="00ED0737"/>
    <w:rsid w:val="00ED0B8A"/>
    <w:rsid w:val="00ED0FBD"/>
    <w:rsid w:val="00ED1208"/>
    <w:rsid w:val="00ED1486"/>
    <w:rsid w:val="00ED20F1"/>
    <w:rsid w:val="00ED20FA"/>
    <w:rsid w:val="00ED24BB"/>
    <w:rsid w:val="00ED2B48"/>
    <w:rsid w:val="00ED2E73"/>
    <w:rsid w:val="00ED33F3"/>
    <w:rsid w:val="00ED3666"/>
    <w:rsid w:val="00ED3C5B"/>
    <w:rsid w:val="00ED4696"/>
    <w:rsid w:val="00ED4A80"/>
    <w:rsid w:val="00ED5445"/>
    <w:rsid w:val="00ED5719"/>
    <w:rsid w:val="00ED5D9F"/>
    <w:rsid w:val="00ED64B1"/>
    <w:rsid w:val="00ED690D"/>
    <w:rsid w:val="00ED6B77"/>
    <w:rsid w:val="00ED6C0D"/>
    <w:rsid w:val="00ED70F8"/>
    <w:rsid w:val="00ED713A"/>
    <w:rsid w:val="00ED726D"/>
    <w:rsid w:val="00ED75BD"/>
    <w:rsid w:val="00ED7874"/>
    <w:rsid w:val="00ED7CF3"/>
    <w:rsid w:val="00ED7EA2"/>
    <w:rsid w:val="00EE0262"/>
    <w:rsid w:val="00EE02C7"/>
    <w:rsid w:val="00EE0E37"/>
    <w:rsid w:val="00EE11DD"/>
    <w:rsid w:val="00EE1451"/>
    <w:rsid w:val="00EE1E0A"/>
    <w:rsid w:val="00EE2916"/>
    <w:rsid w:val="00EE2A3B"/>
    <w:rsid w:val="00EE2F30"/>
    <w:rsid w:val="00EE2F63"/>
    <w:rsid w:val="00EE3083"/>
    <w:rsid w:val="00EE38E2"/>
    <w:rsid w:val="00EE3B95"/>
    <w:rsid w:val="00EE3E25"/>
    <w:rsid w:val="00EE4272"/>
    <w:rsid w:val="00EE4547"/>
    <w:rsid w:val="00EE4583"/>
    <w:rsid w:val="00EE4701"/>
    <w:rsid w:val="00EE4A89"/>
    <w:rsid w:val="00EE4F5F"/>
    <w:rsid w:val="00EE5068"/>
    <w:rsid w:val="00EE5A1D"/>
    <w:rsid w:val="00EE6635"/>
    <w:rsid w:val="00EE6BA0"/>
    <w:rsid w:val="00EE6BEF"/>
    <w:rsid w:val="00EE6DD5"/>
    <w:rsid w:val="00EE7171"/>
    <w:rsid w:val="00EE719E"/>
    <w:rsid w:val="00EE723B"/>
    <w:rsid w:val="00EE76A9"/>
    <w:rsid w:val="00EE78A8"/>
    <w:rsid w:val="00EE7936"/>
    <w:rsid w:val="00EE79D8"/>
    <w:rsid w:val="00EE7DE6"/>
    <w:rsid w:val="00EF052B"/>
    <w:rsid w:val="00EF05A1"/>
    <w:rsid w:val="00EF0F8D"/>
    <w:rsid w:val="00EF140B"/>
    <w:rsid w:val="00EF15AF"/>
    <w:rsid w:val="00EF1603"/>
    <w:rsid w:val="00EF179B"/>
    <w:rsid w:val="00EF18D5"/>
    <w:rsid w:val="00EF1CAF"/>
    <w:rsid w:val="00EF28B5"/>
    <w:rsid w:val="00EF2B50"/>
    <w:rsid w:val="00EF2F5F"/>
    <w:rsid w:val="00EF32BF"/>
    <w:rsid w:val="00EF3345"/>
    <w:rsid w:val="00EF361F"/>
    <w:rsid w:val="00EF389F"/>
    <w:rsid w:val="00EF3A1D"/>
    <w:rsid w:val="00EF3DCD"/>
    <w:rsid w:val="00EF42B9"/>
    <w:rsid w:val="00EF47BD"/>
    <w:rsid w:val="00EF4D2F"/>
    <w:rsid w:val="00EF4FE8"/>
    <w:rsid w:val="00EF5BEE"/>
    <w:rsid w:val="00EF60F9"/>
    <w:rsid w:val="00EF61C6"/>
    <w:rsid w:val="00EF623B"/>
    <w:rsid w:val="00EF65E0"/>
    <w:rsid w:val="00EF7004"/>
    <w:rsid w:val="00EF7158"/>
    <w:rsid w:val="00EF79C1"/>
    <w:rsid w:val="00EF7CBF"/>
    <w:rsid w:val="00EF7EF8"/>
    <w:rsid w:val="00F00025"/>
    <w:rsid w:val="00F000F0"/>
    <w:rsid w:val="00F007F6"/>
    <w:rsid w:val="00F00F4E"/>
    <w:rsid w:val="00F01A26"/>
    <w:rsid w:val="00F01AD2"/>
    <w:rsid w:val="00F01BC1"/>
    <w:rsid w:val="00F01F29"/>
    <w:rsid w:val="00F02066"/>
    <w:rsid w:val="00F02124"/>
    <w:rsid w:val="00F02785"/>
    <w:rsid w:val="00F02A7F"/>
    <w:rsid w:val="00F032F3"/>
    <w:rsid w:val="00F035F8"/>
    <w:rsid w:val="00F03CB3"/>
    <w:rsid w:val="00F043EA"/>
    <w:rsid w:val="00F044B5"/>
    <w:rsid w:val="00F04AAD"/>
    <w:rsid w:val="00F04F49"/>
    <w:rsid w:val="00F057AF"/>
    <w:rsid w:val="00F05C76"/>
    <w:rsid w:val="00F05D10"/>
    <w:rsid w:val="00F05F70"/>
    <w:rsid w:val="00F06787"/>
    <w:rsid w:val="00F067E8"/>
    <w:rsid w:val="00F06F03"/>
    <w:rsid w:val="00F07164"/>
    <w:rsid w:val="00F07359"/>
    <w:rsid w:val="00F1073B"/>
    <w:rsid w:val="00F10C53"/>
    <w:rsid w:val="00F10E10"/>
    <w:rsid w:val="00F10FAA"/>
    <w:rsid w:val="00F115AD"/>
    <w:rsid w:val="00F11601"/>
    <w:rsid w:val="00F117D6"/>
    <w:rsid w:val="00F119EA"/>
    <w:rsid w:val="00F11FDC"/>
    <w:rsid w:val="00F126EE"/>
    <w:rsid w:val="00F12833"/>
    <w:rsid w:val="00F12C46"/>
    <w:rsid w:val="00F12EC3"/>
    <w:rsid w:val="00F13506"/>
    <w:rsid w:val="00F13760"/>
    <w:rsid w:val="00F13C51"/>
    <w:rsid w:val="00F14187"/>
    <w:rsid w:val="00F144A1"/>
    <w:rsid w:val="00F14C16"/>
    <w:rsid w:val="00F1552D"/>
    <w:rsid w:val="00F15655"/>
    <w:rsid w:val="00F156DD"/>
    <w:rsid w:val="00F1578A"/>
    <w:rsid w:val="00F159A9"/>
    <w:rsid w:val="00F1634D"/>
    <w:rsid w:val="00F16573"/>
    <w:rsid w:val="00F16B34"/>
    <w:rsid w:val="00F171F3"/>
    <w:rsid w:val="00F1737D"/>
    <w:rsid w:val="00F17BC8"/>
    <w:rsid w:val="00F17EBD"/>
    <w:rsid w:val="00F17ED4"/>
    <w:rsid w:val="00F20A46"/>
    <w:rsid w:val="00F20CD4"/>
    <w:rsid w:val="00F20E76"/>
    <w:rsid w:val="00F20FAC"/>
    <w:rsid w:val="00F2109E"/>
    <w:rsid w:val="00F217BD"/>
    <w:rsid w:val="00F226DA"/>
    <w:rsid w:val="00F23E0E"/>
    <w:rsid w:val="00F23EBF"/>
    <w:rsid w:val="00F24052"/>
    <w:rsid w:val="00F244EB"/>
    <w:rsid w:val="00F2489B"/>
    <w:rsid w:val="00F2509A"/>
    <w:rsid w:val="00F25394"/>
    <w:rsid w:val="00F256C8"/>
    <w:rsid w:val="00F25E5E"/>
    <w:rsid w:val="00F25F7B"/>
    <w:rsid w:val="00F2645B"/>
    <w:rsid w:val="00F264FF"/>
    <w:rsid w:val="00F26792"/>
    <w:rsid w:val="00F26834"/>
    <w:rsid w:val="00F26CE3"/>
    <w:rsid w:val="00F26D53"/>
    <w:rsid w:val="00F26DEE"/>
    <w:rsid w:val="00F26ECA"/>
    <w:rsid w:val="00F27051"/>
    <w:rsid w:val="00F2762F"/>
    <w:rsid w:val="00F276C4"/>
    <w:rsid w:val="00F27AE4"/>
    <w:rsid w:val="00F27B2C"/>
    <w:rsid w:val="00F27C60"/>
    <w:rsid w:val="00F27D14"/>
    <w:rsid w:val="00F27E68"/>
    <w:rsid w:val="00F27ED6"/>
    <w:rsid w:val="00F309B1"/>
    <w:rsid w:val="00F31720"/>
    <w:rsid w:val="00F31B29"/>
    <w:rsid w:val="00F31C43"/>
    <w:rsid w:val="00F31CA0"/>
    <w:rsid w:val="00F320E4"/>
    <w:rsid w:val="00F32369"/>
    <w:rsid w:val="00F32878"/>
    <w:rsid w:val="00F32DFA"/>
    <w:rsid w:val="00F32EC5"/>
    <w:rsid w:val="00F32F62"/>
    <w:rsid w:val="00F33054"/>
    <w:rsid w:val="00F33324"/>
    <w:rsid w:val="00F334F0"/>
    <w:rsid w:val="00F336D4"/>
    <w:rsid w:val="00F3371E"/>
    <w:rsid w:val="00F33773"/>
    <w:rsid w:val="00F340A9"/>
    <w:rsid w:val="00F3469A"/>
    <w:rsid w:val="00F349EC"/>
    <w:rsid w:val="00F34B72"/>
    <w:rsid w:val="00F34E94"/>
    <w:rsid w:val="00F353F5"/>
    <w:rsid w:val="00F361E3"/>
    <w:rsid w:val="00F363B0"/>
    <w:rsid w:val="00F365B2"/>
    <w:rsid w:val="00F366F1"/>
    <w:rsid w:val="00F37077"/>
    <w:rsid w:val="00F371EF"/>
    <w:rsid w:val="00F37739"/>
    <w:rsid w:val="00F37D2F"/>
    <w:rsid w:val="00F37EB8"/>
    <w:rsid w:val="00F407E9"/>
    <w:rsid w:val="00F409D2"/>
    <w:rsid w:val="00F40C19"/>
    <w:rsid w:val="00F41309"/>
    <w:rsid w:val="00F4151A"/>
    <w:rsid w:val="00F41890"/>
    <w:rsid w:val="00F41C23"/>
    <w:rsid w:val="00F4231D"/>
    <w:rsid w:val="00F42633"/>
    <w:rsid w:val="00F4290E"/>
    <w:rsid w:val="00F42A68"/>
    <w:rsid w:val="00F43064"/>
    <w:rsid w:val="00F43BA1"/>
    <w:rsid w:val="00F43F50"/>
    <w:rsid w:val="00F443E2"/>
    <w:rsid w:val="00F44611"/>
    <w:rsid w:val="00F44C20"/>
    <w:rsid w:val="00F45407"/>
    <w:rsid w:val="00F455AA"/>
    <w:rsid w:val="00F4637C"/>
    <w:rsid w:val="00F46EA6"/>
    <w:rsid w:val="00F46F5E"/>
    <w:rsid w:val="00F470E5"/>
    <w:rsid w:val="00F47438"/>
    <w:rsid w:val="00F47BF3"/>
    <w:rsid w:val="00F47DF6"/>
    <w:rsid w:val="00F500C2"/>
    <w:rsid w:val="00F502E5"/>
    <w:rsid w:val="00F50349"/>
    <w:rsid w:val="00F503F2"/>
    <w:rsid w:val="00F5055F"/>
    <w:rsid w:val="00F506AE"/>
    <w:rsid w:val="00F5074D"/>
    <w:rsid w:val="00F50AB7"/>
    <w:rsid w:val="00F5149F"/>
    <w:rsid w:val="00F5175D"/>
    <w:rsid w:val="00F519D6"/>
    <w:rsid w:val="00F51B79"/>
    <w:rsid w:val="00F51C84"/>
    <w:rsid w:val="00F52354"/>
    <w:rsid w:val="00F528C7"/>
    <w:rsid w:val="00F52E6A"/>
    <w:rsid w:val="00F53CC2"/>
    <w:rsid w:val="00F53D18"/>
    <w:rsid w:val="00F54496"/>
    <w:rsid w:val="00F544D1"/>
    <w:rsid w:val="00F546A8"/>
    <w:rsid w:val="00F546DE"/>
    <w:rsid w:val="00F5473A"/>
    <w:rsid w:val="00F552DF"/>
    <w:rsid w:val="00F55505"/>
    <w:rsid w:val="00F55685"/>
    <w:rsid w:val="00F558C7"/>
    <w:rsid w:val="00F55C1E"/>
    <w:rsid w:val="00F55D26"/>
    <w:rsid w:val="00F562B9"/>
    <w:rsid w:val="00F56931"/>
    <w:rsid w:val="00F56ACA"/>
    <w:rsid w:val="00F56D46"/>
    <w:rsid w:val="00F56D87"/>
    <w:rsid w:val="00F5727A"/>
    <w:rsid w:val="00F574BF"/>
    <w:rsid w:val="00F578CC"/>
    <w:rsid w:val="00F57B5C"/>
    <w:rsid w:val="00F57DAE"/>
    <w:rsid w:val="00F60076"/>
    <w:rsid w:val="00F60D56"/>
    <w:rsid w:val="00F61311"/>
    <w:rsid w:val="00F613A0"/>
    <w:rsid w:val="00F6175B"/>
    <w:rsid w:val="00F61B36"/>
    <w:rsid w:val="00F62133"/>
    <w:rsid w:val="00F62D55"/>
    <w:rsid w:val="00F63031"/>
    <w:rsid w:val="00F631C7"/>
    <w:rsid w:val="00F64502"/>
    <w:rsid w:val="00F647DE"/>
    <w:rsid w:val="00F64BFE"/>
    <w:rsid w:val="00F64C24"/>
    <w:rsid w:val="00F64CDB"/>
    <w:rsid w:val="00F65330"/>
    <w:rsid w:val="00F657AE"/>
    <w:rsid w:val="00F6595F"/>
    <w:rsid w:val="00F65A88"/>
    <w:rsid w:val="00F65B2B"/>
    <w:rsid w:val="00F65B83"/>
    <w:rsid w:val="00F65BB1"/>
    <w:rsid w:val="00F6705D"/>
    <w:rsid w:val="00F67345"/>
    <w:rsid w:val="00F6738D"/>
    <w:rsid w:val="00F673BE"/>
    <w:rsid w:val="00F7080C"/>
    <w:rsid w:val="00F709FD"/>
    <w:rsid w:val="00F70CB2"/>
    <w:rsid w:val="00F712FE"/>
    <w:rsid w:val="00F7171F"/>
    <w:rsid w:val="00F718C9"/>
    <w:rsid w:val="00F71D4D"/>
    <w:rsid w:val="00F71E4C"/>
    <w:rsid w:val="00F7283D"/>
    <w:rsid w:val="00F72C03"/>
    <w:rsid w:val="00F73162"/>
    <w:rsid w:val="00F736A0"/>
    <w:rsid w:val="00F736F7"/>
    <w:rsid w:val="00F73E5C"/>
    <w:rsid w:val="00F74694"/>
    <w:rsid w:val="00F74856"/>
    <w:rsid w:val="00F74910"/>
    <w:rsid w:val="00F75679"/>
    <w:rsid w:val="00F75AA0"/>
    <w:rsid w:val="00F80156"/>
    <w:rsid w:val="00F8042A"/>
    <w:rsid w:val="00F808A8"/>
    <w:rsid w:val="00F80E85"/>
    <w:rsid w:val="00F8153C"/>
    <w:rsid w:val="00F81D2A"/>
    <w:rsid w:val="00F821F0"/>
    <w:rsid w:val="00F82580"/>
    <w:rsid w:val="00F827A8"/>
    <w:rsid w:val="00F82D09"/>
    <w:rsid w:val="00F835FF"/>
    <w:rsid w:val="00F836D4"/>
    <w:rsid w:val="00F8375A"/>
    <w:rsid w:val="00F839B3"/>
    <w:rsid w:val="00F83A2C"/>
    <w:rsid w:val="00F83B25"/>
    <w:rsid w:val="00F83D5D"/>
    <w:rsid w:val="00F83DC2"/>
    <w:rsid w:val="00F83F5E"/>
    <w:rsid w:val="00F842C5"/>
    <w:rsid w:val="00F84393"/>
    <w:rsid w:val="00F845BF"/>
    <w:rsid w:val="00F8496D"/>
    <w:rsid w:val="00F84BA4"/>
    <w:rsid w:val="00F84BCE"/>
    <w:rsid w:val="00F84C8D"/>
    <w:rsid w:val="00F851F3"/>
    <w:rsid w:val="00F8540E"/>
    <w:rsid w:val="00F854A6"/>
    <w:rsid w:val="00F8577F"/>
    <w:rsid w:val="00F857E0"/>
    <w:rsid w:val="00F85D6D"/>
    <w:rsid w:val="00F85F43"/>
    <w:rsid w:val="00F861DB"/>
    <w:rsid w:val="00F86774"/>
    <w:rsid w:val="00F870A5"/>
    <w:rsid w:val="00F8725D"/>
    <w:rsid w:val="00F8770F"/>
    <w:rsid w:val="00F87A98"/>
    <w:rsid w:val="00F87EC3"/>
    <w:rsid w:val="00F907BC"/>
    <w:rsid w:val="00F9086B"/>
    <w:rsid w:val="00F90FDB"/>
    <w:rsid w:val="00F91334"/>
    <w:rsid w:val="00F91D3B"/>
    <w:rsid w:val="00F92193"/>
    <w:rsid w:val="00F9253F"/>
    <w:rsid w:val="00F92606"/>
    <w:rsid w:val="00F926D8"/>
    <w:rsid w:val="00F93582"/>
    <w:rsid w:val="00F935D2"/>
    <w:rsid w:val="00F93C05"/>
    <w:rsid w:val="00F93C65"/>
    <w:rsid w:val="00F93F42"/>
    <w:rsid w:val="00F94120"/>
    <w:rsid w:val="00F94184"/>
    <w:rsid w:val="00F956C3"/>
    <w:rsid w:val="00F95F7F"/>
    <w:rsid w:val="00F96410"/>
    <w:rsid w:val="00F96566"/>
    <w:rsid w:val="00F9656B"/>
    <w:rsid w:val="00F96AC0"/>
    <w:rsid w:val="00F9759D"/>
    <w:rsid w:val="00F97648"/>
    <w:rsid w:val="00F97673"/>
    <w:rsid w:val="00F97AED"/>
    <w:rsid w:val="00F97EA4"/>
    <w:rsid w:val="00FA009E"/>
    <w:rsid w:val="00FA0456"/>
    <w:rsid w:val="00FA0466"/>
    <w:rsid w:val="00FA05FD"/>
    <w:rsid w:val="00FA0679"/>
    <w:rsid w:val="00FA0C5C"/>
    <w:rsid w:val="00FA0CBD"/>
    <w:rsid w:val="00FA0CD8"/>
    <w:rsid w:val="00FA0F7A"/>
    <w:rsid w:val="00FA1E3A"/>
    <w:rsid w:val="00FA1F59"/>
    <w:rsid w:val="00FA2722"/>
    <w:rsid w:val="00FA2806"/>
    <w:rsid w:val="00FA28E3"/>
    <w:rsid w:val="00FA2BBC"/>
    <w:rsid w:val="00FA2E8E"/>
    <w:rsid w:val="00FA2ED9"/>
    <w:rsid w:val="00FA3D23"/>
    <w:rsid w:val="00FA3F3E"/>
    <w:rsid w:val="00FA45CF"/>
    <w:rsid w:val="00FA4795"/>
    <w:rsid w:val="00FA4977"/>
    <w:rsid w:val="00FA4FD2"/>
    <w:rsid w:val="00FA5728"/>
    <w:rsid w:val="00FA6211"/>
    <w:rsid w:val="00FA66B0"/>
    <w:rsid w:val="00FA6746"/>
    <w:rsid w:val="00FA6C2A"/>
    <w:rsid w:val="00FA7283"/>
    <w:rsid w:val="00FA7486"/>
    <w:rsid w:val="00FA7DCE"/>
    <w:rsid w:val="00FB016E"/>
    <w:rsid w:val="00FB0295"/>
    <w:rsid w:val="00FB0854"/>
    <w:rsid w:val="00FB10F7"/>
    <w:rsid w:val="00FB1539"/>
    <w:rsid w:val="00FB1D6A"/>
    <w:rsid w:val="00FB2136"/>
    <w:rsid w:val="00FB239C"/>
    <w:rsid w:val="00FB23B0"/>
    <w:rsid w:val="00FB2E5E"/>
    <w:rsid w:val="00FB3379"/>
    <w:rsid w:val="00FB3828"/>
    <w:rsid w:val="00FB3BC7"/>
    <w:rsid w:val="00FB3CB4"/>
    <w:rsid w:val="00FB3E6C"/>
    <w:rsid w:val="00FB4077"/>
    <w:rsid w:val="00FB4572"/>
    <w:rsid w:val="00FB45BB"/>
    <w:rsid w:val="00FB4675"/>
    <w:rsid w:val="00FB46DA"/>
    <w:rsid w:val="00FB4DEA"/>
    <w:rsid w:val="00FB4F7F"/>
    <w:rsid w:val="00FB4FC3"/>
    <w:rsid w:val="00FB5030"/>
    <w:rsid w:val="00FB55D6"/>
    <w:rsid w:val="00FB55E3"/>
    <w:rsid w:val="00FB5D02"/>
    <w:rsid w:val="00FB5F8C"/>
    <w:rsid w:val="00FB624B"/>
    <w:rsid w:val="00FB624E"/>
    <w:rsid w:val="00FB681E"/>
    <w:rsid w:val="00FB6BDE"/>
    <w:rsid w:val="00FB7BDD"/>
    <w:rsid w:val="00FB7FA6"/>
    <w:rsid w:val="00FC02CA"/>
    <w:rsid w:val="00FC03DE"/>
    <w:rsid w:val="00FC04AF"/>
    <w:rsid w:val="00FC061E"/>
    <w:rsid w:val="00FC084D"/>
    <w:rsid w:val="00FC0BA7"/>
    <w:rsid w:val="00FC0D18"/>
    <w:rsid w:val="00FC1212"/>
    <w:rsid w:val="00FC142D"/>
    <w:rsid w:val="00FC168E"/>
    <w:rsid w:val="00FC205A"/>
    <w:rsid w:val="00FC2474"/>
    <w:rsid w:val="00FC25F7"/>
    <w:rsid w:val="00FC2A93"/>
    <w:rsid w:val="00FC2D5C"/>
    <w:rsid w:val="00FC2D62"/>
    <w:rsid w:val="00FC2DB2"/>
    <w:rsid w:val="00FC2E50"/>
    <w:rsid w:val="00FC30BC"/>
    <w:rsid w:val="00FC3221"/>
    <w:rsid w:val="00FC3338"/>
    <w:rsid w:val="00FC3609"/>
    <w:rsid w:val="00FC37DD"/>
    <w:rsid w:val="00FC38C5"/>
    <w:rsid w:val="00FC3DCE"/>
    <w:rsid w:val="00FC3FE3"/>
    <w:rsid w:val="00FC3FEF"/>
    <w:rsid w:val="00FC4276"/>
    <w:rsid w:val="00FC43E4"/>
    <w:rsid w:val="00FC466F"/>
    <w:rsid w:val="00FC46B9"/>
    <w:rsid w:val="00FC4ABF"/>
    <w:rsid w:val="00FC4C1B"/>
    <w:rsid w:val="00FC4C43"/>
    <w:rsid w:val="00FC537F"/>
    <w:rsid w:val="00FC5649"/>
    <w:rsid w:val="00FC5C0B"/>
    <w:rsid w:val="00FC5E71"/>
    <w:rsid w:val="00FC6091"/>
    <w:rsid w:val="00FC6A3F"/>
    <w:rsid w:val="00FC6B81"/>
    <w:rsid w:val="00FC75B8"/>
    <w:rsid w:val="00FC7B81"/>
    <w:rsid w:val="00FC7D7F"/>
    <w:rsid w:val="00FC7F48"/>
    <w:rsid w:val="00FD004F"/>
    <w:rsid w:val="00FD00DC"/>
    <w:rsid w:val="00FD093C"/>
    <w:rsid w:val="00FD1904"/>
    <w:rsid w:val="00FD202F"/>
    <w:rsid w:val="00FD216D"/>
    <w:rsid w:val="00FD25AD"/>
    <w:rsid w:val="00FD3415"/>
    <w:rsid w:val="00FD3A27"/>
    <w:rsid w:val="00FD444A"/>
    <w:rsid w:val="00FD466B"/>
    <w:rsid w:val="00FD4927"/>
    <w:rsid w:val="00FD4B13"/>
    <w:rsid w:val="00FD4D01"/>
    <w:rsid w:val="00FD4D4E"/>
    <w:rsid w:val="00FD548B"/>
    <w:rsid w:val="00FD5A7E"/>
    <w:rsid w:val="00FD612A"/>
    <w:rsid w:val="00FD62D9"/>
    <w:rsid w:val="00FD6320"/>
    <w:rsid w:val="00FD6342"/>
    <w:rsid w:val="00FD6771"/>
    <w:rsid w:val="00FD70C3"/>
    <w:rsid w:val="00FD7C6E"/>
    <w:rsid w:val="00FD7D95"/>
    <w:rsid w:val="00FE0090"/>
    <w:rsid w:val="00FE0B34"/>
    <w:rsid w:val="00FE0C25"/>
    <w:rsid w:val="00FE0F58"/>
    <w:rsid w:val="00FE107F"/>
    <w:rsid w:val="00FE16AC"/>
    <w:rsid w:val="00FE2133"/>
    <w:rsid w:val="00FE2D2F"/>
    <w:rsid w:val="00FE35DB"/>
    <w:rsid w:val="00FE35DE"/>
    <w:rsid w:val="00FE3DFB"/>
    <w:rsid w:val="00FE4993"/>
    <w:rsid w:val="00FE4C15"/>
    <w:rsid w:val="00FE4D17"/>
    <w:rsid w:val="00FE4E74"/>
    <w:rsid w:val="00FE52F3"/>
    <w:rsid w:val="00FE53F4"/>
    <w:rsid w:val="00FE58A0"/>
    <w:rsid w:val="00FE5B72"/>
    <w:rsid w:val="00FE756F"/>
    <w:rsid w:val="00FE7878"/>
    <w:rsid w:val="00FE79B8"/>
    <w:rsid w:val="00FE7D41"/>
    <w:rsid w:val="00FE7F63"/>
    <w:rsid w:val="00FE7F8A"/>
    <w:rsid w:val="00FF05DF"/>
    <w:rsid w:val="00FF0CCF"/>
    <w:rsid w:val="00FF0EE7"/>
    <w:rsid w:val="00FF100B"/>
    <w:rsid w:val="00FF1484"/>
    <w:rsid w:val="00FF1957"/>
    <w:rsid w:val="00FF196F"/>
    <w:rsid w:val="00FF271C"/>
    <w:rsid w:val="00FF2747"/>
    <w:rsid w:val="00FF311A"/>
    <w:rsid w:val="00FF3281"/>
    <w:rsid w:val="00FF3A28"/>
    <w:rsid w:val="00FF3C79"/>
    <w:rsid w:val="00FF4203"/>
    <w:rsid w:val="00FF42B1"/>
    <w:rsid w:val="00FF4EC6"/>
    <w:rsid w:val="00FF51DB"/>
    <w:rsid w:val="00FF5569"/>
    <w:rsid w:val="00FF56BE"/>
    <w:rsid w:val="00FF606E"/>
    <w:rsid w:val="00FF65D1"/>
    <w:rsid w:val="00FF66B7"/>
    <w:rsid w:val="00FF6817"/>
    <w:rsid w:val="00FF696D"/>
    <w:rsid w:val="00FF6F48"/>
    <w:rsid w:val="00FF6F4B"/>
    <w:rsid w:val="00FF7347"/>
    <w:rsid w:val="00FF79CB"/>
    <w:rsid w:val="00FF7D7F"/>
    <w:rsid w:val="00FF7EDC"/>
    <w:rsid w:val="0111AC39"/>
    <w:rsid w:val="011D337A"/>
    <w:rsid w:val="0137F109"/>
    <w:rsid w:val="01384408"/>
    <w:rsid w:val="0167B149"/>
    <w:rsid w:val="01688F9E"/>
    <w:rsid w:val="01A6D702"/>
    <w:rsid w:val="01B340EC"/>
    <w:rsid w:val="01C04908"/>
    <w:rsid w:val="01C5495F"/>
    <w:rsid w:val="01E2FA1A"/>
    <w:rsid w:val="02616585"/>
    <w:rsid w:val="027F0294"/>
    <w:rsid w:val="02D74F9F"/>
    <w:rsid w:val="02E79BCE"/>
    <w:rsid w:val="030EBA94"/>
    <w:rsid w:val="03157914"/>
    <w:rsid w:val="037875BC"/>
    <w:rsid w:val="0386ACBC"/>
    <w:rsid w:val="03B24AF4"/>
    <w:rsid w:val="03BCC34A"/>
    <w:rsid w:val="03F65D0F"/>
    <w:rsid w:val="0435DF36"/>
    <w:rsid w:val="04602422"/>
    <w:rsid w:val="04C34BAA"/>
    <w:rsid w:val="04E15B54"/>
    <w:rsid w:val="04E4AF70"/>
    <w:rsid w:val="0530B643"/>
    <w:rsid w:val="05718BAA"/>
    <w:rsid w:val="058263A1"/>
    <w:rsid w:val="05905E3F"/>
    <w:rsid w:val="05E454C8"/>
    <w:rsid w:val="0604400A"/>
    <w:rsid w:val="061FAAB4"/>
    <w:rsid w:val="0631B460"/>
    <w:rsid w:val="06492CB3"/>
    <w:rsid w:val="0686779D"/>
    <w:rsid w:val="069A0352"/>
    <w:rsid w:val="06A7B5CB"/>
    <w:rsid w:val="06E7CC18"/>
    <w:rsid w:val="06EAFF0F"/>
    <w:rsid w:val="0727C16D"/>
    <w:rsid w:val="07290D98"/>
    <w:rsid w:val="072FF1D2"/>
    <w:rsid w:val="076AAF41"/>
    <w:rsid w:val="078175BA"/>
    <w:rsid w:val="0790BF22"/>
    <w:rsid w:val="07C5E0B8"/>
    <w:rsid w:val="07C8CE49"/>
    <w:rsid w:val="07FA0BD7"/>
    <w:rsid w:val="0827BBA4"/>
    <w:rsid w:val="087108B3"/>
    <w:rsid w:val="088C85CA"/>
    <w:rsid w:val="089E7DE9"/>
    <w:rsid w:val="08C4DC25"/>
    <w:rsid w:val="08CDE0AF"/>
    <w:rsid w:val="08FCC320"/>
    <w:rsid w:val="0911594E"/>
    <w:rsid w:val="091B0605"/>
    <w:rsid w:val="0944FC3E"/>
    <w:rsid w:val="09A757D5"/>
    <w:rsid w:val="09C4089B"/>
    <w:rsid w:val="09FC9245"/>
    <w:rsid w:val="0A0EB37A"/>
    <w:rsid w:val="0A173E5B"/>
    <w:rsid w:val="0A4ED949"/>
    <w:rsid w:val="0A725D05"/>
    <w:rsid w:val="0B04059B"/>
    <w:rsid w:val="0B10BCD2"/>
    <w:rsid w:val="0B134DCC"/>
    <w:rsid w:val="0B42201B"/>
    <w:rsid w:val="0B4329DB"/>
    <w:rsid w:val="0BBA4F2F"/>
    <w:rsid w:val="0BC50BC4"/>
    <w:rsid w:val="0BDBA947"/>
    <w:rsid w:val="0BDDB62C"/>
    <w:rsid w:val="0C771C28"/>
    <w:rsid w:val="0D1652ED"/>
    <w:rsid w:val="0D3E1CEC"/>
    <w:rsid w:val="0D7EFCAB"/>
    <w:rsid w:val="0D80180D"/>
    <w:rsid w:val="0D8129BE"/>
    <w:rsid w:val="0DC79321"/>
    <w:rsid w:val="0E382AB1"/>
    <w:rsid w:val="0E78E7A7"/>
    <w:rsid w:val="0E796563"/>
    <w:rsid w:val="0E8ABA84"/>
    <w:rsid w:val="0EAAB55C"/>
    <w:rsid w:val="0F840B56"/>
    <w:rsid w:val="0F8AD09C"/>
    <w:rsid w:val="0F901144"/>
    <w:rsid w:val="1075FDB6"/>
    <w:rsid w:val="108A2904"/>
    <w:rsid w:val="10C16744"/>
    <w:rsid w:val="110AE78F"/>
    <w:rsid w:val="111FDB35"/>
    <w:rsid w:val="113A996E"/>
    <w:rsid w:val="11560425"/>
    <w:rsid w:val="118EF5F9"/>
    <w:rsid w:val="11992984"/>
    <w:rsid w:val="11ADD25C"/>
    <w:rsid w:val="11B50509"/>
    <w:rsid w:val="11BBD449"/>
    <w:rsid w:val="11D035BE"/>
    <w:rsid w:val="11F8D073"/>
    <w:rsid w:val="121CCA04"/>
    <w:rsid w:val="123CA3D4"/>
    <w:rsid w:val="12A1C14B"/>
    <w:rsid w:val="12E0BA32"/>
    <w:rsid w:val="130C8057"/>
    <w:rsid w:val="13118E4D"/>
    <w:rsid w:val="1373BC4F"/>
    <w:rsid w:val="140861E4"/>
    <w:rsid w:val="141CAD1C"/>
    <w:rsid w:val="142A3292"/>
    <w:rsid w:val="14449DEF"/>
    <w:rsid w:val="1454902D"/>
    <w:rsid w:val="146BD53E"/>
    <w:rsid w:val="14CF94C5"/>
    <w:rsid w:val="15168FDF"/>
    <w:rsid w:val="15719704"/>
    <w:rsid w:val="157EC4FD"/>
    <w:rsid w:val="1586BC55"/>
    <w:rsid w:val="158C7A23"/>
    <w:rsid w:val="15A54BA3"/>
    <w:rsid w:val="15B6A2BB"/>
    <w:rsid w:val="15D147C1"/>
    <w:rsid w:val="1626B8B2"/>
    <w:rsid w:val="1676CE40"/>
    <w:rsid w:val="167B5570"/>
    <w:rsid w:val="16AB8731"/>
    <w:rsid w:val="16CBC4EB"/>
    <w:rsid w:val="16DD70DD"/>
    <w:rsid w:val="1759AFB4"/>
    <w:rsid w:val="17C8909A"/>
    <w:rsid w:val="18377944"/>
    <w:rsid w:val="18481A3E"/>
    <w:rsid w:val="185FB7FB"/>
    <w:rsid w:val="18800CE6"/>
    <w:rsid w:val="18AA3735"/>
    <w:rsid w:val="18ABE950"/>
    <w:rsid w:val="18B8A509"/>
    <w:rsid w:val="18C15915"/>
    <w:rsid w:val="190E21C0"/>
    <w:rsid w:val="191B2418"/>
    <w:rsid w:val="195FB8AC"/>
    <w:rsid w:val="19810B7C"/>
    <w:rsid w:val="198465CE"/>
    <w:rsid w:val="199616F6"/>
    <w:rsid w:val="19B72D77"/>
    <w:rsid w:val="19BA73DB"/>
    <w:rsid w:val="1A00E04A"/>
    <w:rsid w:val="1A27B4D2"/>
    <w:rsid w:val="1A2CAD8D"/>
    <w:rsid w:val="1A52144F"/>
    <w:rsid w:val="1A5987F9"/>
    <w:rsid w:val="1ACC97E8"/>
    <w:rsid w:val="1AF4DE1F"/>
    <w:rsid w:val="1B2C3B24"/>
    <w:rsid w:val="1B830480"/>
    <w:rsid w:val="1BA5F594"/>
    <w:rsid w:val="1BBFA910"/>
    <w:rsid w:val="1BBFFA56"/>
    <w:rsid w:val="1C093196"/>
    <w:rsid w:val="1C418249"/>
    <w:rsid w:val="1C4BFBDB"/>
    <w:rsid w:val="1C6F1454"/>
    <w:rsid w:val="1CBC8482"/>
    <w:rsid w:val="1CCA8A94"/>
    <w:rsid w:val="1CF6D4D9"/>
    <w:rsid w:val="1D0BE9FB"/>
    <w:rsid w:val="1D21009F"/>
    <w:rsid w:val="1D3A8F4F"/>
    <w:rsid w:val="1D4EB62F"/>
    <w:rsid w:val="1D751B55"/>
    <w:rsid w:val="1D96900E"/>
    <w:rsid w:val="1DD690CA"/>
    <w:rsid w:val="1E39D4C1"/>
    <w:rsid w:val="1E44C98D"/>
    <w:rsid w:val="1E539EE6"/>
    <w:rsid w:val="1E77D4CD"/>
    <w:rsid w:val="1E8C41D1"/>
    <w:rsid w:val="1EE3CFD9"/>
    <w:rsid w:val="1F161BC5"/>
    <w:rsid w:val="1F317D61"/>
    <w:rsid w:val="1F327D05"/>
    <w:rsid w:val="1F6DEEB0"/>
    <w:rsid w:val="1F721CA1"/>
    <w:rsid w:val="1F74A7ED"/>
    <w:rsid w:val="1FEEC51B"/>
    <w:rsid w:val="2012AAF8"/>
    <w:rsid w:val="20166BB7"/>
    <w:rsid w:val="2018A1D4"/>
    <w:rsid w:val="20A39A6C"/>
    <w:rsid w:val="20DE3F82"/>
    <w:rsid w:val="20E9A2C3"/>
    <w:rsid w:val="20F89E04"/>
    <w:rsid w:val="21022214"/>
    <w:rsid w:val="212EF59B"/>
    <w:rsid w:val="213D9B7C"/>
    <w:rsid w:val="21501198"/>
    <w:rsid w:val="21BE4EF1"/>
    <w:rsid w:val="21BF82A3"/>
    <w:rsid w:val="2207525E"/>
    <w:rsid w:val="223E0D19"/>
    <w:rsid w:val="226D8AF7"/>
    <w:rsid w:val="226DBAAA"/>
    <w:rsid w:val="22A43BF8"/>
    <w:rsid w:val="22B8B0E1"/>
    <w:rsid w:val="231A5255"/>
    <w:rsid w:val="2321527E"/>
    <w:rsid w:val="233592D5"/>
    <w:rsid w:val="2351742E"/>
    <w:rsid w:val="2392D444"/>
    <w:rsid w:val="23AA31C9"/>
    <w:rsid w:val="23C4DBD3"/>
    <w:rsid w:val="23E2C3DF"/>
    <w:rsid w:val="24046F1A"/>
    <w:rsid w:val="244ABDD9"/>
    <w:rsid w:val="247DB6ED"/>
    <w:rsid w:val="24E5B1E3"/>
    <w:rsid w:val="24F90D06"/>
    <w:rsid w:val="258AD9C1"/>
    <w:rsid w:val="25B83278"/>
    <w:rsid w:val="25DA6267"/>
    <w:rsid w:val="25E615E6"/>
    <w:rsid w:val="25EBEF54"/>
    <w:rsid w:val="25EF29BB"/>
    <w:rsid w:val="265C7CDD"/>
    <w:rsid w:val="26683AF3"/>
    <w:rsid w:val="267FF160"/>
    <w:rsid w:val="269FA1FC"/>
    <w:rsid w:val="26C5BA94"/>
    <w:rsid w:val="270A8D0E"/>
    <w:rsid w:val="2746B12D"/>
    <w:rsid w:val="275824FD"/>
    <w:rsid w:val="27598CA4"/>
    <w:rsid w:val="27891E88"/>
    <w:rsid w:val="279388ED"/>
    <w:rsid w:val="27B82F44"/>
    <w:rsid w:val="27D54387"/>
    <w:rsid w:val="27DA3D31"/>
    <w:rsid w:val="27DEC482"/>
    <w:rsid w:val="27F5926E"/>
    <w:rsid w:val="27F8D550"/>
    <w:rsid w:val="27FACC2F"/>
    <w:rsid w:val="28168D05"/>
    <w:rsid w:val="2819AF79"/>
    <w:rsid w:val="2824DBBE"/>
    <w:rsid w:val="282BAA4C"/>
    <w:rsid w:val="288B5510"/>
    <w:rsid w:val="290481DC"/>
    <w:rsid w:val="2928FD56"/>
    <w:rsid w:val="29B7132D"/>
    <w:rsid w:val="29B91D13"/>
    <w:rsid w:val="29C01A36"/>
    <w:rsid w:val="29C02823"/>
    <w:rsid w:val="29CB9997"/>
    <w:rsid w:val="2A18F02C"/>
    <w:rsid w:val="2A1E7697"/>
    <w:rsid w:val="2A40CF31"/>
    <w:rsid w:val="2A9AB117"/>
    <w:rsid w:val="2AAE286B"/>
    <w:rsid w:val="2AD0119C"/>
    <w:rsid w:val="2AE1E07F"/>
    <w:rsid w:val="2AE82974"/>
    <w:rsid w:val="2B08E9A8"/>
    <w:rsid w:val="2B3A1784"/>
    <w:rsid w:val="2B4460EC"/>
    <w:rsid w:val="2BD66F49"/>
    <w:rsid w:val="2BF14D3E"/>
    <w:rsid w:val="2C0166CB"/>
    <w:rsid w:val="2C139A01"/>
    <w:rsid w:val="2CACBE4D"/>
    <w:rsid w:val="2CADDF72"/>
    <w:rsid w:val="2D4E54AB"/>
    <w:rsid w:val="2D689E9F"/>
    <w:rsid w:val="2D759184"/>
    <w:rsid w:val="2D92CD70"/>
    <w:rsid w:val="2D9DD755"/>
    <w:rsid w:val="2DB405F3"/>
    <w:rsid w:val="2DFA9549"/>
    <w:rsid w:val="2E6C5C30"/>
    <w:rsid w:val="2E7DF2AD"/>
    <w:rsid w:val="2EBFF6CB"/>
    <w:rsid w:val="2EE7CA50"/>
    <w:rsid w:val="2EF3D9C2"/>
    <w:rsid w:val="2F045D5E"/>
    <w:rsid w:val="2F264AE2"/>
    <w:rsid w:val="2F2950F6"/>
    <w:rsid w:val="2F31705F"/>
    <w:rsid w:val="2F69ECBE"/>
    <w:rsid w:val="2F8216A3"/>
    <w:rsid w:val="2FEDC061"/>
    <w:rsid w:val="302738DA"/>
    <w:rsid w:val="30508911"/>
    <w:rsid w:val="30FA6FC7"/>
    <w:rsid w:val="310058CA"/>
    <w:rsid w:val="311B20FE"/>
    <w:rsid w:val="31388B16"/>
    <w:rsid w:val="315D0B83"/>
    <w:rsid w:val="3167CAA6"/>
    <w:rsid w:val="319D70F1"/>
    <w:rsid w:val="31A57778"/>
    <w:rsid w:val="31B08B7A"/>
    <w:rsid w:val="31BAB89A"/>
    <w:rsid w:val="31D3D802"/>
    <w:rsid w:val="31F3C547"/>
    <w:rsid w:val="325B4AD1"/>
    <w:rsid w:val="326AE1F3"/>
    <w:rsid w:val="329A4D84"/>
    <w:rsid w:val="32DED168"/>
    <w:rsid w:val="334A80E9"/>
    <w:rsid w:val="33508D97"/>
    <w:rsid w:val="338B85BF"/>
    <w:rsid w:val="33C6CA55"/>
    <w:rsid w:val="34130D31"/>
    <w:rsid w:val="341C369D"/>
    <w:rsid w:val="34AF70D8"/>
    <w:rsid w:val="34EA5CAB"/>
    <w:rsid w:val="34F9EAFC"/>
    <w:rsid w:val="34FF6CE7"/>
    <w:rsid w:val="3508896D"/>
    <w:rsid w:val="35241FA4"/>
    <w:rsid w:val="3571EE8A"/>
    <w:rsid w:val="358C7DE3"/>
    <w:rsid w:val="359DA116"/>
    <w:rsid w:val="35A1280A"/>
    <w:rsid w:val="35A1F74D"/>
    <w:rsid w:val="35B58D9E"/>
    <w:rsid w:val="35CFCF0F"/>
    <w:rsid w:val="35D6D7A6"/>
    <w:rsid w:val="35E2582E"/>
    <w:rsid w:val="35F3AFCA"/>
    <w:rsid w:val="36031C31"/>
    <w:rsid w:val="3606914C"/>
    <w:rsid w:val="3682D8C2"/>
    <w:rsid w:val="36CC1826"/>
    <w:rsid w:val="36D9A93A"/>
    <w:rsid w:val="37019928"/>
    <w:rsid w:val="3731A664"/>
    <w:rsid w:val="37429100"/>
    <w:rsid w:val="3744C542"/>
    <w:rsid w:val="375BF6D6"/>
    <w:rsid w:val="376E70A0"/>
    <w:rsid w:val="3771B49A"/>
    <w:rsid w:val="377E3DF4"/>
    <w:rsid w:val="37882FE9"/>
    <w:rsid w:val="37AB6440"/>
    <w:rsid w:val="37BA40AB"/>
    <w:rsid w:val="37C7541F"/>
    <w:rsid w:val="37D42C6B"/>
    <w:rsid w:val="380236EC"/>
    <w:rsid w:val="3812DFA2"/>
    <w:rsid w:val="383D83D0"/>
    <w:rsid w:val="385922D3"/>
    <w:rsid w:val="386DF5AC"/>
    <w:rsid w:val="386ED8B9"/>
    <w:rsid w:val="38850E1E"/>
    <w:rsid w:val="38881193"/>
    <w:rsid w:val="388CE5DE"/>
    <w:rsid w:val="38AB30A8"/>
    <w:rsid w:val="38C42B36"/>
    <w:rsid w:val="38C4630A"/>
    <w:rsid w:val="38CF9477"/>
    <w:rsid w:val="38D89EB3"/>
    <w:rsid w:val="38DE4D79"/>
    <w:rsid w:val="38E57043"/>
    <w:rsid w:val="394B9AF8"/>
    <w:rsid w:val="39533EC1"/>
    <w:rsid w:val="399C02EB"/>
    <w:rsid w:val="39D3F6F7"/>
    <w:rsid w:val="39E35B0E"/>
    <w:rsid w:val="39E8F1D6"/>
    <w:rsid w:val="3A1C3E6A"/>
    <w:rsid w:val="3A5E02DA"/>
    <w:rsid w:val="3A8B3692"/>
    <w:rsid w:val="3AA71E57"/>
    <w:rsid w:val="3AE3E13F"/>
    <w:rsid w:val="3B0AF320"/>
    <w:rsid w:val="3B2439DC"/>
    <w:rsid w:val="3BC7C52E"/>
    <w:rsid w:val="3BD4C242"/>
    <w:rsid w:val="3BDA28F1"/>
    <w:rsid w:val="3BEFC6F3"/>
    <w:rsid w:val="3C098F14"/>
    <w:rsid w:val="3C32A995"/>
    <w:rsid w:val="3C632B12"/>
    <w:rsid w:val="3CC68614"/>
    <w:rsid w:val="3CE2252A"/>
    <w:rsid w:val="3D775068"/>
    <w:rsid w:val="3D8D700D"/>
    <w:rsid w:val="3D976092"/>
    <w:rsid w:val="3DC6C35C"/>
    <w:rsid w:val="3DE01A00"/>
    <w:rsid w:val="3DFAFB4F"/>
    <w:rsid w:val="3E2940E8"/>
    <w:rsid w:val="3E5EDB2D"/>
    <w:rsid w:val="3E9CFC6F"/>
    <w:rsid w:val="3EA3E32A"/>
    <w:rsid w:val="3EE69ABD"/>
    <w:rsid w:val="3F24FE02"/>
    <w:rsid w:val="3F5174FE"/>
    <w:rsid w:val="3F77F01E"/>
    <w:rsid w:val="3FA65D74"/>
    <w:rsid w:val="3FCD4C4C"/>
    <w:rsid w:val="3FD34B20"/>
    <w:rsid w:val="3FEB001B"/>
    <w:rsid w:val="3FF632E8"/>
    <w:rsid w:val="40988030"/>
    <w:rsid w:val="40BF13C0"/>
    <w:rsid w:val="40C13D01"/>
    <w:rsid w:val="40D31A5B"/>
    <w:rsid w:val="410B4C87"/>
    <w:rsid w:val="4123000D"/>
    <w:rsid w:val="41279609"/>
    <w:rsid w:val="413A2CC5"/>
    <w:rsid w:val="416560A2"/>
    <w:rsid w:val="417E0B80"/>
    <w:rsid w:val="41A4CD96"/>
    <w:rsid w:val="41B79C2C"/>
    <w:rsid w:val="41E32573"/>
    <w:rsid w:val="41FE908B"/>
    <w:rsid w:val="423451D7"/>
    <w:rsid w:val="429A5793"/>
    <w:rsid w:val="42B2A6FE"/>
    <w:rsid w:val="42BCB60F"/>
    <w:rsid w:val="42D0023E"/>
    <w:rsid w:val="42D59214"/>
    <w:rsid w:val="42ED1D90"/>
    <w:rsid w:val="431EC649"/>
    <w:rsid w:val="4363950E"/>
    <w:rsid w:val="436D8987"/>
    <w:rsid w:val="437C8F78"/>
    <w:rsid w:val="43C090C6"/>
    <w:rsid w:val="43C38845"/>
    <w:rsid w:val="43E3C576"/>
    <w:rsid w:val="43ED2BB6"/>
    <w:rsid w:val="43ED656F"/>
    <w:rsid w:val="44445085"/>
    <w:rsid w:val="4458D452"/>
    <w:rsid w:val="446F2440"/>
    <w:rsid w:val="447B0C19"/>
    <w:rsid w:val="4484640D"/>
    <w:rsid w:val="44A6C765"/>
    <w:rsid w:val="44E4CFE5"/>
    <w:rsid w:val="456EDF48"/>
    <w:rsid w:val="4584DCB1"/>
    <w:rsid w:val="458AE156"/>
    <w:rsid w:val="459CB264"/>
    <w:rsid w:val="45A4EAD3"/>
    <w:rsid w:val="45AC402A"/>
    <w:rsid w:val="45BB47A4"/>
    <w:rsid w:val="4638C644"/>
    <w:rsid w:val="46494C2A"/>
    <w:rsid w:val="4659D94F"/>
    <w:rsid w:val="465E3B66"/>
    <w:rsid w:val="466917BE"/>
    <w:rsid w:val="467F4688"/>
    <w:rsid w:val="46B66928"/>
    <w:rsid w:val="46DDCF3F"/>
    <w:rsid w:val="46E5F395"/>
    <w:rsid w:val="46FD7352"/>
    <w:rsid w:val="46FE32EC"/>
    <w:rsid w:val="471007CA"/>
    <w:rsid w:val="471177C3"/>
    <w:rsid w:val="47166A91"/>
    <w:rsid w:val="472DBDA4"/>
    <w:rsid w:val="4737401F"/>
    <w:rsid w:val="475619EA"/>
    <w:rsid w:val="4798934D"/>
    <w:rsid w:val="47B2554B"/>
    <w:rsid w:val="47EBA9F3"/>
    <w:rsid w:val="481ACE8A"/>
    <w:rsid w:val="481B510F"/>
    <w:rsid w:val="482CA78D"/>
    <w:rsid w:val="484D1230"/>
    <w:rsid w:val="485DD4C2"/>
    <w:rsid w:val="485E6E26"/>
    <w:rsid w:val="4864825E"/>
    <w:rsid w:val="488C93DD"/>
    <w:rsid w:val="48A363B7"/>
    <w:rsid w:val="48B7C0B0"/>
    <w:rsid w:val="48F4283E"/>
    <w:rsid w:val="48F6131B"/>
    <w:rsid w:val="491FAB69"/>
    <w:rsid w:val="494234F5"/>
    <w:rsid w:val="49B84CB7"/>
    <w:rsid w:val="4A48D344"/>
    <w:rsid w:val="4A52FE6F"/>
    <w:rsid w:val="4A6B6F06"/>
    <w:rsid w:val="4A8D4476"/>
    <w:rsid w:val="4AF95683"/>
    <w:rsid w:val="4B19EABD"/>
    <w:rsid w:val="4B464DFE"/>
    <w:rsid w:val="4B8E7B54"/>
    <w:rsid w:val="4BE8C0B6"/>
    <w:rsid w:val="4BE93D8A"/>
    <w:rsid w:val="4C0DBD2D"/>
    <w:rsid w:val="4C1E50C8"/>
    <w:rsid w:val="4D0C33EF"/>
    <w:rsid w:val="4D2EEB2E"/>
    <w:rsid w:val="4D4937AC"/>
    <w:rsid w:val="4D6CBFB7"/>
    <w:rsid w:val="4DB2A1B0"/>
    <w:rsid w:val="4DD96B05"/>
    <w:rsid w:val="4E366529"/>
    <w:rsid w:val="4E42AC17"/>
    <w:rsid w:val="4E9E6BAB"/>
    <w:rsid w:val="4EA7EA7E"/>
    <w:rsid w:val="4EB6F2FA"/>
    <w:rsid w:val="4F13D4AC"/>
    <w:rsid w:val="4F38DB95"/>
    <w:rsid w:val="4F78CB87"/>
    <w:rsid w:val="4F8A00EA"/>
    <w:rsid w:val="4FC3C1A1"/>
    <w:rsid w:val="4FCD6166"/>
    <w:rsid w:val="5052FD55"/>
    <w:rsid w:val="509CB6CC"/>
    <w:rsid w:val="50D3E8D7"/>
    <w:rsid w:val="510D013E"/>
    <w:rsid w:val="51118D26"/>
    <w:rsid w:val="518EB5A7"/>
    <w:rsid w:val="51B90BF9"/>
    <w:rsid w:val="51BB73BB"/>
    <w:rsid w:val="51DB4287"/>
    <w:rsid w:val="520F8A95"/>
    <w:rsid w:val="521993CC"/>
    <w:rsid w:val="52548C6A"/>
    <w:rsid w:val="5258F6EB"/>
    <w:rsid w:val="52FD2AFC"/>
    <w:rsid w:val="536960D5"/>
    <w:rsid w:val="537D100A"/>
    <w:rsid w:val="539A187F"/>
    <w:rsid w:val="53B12712"/>
    <w:rsid w:val="53C5036D"/>
    <w:rsid w:val="53DD2F73"/>
    <w:rsid w:val="53EA212B"/>
    <w:rsid w:val="540239A0"/>
    <w:rsid w:val="5403BD28"/>
    <w:rsid w:val="544BFF91"/>
    <w:rsid w:val="54633C92"/>
    <w:rsid w:val="5471EA27"/>
    <w:rsid w:val="54C2132B"/>
    <w:rsid w:val="54D8D652"/>
    <w:rsid w:val="54DCF28C"/>
    <w:rsid w:val="54E64FC2"/>
    <w:rsid w:val="54F8EABF"/>
    <w:rsid w:val="551FA98D"/>
    <w:rsid w:val="5553C7DD"/>
    <w:rsid w:val="558352A3"/>
    <w:rsid w:val="55F74F3A"/>
    <w:rsid w:val="55FB1083"/>
    <w:rsid w:val="5617D35E"/>
    <w:rsid w:val="56885BF2"/>
    <w:rsid w:val="574E36CA"/>
    <w:rsid w:val="5783D04E"/>
    <w:rsid w:val="5790CBDD"/>
    <w:rsid w:val="57A03B1E"/>
    <w:rsid w:val="57B36B23"/>
    <w:rsid w:val="57B6A1F2"/>
    <w:rsid w:val="580BB003"/>
    <w:rsid w:val="580C6EC4"/>
    <w:rsid w:val="581E3794"/>
    <w:rsid w:val="583FBED2"/>
    <w:rsid w:val="5857A495"/>
    <w:rsid w:val="58D742F0"/>
    <w:rsid w:val="58EC9DED"/>
    <w:rsid w:val="58EF1991"/>
    <w:rsid w:val="58F376F0"/>
    <w:rsid w:val="58FECAB7"/>
    <w:rsid w:val="59128E79"/>
    <w:rsid w:val="592C7F39"/>
    <w:rsid w:val="5948A890"/>
    <w:rsid w:val="59A55C02"/>
    <w:rsid w:val="59B1D2F6"/>
    <w:rsid w:val="59C604A0"/>
    <w:rsid w:val="59CBA9F3"/>
    <w:rsid w:val="5A00D897"/>
    <w:rsid w:val="5A3ABAEC"/>
    <w:rsid w:val="5A5A231F"/>
    <w:rsid w:val="5A5F5D65"/>
    <w:rsid w:val="5A720EF6"/>
    <w:rsid w:val="5A8D0322"/>
    <w:rsid w:val="5AE4F2C1"/>
    <w:rsid w:val="5AFD73B0"/>
    <w:rsid w:val="5AFE9470"/>
    <w:rsid w:val="5B00DC9E"/>
    <w:rsid w:val="5B2A11DB"/>
    <w:rsid w:val="5B39A70E"/>
    <w:rsid w:val="5B4EB5B8"/>
    <w:rsid w:val="5B5E16CD"/>
    <w:rsid w:val="5BAEE98A"/>
    <w:rsid w:val="5BC1773E"/>
    <w:rsid w:val="5BD3F37D"/>
    <w:rsid w:val="5BE83D94"/>
    <w:rsid w:val="5C0D08BF"/>
    <w:rsid w:val="5C2493DF"/>
    <w:rsid w:val="5C68350E"/>
    <w:rsid w:val="5CA20E46"/>
    <w:rsid w:val="5CADE348"/>
    <w:rsid w:val="5CD1C4F7"/>
    <w:rsid w:val="5D0AC2D6"/>
    <w:rsid w:val="5D22426F"/>
    <w:rsid w:val="5D816EC0"/>
    <w:rsid w:val="5D974E79"/>
    <w:rsid w:val="5DACAB9D"/>
    <w:rsid w:val="5E818F05"/>
    <w:rsid w:val="5E8C7FF6"/>
    <w:rsid w:val="5E8FBB66"/>
    <w:rsid w:val="5E99D240"/>
    <w:rsid w:val="5EFA1879"/>
    <w:rsid w:val="5F20249F"/>
    <w:rsid w:val="5F202CDF"/>
    <w:rsid w:val="5F7E5A27"/>
    <w:rsid w:val="5FD941AC"/>
    <w:rsid w:val="5FFCC336"/>
    <w:rsid w:val="60103CE3"/>
    <w:rsid w:val="60219374"/>
    <w:rsid w:val="609C664F"/>
    <w:rsid w:val="60C92EE0"/>
    <w:rsid w:val="610041A2"/>
    <w:rsid w:val="6126569E"/>
    <w:rsid w:val="613E0876"/>
    <w:rsid w:val="6161F6A2"/>
    <w:rsid w:val="61BFB883"/>
    <w:rsid w:val="61DA90D1"/>
    <w:rsid w:val="61E099AF"/>
    <w:rsid w:val="623A7FE3"/>
    <w:rsid w:val="624D6BD5"/>
    <w:rsid w:val="6267A104"/>
    <w:rsid w:val="62698A41"/>
    <w:rsid w:val="627153E5"/>
    <w:rsid w:val="627A03FF"/>
    <w:rsid w:val="628177E7"/>
    <w:rsid w:val="6281A69B"/>
    <w:rsid w:val="628D25BA"/>
    <w:rsid w:val="630BC937"/>
    <w:rsid w:val="6330802A"/>
    <w:rsid w:val="63415590"/>
    <w:rsid w:val="6345BC90"/>
    <w:rsid w:val="63468427"/>
    <w:rsid w:val="6398C29A"/>
    <w:rsid w:val="63A717B7"/>
    <w:rsid w:val="63B99C71"/>
    <w:rsid w:val="63ECA499"/>
    <w:rsid w:val="63ED7552"/>
    <w:rsid w:val="640A9751"/>
    <w:rsid w:val="6446DDC0"/>
    <w:rsid w:val="646A3DFE"/>
    <w:rsid w:val="6490250F"/>
    <w:rsid w:val="6494BE1E"/>
    <w:rsid w:val="649A65A9"/>
    <w:rsid w:val="64ADFFE2"/>
    <w:rsid w:val="64E770A2"/>
    <w:rsid w:val="64FF1DC4"/>
    <w:rsid w:val="65063917"/>
    <w:rsid w:val="65912BA0"/>
    <w:rsid w:val="65D38412"/>
    <w:rsid w:val="65DEF908"/>
    <w:rsid w:val="65E7BA68"/>
    <w:rsid w:val="65FE3291"/>
    <w:rsid w:val="661A47EE"/>
    <w:rsid w:val="662FD465"/>
    <w:rsid w:val="667B9796"/>
    <w:rsid w:val="66881549"/>
    <w:rsid w:val="668EDFA0"/>
    <w:rsid w:val="66B7986E"/>
    <w:rsid w:val="66C383DC"/>
    <w:rsid w:val="66FCF8E4"/>
    <w:rsid w:val="674E1A10"/>
    <w:rsid w:val="67AD0684"/>
    <w:rsid w:val="67D28940"/>
    <w:rsid w:val="680D1607"/>
    <w:rsid w:val="682D9E13"/>
    <w:rsid w:val="6862B857"/>
    <w:rsid w:val="6866EEE8"/>
    <w:rsid w:val="68840B77"/>
    <w:rsid w:val="69011AB7"/>
    <w:rsid w:val="6946513A"/>
    <w:rsid w:val="695F89CE"/>
    <w:rsid w:val="696CBF56"/>
    <w:rsid w:val="6989BADF"/>
    <w:rsid w:val="69921778"/>
    <w:rsid w:val="69A56F03"/>
    <w:rsid w:val="69C1E7CB"/>
    <w:rsid w:val="69D42659"/>
    <w:rsid w:val="6A2AB544"/>
    <w:rsid w:val="6A2BDE94"/>
    <w:rsid w:val="6A4B7EE8"/>
    <w:rsid w:val="6AA6A817"/>
    <w:rsid w:val="6AE07AFC"/>
    <w:rsid w:val="6AF1C083"/>
    <w:rsid w:val="6B182B8A"/>
    <w:rsid w:val="6B38E17F"/>
    <w:rsid w:val="6B65E739"/>
    <w:rsid w:val="6B7C68E9"/>
    <w:rsid w:val="6BAA7E63"/>
    <w:rsid w:val="6BF183A4"/>
    <w:rsid w:val="6C0DCAF2"/>
    <w:rsid w:val="6C4D4CD8"/>
    <w:rsid w:val="6C74CDCF"/>
    <w:rsid w:val="6CA42041"/>
    <w:rsid w:val="6CE1656F"/>
    <w:rsid w:val="6CEE0D25"/>
    <w:rsid w:val="6D066291"/>
    <w:rsid w:val="6D234B1C"/>
    <w:rsid w:val="6D488B7B"/>
    <w:rsid w:val="6D6A5279"/>
    <w:rsid w:val="6D7B857F"/>
    <w:rsid w:val="6D7CCB5D"/>
    <w:rsid w:val="6DD4E551"/>
    <w:rsid w:val="6E056AF3"/>
    <w:rsid w:val="6E0BB418"/>
    <w:rsid w:val="6E25357A"/>
    <w:rsid w:val="6E34145B"/>
    <w:rsid w:val="6E45A7CA"/>
    <w:rsid w:val="6E57FD6D"/>
    <w:rsid w:val="6E7224DE"/>
    <w:rsid w:val="6E749624"/>
    <w:rsid w:val="6E78430A"/>
    <w:rsid w:val="6EA992CB"/>
    <w:rsid w:val="6EDF84BD"/>
    <w:rsid w:val="6EE753A6"/>
    <w:rsid w:val="6EF649F9"/>
    <w:rsid w:val="6F23A090"/>
    <w:rsid w:val="6F345772"/>
    <w:rsid w:val="6F728EB2"/>
    <w:rsid w:val="6FB3E912"/>
    <w:rsid w:val="6FB6B4B5"/>
    <w:rsid w:val="70268B4D"/>
    <w:rsid w:val="70312D97"/>
    <w:rsid w:val="703A8444"/>
    <w:rsid w:val="708024F8"/>
    <w:rsid w:val="708F9CA3"/>
    <w:rsid w:val="70B4A268"/>
    <w:rsid w:val="7117AE11"/>
    <w:rsid w:val="711D4101"/>
    <w:rsid w:val="711E50A9"/>
    <w:rsid w:val="712972AF"/>
    <w:rsid w:val="714ABE6B"/>
    <w:rsid w:val="715D101F"/>
    <w:rsid w:val="71745658"/>
    <w:rsid w:val="718284CF"/>
    <w:rsid w:val="7182C87A"/>
    <w:rsid w:val="71B7843B"/>
    <w:rsid w:val="71BB7320"/>
    <w:rsid w:val="71CD9044"/>
    <w:rsid w:val="71D77AE6"/>
    <w:rsid w:val="728C9B06"/>
    <w:rsid w:val="72997B4F"/>
    <w:rsid w:val="72A0FD42"/>
    <w:rsid w:val="72D614A5"/>
    <w:rsid w:val="72E04294"/>
    <w:rsid w:val="72EB02DC"/>
    <w:rsid w:val="72F38265"/>
    <w:rsid w:val="730E8676"/>
    <w:rsid w:val="73121B78"/>
    <w:rsid w:val="73AEF044"/>
    <w:rsid w:val="73BC87D0"/>
    <w:rsid w:val="73BE928E"/>
    <w:rsid w:val="73CB617A"/>
    <w:rsid w:val="74223AB5"/>
    <w:rsid w:val="743B0E92"/>
    <w:rsid w:val="74BA760A"/>
    <w:rsid w:val="74BEB9AD"/>
    <w:rsid w:val="74D7B08E"/>
    <w:rsid w:val="7520B586"/>
    <w:rsid w:val="75618346"/>
    <w:rsid w:val="756DD2F9"/>
    <w:rsid w:val="756EE756"/>
    <w:rsid w:val="7593C3DD"/>
    <w:rsid w:val="75D7D1F7"/>
    <w:rsid w:val="7616C850"/>
    <w:rsid w:val="763EB78B"/>
    <w:rsid w:val="763F31EE"/>
    <w:rsid w:val="76459FD9"/>
    <w:rsid w:val="764B84BB"/>
    <w:rsid w:val="767932B4"/>
    <w:rsid w:val="76C8880F"/>
    <w:rsid w:val="76E034E3"/>
    <w:rsid w:val="76FF8A06"/>
    <w:rsid w:val="77227F40"/>
    <w:rsid w:val="77350FA6"/>
    <w:rsid w:val="7735DBB3"/>
    <w:rsid w:val="7747A8A2"/>
    <w:rsid w:val="774A4294"/>
    <w:rsid w:val="77573102"/>
    <w:rsid w:val="777BCF8F"/>
    <w:rsid w:val="779105C3"/>
    <w:rsid w:val="78062287"/>
    <w:rsid w:val="7853548D"/>
    <w:rsid w:val="785E1020"/>
    <w:rsid w:val="78634481"/>
    <w:rsid w:val="788AB886"/>
    <w:rsid w:val="78B6C650"/>
    <w:rsid w:val="78BC483D"/>
    <w:rsid w:val="78CC39DC"/>
    <w:rsid w:val="791D966E"/>
    <w:rsid w:val="79233688"/>
    <w:rsid w:val="797F7B00"/>
    <w:rsid w:val="79BB7892"/>
    <w:rsid w:val="79C9CD26"/>
    <w:rsid w:val="7A273958"/>
    <w:rsid w:val="7A3F5021"/>
    <w:rsid w:val="7A474AB0"/>
    <w:rsid w:val="7A49F98E"/>
    <w:rsid w:val="7A5DE750"/>
    <w:rsid w:val="7A6FB1ED"/>
    <w:rsid w:val="7A9B7707"/>
    <w:rsid w:val="7B023872"/>
    <w:rsid w:val="7B18670D"/>
    <w:rsid w:val="7B59103F"/>
    <w:rsid w:val="7B68E8A6"/>
    <w:rsid w:val="7B6C239B"/>
    <w:rsid w:val="7BA0DF2B"/>
    <w:rsid w:val="7BA27A3D"/>
    <w:rsid w:val="7C42CB74"/>
    <w:rsid w:val="7C628D34"/>
    <w:rsid w:val="7C9C7FD2"/>
    <w:rsid w:val="7CE440F4"/>
    <w:rsid w:val="7D2ED970"/>
    <w:rsid w:val="7D56250F"/>
    <w:rsid w:val="7D5B15C6"/>
    <w:rsid w:val="7D5B4E46"/>
    <w:rsid w:val="7D83B209"/>
    <w:rsid w:val="7DE781A3"/>
    <w:rsid w:val="7E0B28D0"/>
    <w:rsid w:val="7E11F021"/>
    <w:rsid w:val="7E1A1155"/>
    <w:rsid w:val="7E2D9800"/>
    <w:rsid w:val="7E3611F3"/>
    <w:rsid w:val="7E6E1B34"/>
    <w:rsid w:val="7EA30009"/>
    <w:rsid w:val="7EC4B7F4"/>
    <w:rsid w:val="7EEA6EA2"/>
    <w:rsid w:val="7EEC0BE2"/>
    <w:rsid w:val="7F8DB868"/>
    <w:rsid w:val="7FA58A59"/>
    <w:rsid w:val="7FBEB34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D4476"/>
  <w15:chartTrackingRefBased/>
  <w15:docId w15:val="{31DDED35-4EB0-40A0-A9E2-784B70DE4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19EA"/>
    <w:rPr>
      <w:rFonts w:ascii="Calibri" w:hAnsi="Calibri" w:cs="Calibri"/>
      <w:sz w:val="20"/>
      <w:szCs w:val="20"/>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paragraph" w:styleId="EndnoteText">
    <w:name w:val="endnote text"/>
    <w:basedOn w:val="Normal"/>
    <w:link w:val="EndnoteTextChar"/>
    <w:uiPriority w:val="99"/>
    <w:unhideWhenUsed/>
    <w:rsid w:val="003601BA"/>
    <w:pPr>
      <w:spacing w:after="0" w:line="240" w:lineRule="auto"/>
    </w:pPr>
  </w:style>
  <w:style w:type="character" w:customStyle="1" w:styleId="EndnoteTextChar">
    <w:name w:val="Endnote Text Char"/>
    <w:basedOn w:val="DefaultParagraphFont"/>
    <w:link w:val="EndnoteText"/>
    <w:uiPriority w:val="99"/>
    <w:rsid w:val="003601BA"/>
    <w:rPr>
      <w:rFonts w:ascii="Calibri" w:hAnsi="Calibri" w:cs="Calibri"/>
      <w:sz w:val="20"/>
      <w:szCs w:val="20"/>
    </w:rPr>
  </w:style>
  <w:style w:type="character" w:styleId="EndnoteReference">
    <w:name w:val="endnote reference"/>
    <w:basedOn w:val="DefaultParagraphFont"/>
    <w:uiPriority w:val="99"/>
    <w:semiHidden/>
    <w:unhideWhenUsed/>
    <w:rsid w:val="003601BA"/>
    <w:rPr>
      <w:vertAlign w:val="superscript"/>
    </w:rPr>
  </w:style>
  <w:style w:type="character" w:styleId="Hyperlink">
    <w:name w:val="Hyperlink"/>
    <w:basedOn w:val="DefaultParagraphFont"/>
    <w:uiPriority w:val="99"/>
    <w:unhideWhenUsed/>
    <w:rsid w:val="003601BA"/>
    <w:rPr>
      <w:color w:val="0000FF"/>
      <w:u w:val="single"/>
    </w:rPr>
  </w:style>
  <w:style w:type="paragraph" w:styleId="Header">
    <w:name w:val="header"/>
    <w:basedOn w:val="Normal"/>
    <w:link w:val="HeaderChar"/>
    <w:uiPriority w:val="99"/>
    <w:unhideWhenUsed/>
    <w:rsid w:val="005931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3122"/>
  </w:style>
  <w:style w:type="paragraph" w:styleId="Footer">
    <w:name w:val="footer"/>
    <w:basedOn w:val="Normal"/>
    <w:link w:val="FooterChar"/>
    <w:uiPriority w:val="99"/>
    <w:unhideWhenUsed/>
    <w:rsid w:val="005931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3122"/>
  </w:style>
  <w:style w:type="paragraph" w:styleId="FootnoteText">
    <w:name w:val="footnote text"/>
    <w:basedOn w:val="Normal"/>
    <w:link w:val="FootnoteTextChar"/>
    <w:uiPriority w:val="99"/>
    <w:semiHidden/>
    <w:unhideWhenUsed/>
    <w:rsid w:val="00E34C62"/>
    <w:pPr>
      <w:spacing w:after="0" w:line="240" w:lineRule="auto"/>
    </w:pPr>
  </w:style>
  <w:style w:type="character" w:customStyle="1" w:styleId="FootnoteTextChar">
    <w:name w:val="Footnote Text Char"/>
    <w:basedOn w:val="DefaultParagraphFont"/>
    <w:link w:val="FootnoteText"/>
    <w:uiPriority w:val="99"/>
    <w:semiHidden/>
    <w:rsid w:val="00E34C62"/>
    <w:rPr>
      <w:rFonts w:ascii="Calibri" w:hAnsi="Calibri" w:cs="Calibri"/>
      <w:sz w:val="20"/>
      <w:szCs w:val="20"/>
    </w:rPr>
  </w:style>
  <w:style w:type="character" w:styleId="FootnoteReference">
    <w:name w:val="footnote reference"/>
    <w:basedOn w:val="DefaultParagraphFont"/>
    <w:uiPriority w:val="99"/>
    <w:semiHidden/>
    <w:unhideWhenUsed/>
    <w:rsid w:val="00E34C62"/>
    <w:rPr>
      <w:vertAlign w:val="superscript"/>
    </w:rPr>
  </w:style>
  <w:style w:type="character" w:styleId="UnresolvedMention">
    <w:name w:val="Unresolved Mention"/>
    <w:basedOn w:val="DefaultParagraphFont"/>
    <w:uiPriority w:val="99"/>
    <w:semiHidden/>
    <w:unhideWhenUsed/>
    <w:rsid w:val="00531229"/>
    <w:rPr>
      <w:color w:val="605E5C"/>
      <w:shd w:val="clear" w:color="auto" w:fill="E1DFDD"/>
    </w:rPr>
  </w:style>
  <w:style w:type="table" w:styleId="TableGrid">
    <w:name w:val="Table Grid"/>
    <w:basedOn w:val="TableNormal"/>
    <w:uiPriority w:val="39"/>
    <w:rsid w:val="008D48EF"/>
    <w:pPr>
      <w:spacing w:after="0" w:line="240" w:lineRule="auto"/>
    </w:pPr>
    <w:tblPr>
      <w:tblInd w:w="0" w:type="nil"/>
      <w:tblCellMar>
        <w:left w:w="0" w:type="dxa"/>
        <w:right w:w="0" w:type="dxa"/>
      </w:tblCellMar>
    </w:tblPr>
  </w:style>
  <w:style w:type="character" w:styleId="FollowedHyperlink">
    <w:name w:val="FollowedHyperlink"/>
    <w:basedOn w:val="DefaultParagraphFont"/>
    <w:uiPriority w:val="99"/>
    <w:semiHidden/>
    <w:unhideWhenUsed/>
    <w:rsid w:val="00F55C1E"/>
    <w:rPr>
      <w:color w:val="96607D" w:themeColor="followedHyperlink"/>
      <w:u w:val="single"/>
    </w:rPr>
  </w:style>
  <w:style w:type="paragraph" w:customStyle="1" w:styleId="whitespace-pre-wrap">
    <w:name w:val="whitespace-pre-wrap"/>
    <w:basedOn w:val="Normal"/>
    <w:rsid w:val="00E50268"/>
    <w:pPr>
      <w:spacing w:before="100" w:beforeAutospacing="1" w:after="100" w:afterAutospacing="1" w:line="240" w:lineRule="auto"/>
    </w:pPr>
    <w:rPr>
      <w:rFonts w:ascii="Times New Roman" w:eastAsia="Times New Roman" w:hAnsi="Times New Roman" w:cs="Times New Roman"/>
      <w:lang w:eastAsia="en-US"/>
    </w:rPr>
  </w:style>
  <w:style w:type="paragraph" w:styleId="Caption">
    <w:name w:val="caption"/>
    <w:basedOn w:val="Normal"/>
    <w:next w:val="Normal"/>
    <w:uiPriority w:val="35"/>
    <w:unhideWhenUsed/>
    <w:qFormat/>
    <w:rsid w:val="00683607"/>
    <w:pPr>
      <w:spacing w:after="200" w:line="240" w:lineRule="auto"/>
    </w:pPr>
    <w:rPr>
      <w:iCs/>
      <w:color w:val="0E2841" w:themeColor="text2"/>
      <w:sz w:val="16"/>
      <w:szCs w:val="18"/>
    </w:rPr>
  </w:style>
  <w:style w:type="character" w:styleId="Emphasis">
    <w:name w:val="Emphasis"/>
    <w:basedOn w:val="DefaultParagraphFont"/>
    <w:uiPriority w:val="20"/>
    <w:qFormat/>
    <w:rsid w:val="00E6132B"/>
    <w:rPr>
      <w:i/>
      <w:iCs/>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ascii="Calibri" w:hAnsi="Calibri" w:cs="Calibri"/>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46242"/>
    <w:rPr>
      <w:b/>
      <w:bCs/>
    </w:rPr>
  </w:style>
  <w:style w:type="character" w:customStyle="1" w:styleId="CommentSubjectChar">
    <w:name w:val="Comment Subject Char"/>
    <w:basedOn w:val="CommentTextChar"/>
    <w:link w:val="CommentSubject"/>
    <w:uiPriority w:val="99"/>
    <w:semiHidden/>
    <w:rsid w:val="00B46242"/>
    <w:rPr>
      <w:rFonts w:ascii="Calibri" w:hAnsi="Calibri" w:cs="Calibri"/>
      <w:b/>
      <w:bCs/>
      <w:sz w:val="20"/>
      <w:szCs w:val="20"/>
    </w:rPr>
  </w:style>
  <w:style w:type="paragraph" w:styleId="Revision">
    <w:name w:val="Revision"/>
    <w:hidden/>
    <w:uiPriority w:val="99"/>
    <w:semiHidden/>
    <w:rsid w:val="002225D0"/>
    <w:pPr>
      <w:spacing w:after="0" w:line="240" w:lineRule="auto"/>
    </w:pPr>
  </w:style>
  <w:style w:type="character" w:styleId="Mention">
    <w:name w:val="Mention"/>
    <w:basedOn w:val="DefaultParagraphFont"/>
    <w:uiPriority w:val="99"/>
    <w:unhideWhenUsed/>
    <w:rsid w:val="00197783"/>
    <w:rPr>
      <w:color w:val="2B579A"/>
      <w:shd w:val="clear" w:color="auto" w:fill="E1DFDD"/>
    </w:rPr>
  </w:style>
  <w:style w:type="paragraph" w:styleId="NormalWeb">
    <w:name w:val="Normal (Web)"/>
    <w:basedOn w:val="Normal"/>
    <w:uiPriority w:val="99"/>
    <w:semiHidden/>
    <w:unhideWhenUsed/>
    <w:rsid w:val="00E31F3D"/>
    <w:rPr>
      <w:rFonts w:ascii="Times New Roman" w:hAnsi="Times New Roman" w:cs="Times New Roman"/>
    </w:rPr>
  </w:style>
  <w:style w:type="character" w:styleId="Strong">
    <w:name w:val="Strong"/>
    <w:basedOn w:val="DefaultParagraphFont"/>
    <w:uiPriority w:val="22"/>
    <w:qFormat/>
    <w:rsid w:val="008011BD"/>
    <w:rPr>
      <w:b/>
      <w:bCs/>
    </w:rPr>
  </w:style>
  <w:style w:type="character" w:customStyle="1" w:styleId="HTMLPreformattedChar1">
    <w:name w:val="HTML Preformatted Char1"/>
    <w:basedOn w:val="DefaultParagraphFont"/>
    <w:uiPriority w:val="99"/>
    <w:semiHidden/>
    <w:rsid w:val="00015424"/>
    <w:rPr>
      <w:rFonts w:ascii="Consolas" w:hAnsi="Consolas"/>
      <w:sz w:val="20"/>
      <w:szCs w:val="20"/>
    </w:rPr>
  </w:style>
  <w:style w:type="table" w:styleId="GridTable1Light">
    <w:name w:val="Grid Table 1 Light"/>
    <w:basedOn w:val="TableNormal"/>
    <w:uiPriority w:val="46"/>
    <w:rsid w:val="00A64FE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3-Accent4">
    <w:name w:val="Grid Table 3 Accent 4"/>
    <w:basedOn w:val="TableNormal"/>
    <w:uiPriority w:val="48"/>
    <w:rsid w:val="00F32EC5"/>
    <w:pPr>
      <w:spacing w:after="0" w:line="240" w:lineRule="auto"/>
    </w:pPr>
    <w:rPr>
      <w:rFonts w:eastAsiaTheme="minorHAnsi"/>
      <w:kern w:val="2"/>
      <w:lang w:eastAsia="en-US"/>
      <w14:ligatures w14:val="standardContextual"/>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customStyle="1" w:styleId="CSETable">
    <w:name w:val="CSE Table"/>
    <w:basedOn w:val="TableNormal"/>
    <w:uiPriority w:val="99"/>
    <w:rsid w:val="002475CE"/>
    <w:pPr>
      <w:spacing w:after="0" w:line="240" w:lineRule="auto"/>
    </w:pPr>
    <w:rPr>
      <w:rFonts w:eastAsiaTheme="minorHAnsi"/>
      <w:color w:val="3C3A4C"/>
      <w:sz w:val="22"/>
      <w:lang w:eastAsia="en-US"/>
    </w:rPr>
    <w:tblPr>
      <w:tblStyleRowBandSize w:val="1"/>
      <w:tblBorders>
        <w:insideH w:val="single" w:sz="4" w:space="0" w:color="FFFFFF" w:themeColor="background1"/>
        <w:insideV w:val="single" w:sz="4" w:space="0" w:color="FFFFFF" w:themeColor="background1"/>
      </w:tblBorders>
      <w:tblCellMar>
        <w:top w:w="58" w:type="dxa"/>
        <w:left w:w="86" w:type="dxa"/>
        <w:bottom w:w="58" w:type="dxa"/>
        <w:right w:w="86" w:type="dxa"/>
      </w:tblCellMar>
    </w:tblPr>
    <w:tcPr>
      <w:shd w:val="clear" w:color="auto" w:fill="auto"/>
    </w:tcPr>
    <w:tblStylePr w:type="firstRow">
      <w:pPr>
        <w:jc w:val="left"/>
      </w:pPr>
      <w:tblPr/>
      <w:tcPr>
        <w:shd w:val="clear" w:color="auto" w:fill="3C3A4C"/>
      </w:tcPr>
    </w:tblStylePr>
    <w:tblStylePr w:type="band2Horz">
      <w:tblPr/>
      <w:tcPr>
        <w:shd w:val="clear" w:color="auto" w:fill="EBEBEB"/>
      </w:tcPr>
    </w:tblStylePr>
  </w:style>
  <w:style w:type="character" w:customStyle="1" w:styleId="normaltextrun">
    <w:name w:val="normaltextrun"/>
    <w:basedOn w:val="DefaultParagraphFont"/>
    <w:rsid w:val="002475CE"/>
  </w:style>
  <w:style w:type="character" w:customStyle="1" w:styleId="eop">
    <w:name w:val="eop"/>
    <w:basedOn w:val="DefaultParagraphFont"/>
    <w:rsid w:val="002475CE"/>
  </w:style>
  <w:style w:type="paragraph" w:customStyle="1" w:styleId="paragraph">
    <w:name w:val="paragraph"/>
    <w:basedOn w:val="Normal"/>
    <w:rsid w:val="00D56F24"/>
    <w:pPr>
      <w:spacing w:before="100" w:beforeAutospacing="1" w:after="100" w:afterAutospacing="1" w:line="240" w:lineRule="auto"/>
    </w:pPr>
    <w:rPr>
      <w:rFonts w:ascii="Times New Roman" w:eastAsia="Times New Roman" w:hAnsi="Times New Roman" w:cs="Times New Roman"/>
      <w:lang w:eastAsia="en-US"/>
    </w:rPr>
  </w:style>
  <w:style w:type="table" w:styleId="GridTable2">
    <w:name w:val="Grid Table 2"/>
    <w:basedOn w:val="TableNormal"/>
    <w:uiPriority w:val="47"/>
    <w:rsid w:val="006652D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s-1">
    <w:name w:val="ms-1"/>
    <w:basedOn w:val="DefaultParagraphFont"/>
    <w:rsid w:val="00B520BF"/>
  </w:style>
  <w:style w:type="character" w:customStyle="1" w:styleId="max-w-15ch">
    <w:name w:val="max-w-[15ch]"/>
    <w:basedOn w:val="DefaultParagraphFont"/>
    <w:rsid w:val="00B520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5725">
      <w:bodyDiv w:val="1"/>
      <w:marLeft w:val="0"/>
      <w:marRight w:val="0"/>
      <w:marTop w:val="0"/>
      <w:marBottom w:val="0"/>
      <w:divBdr>
        <w:top w:val="none" w:sz="0" w:space="0" w:color="auto"/>
        <w:left w:val="none" w:sz="0" w:space="0" w:color="auto"/>
        <w:bottom w:val="none" w:sz="0" w:space="0" w:color="auto"/>
        <w:right w:val="none" w:sz="0" w:space="0" w:color="auto"/>
      </w:divBdr>
    </w:div>
    <w:div w:id="9265346">
      <w:bodyDiv w:val="1"/>
      <w:marLeft w:val="0"/>
      <w:marRight w:val="0"/>
      <w:marTop w:val="0"/>
      <w:marBottom w:val="0"/>
      <w:divBdr>
        <w:top w:val="none" w:sz="0" w:space="0" w:color="auto"/>
        <w:left w:val="none" w:sz="0" w:space="0" w:color="auto"/>
        <w:bottom w:val="none" w:sz="0" w:space="0" w:color="auto"/>
        <w:right w:val="none" w:sz="0" w:space="0" w:color="auto"/>
      </w:divBdr>
    </w:div>
    <w:div w:id="27220493">
      <w:bodyDiv w:val="1"/>
      <w:marLeft w:val="0"/>
      <w:marRight w:val="0"/>
      <w:marTop w:val="0"/>
      <w:marBottom w:val="0"/>
      <w:divBdr>
        <w:top w:val="none" w:sz="0" w:space="0" w:color="auto"/>
        <w:left w:val="none" w:sz="0" w:space="0" w:color="auto"/>
        <w:bottom w:val="none" w:sz="0" w:space="0" w:color="auto"/>
        <w:right w:val="none" w:sz="0" w:space="0" w:color="auto"/>
      </w:divBdr>
    </w:div>
    <w:div w:id="51274103">
      <w:bodyDiv w:val="1"/>
      <w:marLeft w:val="0"/>
      <w:marRight w:val="0"/>
      <w:marTop w:val="0"/>
      <w:marBottom w:val="0"/>
      <w:divBdr>
        <w:top w:val="none" w:sz="0" w:space="0" w:color="auto"/>
        <w:left w:val="none" w:sz="0" w:space="0" w:color="auto"/>
        <w:bottom w:val="none" w:sz="0" w:space="0" w:color="auto"/>
        <w:right w:val="none" w:sz="0" w:space="0" w:color="auto"/>
      </w:divBdr>
    </w:div>
    <w:div w:id="91828468">
      <w:bodyDiv w:val="1"/>
      <w:marLeft w:val="0"/>
      <w:marRight w:val="0"/>
      <w:marTop w:val="0"/>
      <w:marBottom w:val="0"/>
      <w:divBdr>
        <w:top w:val="none" w:sz="0" w:space="0" w:color="auto"/>
        <w:left w:val="none" w:sz="0" w:space="0" w:color="auto"/>
        <w:bottom w:val="none" w:sz="0" w:space="0" w:color="auto"/>
        <w:right w:val="none" w:sz="0" w:space="0" w:color="auto"/>
      </w:divBdr>
      <w:divsChild>
        <w:div w:id="561990104">
          <w:marLeft w:val="0"/>
          <w:marRight w:val="0"/>
          <w:marTop w:val="0"/>
          <w:marBottom w:val="0"/>
          <w:divBdr>
            <w:top w:val="none" w:sz="0" w:space="0" w:color="auto"/>
            <w:left w:val="none" w:sz="0" w:space="0" w:color="auto"/>
            <w:bottom w:val="none" w:sz="0" w:space="0" w:color="auto"/>
            <w:right w:val="none" w:sz="0" w:space="0" w:color="auto"/>
          </w:divBdr>
        </w:div>
      </w:divsChild>
    </w:div>
    <w:div w:id="111245648">
      <w:bodyDiv w:val="1"/>
      <w:marLeft w:val="0"/>
      <w:marRight w:val="0"/>
      <w:marTop w:val="0"/>
      <w:marBottom w:val="0"/>
      <w:divBdr>
        <w:top w:val="none" w:sz="0" w:space="0" w:color="auto"/>
        <w:left w:val="none" w:sz="0" w:space="0" w:color="auto"/>
        <w:bottom w:val="none" w:sz="0" w:space="0" w:color="auto"/>
        <w:right w:val="none" w:sz="0" w:space="0" w:color="auto"/>
      </w:divBdr>
    </w:div>
    <w:div w:id="127940756">
      <w:bodyDiv w:val="1"/>
      <w:marLeft w:val="0"/>
      <w:marRight w:val="0"/>
      <w:marTop w:val="0"/>
      <w:marBottom w:val="0"/>
      <w:divBdr>
        <w:top w:val="none" w:sz="0" w:space="0" w:color="auto"/>
        <w:left w:val="none" w:sz="0" w:space="0" w:color="auto"/>
        <w:bottom w:val="none" w:sz="0" w:space="0" w:color="auto"/>
        <w:right w:val="none" w:sz="0" w:space="0" w:color="auto"/>
      </w:divBdr>
    </w:div>
    <w:div w:id="187375650">
      <w:bodyDiv w:val="1"/>
      <w:marLeft w:val="0"/>
      <w:marRight w:val="0"/>
      <w:marTop w:val="0"/>
      <w:marBottom w:val="0"/>
      <w:divBdr>
        <w:top w:val="none" w:sz="0" w:space="0" w:color="auto"/>
        <w:left w:val="none" w:sz="0" w:space="0" w:color="auto"/>
        <w:bottom w:val="none" w:sz="0" w:space="0" w:color="auto"/>
        <w:right w:val="none" w:sz="0" w:space="0" w:color="auto"/>
      </w:divBdr>
    </w:div>
    <w:div w:id="188419664">
      <w:bodyDiv w:val="1"/>
      <w:marLeft w:val="0"/>
      <w:marRight w:val="0"/>
      <w:marTop w:val="0"/>
      <w:marBottom w:val="0"/>
      <w:divBdr>
        <w:top w:val="none" w:sz="0" w:space="0" w:color="auto"/>
        <w:left w:val="none" w:sz="0" w:space="0" w:color="auto"/>
        <w:bottom w:val="none" w:sz="0" w:space="0" w:color="auto"/>
        <w:right w:val="none" w:sz="0" w:space="0" w:color="auto"/>
      </w:divBdr>
    </w:div>
    <w:div w:id="204029130">
      <w:bodyDiv w:val="1"/>
      <w:marLeft w:val="0"/>
      <w:marRight w:val="0"/>
      <w:marTop w:val="0"/>
      <w:marBottom w:val="0"/>
      <w:divBdr>
        <w:top w:val="none" w:sz="0" w:space="0" w:color="auto"/>
        <w:left w:val="none" w:sz="0" w:space="0" w:color="auto"/>
        <w:bottom w:val="none" w:sz="0" w:space="0" w:color="auto"/>
        <w:right w:val="none" w:sz="0" w:space="0" w:color="auto"/>
      </w:divBdr>
    </w:div>
    <w:div w:id="223493062">
      <w:bodyDiv w:val="1"/>
      <w:marLeft w:val="0"/>
      <w:marRight w:val="0"/>
      <w:marTop w:val="0"/>
      <w:marBottom w:val="0"/>
      <w:divBdr>
        <w:top w:val="none" w:sz="0" w:space="0" w:color="auto"/>
        <w:left w:val="none" w:sz="0" w:space="0" w:color="auto"/>
        <w:bottom w:val="none" w:sz="0" w:space="0" w:color="auto"/>
        <w:right w:val="none" w:sz="0" w:space="0" w:color="auto"/>
      </w:divBdr>
    </w:div>
    <w:div w:id="249312229">
      <w:bodyDiv w:val="1"/>
      <w:marLeft w:val="0"/>
      <w:marRight w:val="0"/>
      <w:marTop w:val="0"/>
      <w:marBottom w:val="0"/>
      <w:divBdr>
        <w:top w:val="none" w:sz="0" w:space="0" w:color="auto"/>
        <w:left w:val="none" w:sz="0" w:space="0" w:color="auto"/>
        <w:bottom w:val="none" w:sz="0" w:space="0" w:color="auto"/>
        <w:right w:val="none" w:sz="0" w:space="0" w:color="auto"/>
      </w:divBdr>
    </w:div>
    <w:div w:id="251203590">
      <w:bodyDiv w:val="1"/>
      <w:marLeft w:val="0"/>
      <w:marRight w:val="0"/>
      <w:marTop w:val="0"/>
      <w:marBottom w:val="0"/>
      <w:divBdr>
        <w:top w:val="none" w:sz="0" w:space="0" w:color="auto"/>
        <w:left w:val="none" w:sz="0" w:space="0" w:color="auto"/>
        <w:bottom w:val="none" w:sz="0" w:space="0" w:color="auto"/>
        <w:right w:val="none" w:sz="0" w:space="0" w:color="auto"/>
      </w:divBdr>
    </w:div>
    <w:div w:id="253633722">
      <w:bodyDiv w:val="1"/>
      <w:marLeft w:val="0"/>
      <w:marRight w:val="0"/>
      <w:marTop w:val="0"/>
      <w:marBottom w:val="0"/>
      <w:divBdr>
        <w:top w:val="none" w:sz="0" w:space="0" w:color="auto"/>
        <w:left w:val="none" w:sz="0" w:space="0" w:color="auto"/>
        <w:bottom w:val="none" w:sz="0" w:space="0" w:color="auto"/>
        <w:right w:val="none" w:sz="0" w:space="0" w:color="auto"/>
      </w:divBdr>
    </w:div>
    <w:div w:id="274797478">
      <w:bodyDiv w:val="1"/>
      <w:marLeft w:val="0"/>
      <w:marRight w:val="0"/>
      <w:marTop w:val="0"/>
      <w:marBottom w:val="0"/>
      <w:divBdr>
        <w:top w:val="none" w:sz="0" w:space="0" w:color="auto"/>
        <w:left w:val="none" w:sz="0" w:space="0" w:color="auto"/>
        <w:bottom w:val="none" w:sz="0" w:space="0" w:color="auto"/>
        <w:right w:val="none" w:sz="0" w:space="0" w:color="auto"/>
      </w:divBdr>
    </w:div>
    <w:div w:id="320625741">
      <w:bodyDiv w:val="1"/>
      <w:marLeft w:val="0"/>
      <w:marRight w:val="0"/>
      <w:marTop w:val="0"/>
      <w:marBottom w:val="0"/>
      <w:divBdr>
        <w:top w:val="none" w:sz="0" w:space="0" w:color="auto"/>
        <w:left w:val="none" w:sz="0" w:space="0" w:color="auto"/>
        <w:bottom w:val="none" w:sz="0" w:space="0" w:color="auto"/>
        <w:right w:val="none" w:sz="0" w:space="0" w:color="auto"/>
      </w:divBdr>
    </w:div>
    <w:div w:id="401297291">
      <w:bodyDiv w:val="1"/>
      <w:marLeft w:val="0"/>
      <w:marRight w:val="0"/>
      <w:marTop w:val="0"/>
      <w:marBottom w:val="0"/>
      <w:divBdr>
        <w:top w:val="none" w:sz="0" w:space="0" w:color="auto"/>
        <w:left w:val="none" w:sz="0" w:space="0" w:color="auto"/>
        <w:bottom w:val="none" w:sz="0" w:space="0" w:color="auto"/>
        <w:right w:val="none" w:sz="0" w:space="0" w:color="auto"/>
      </w:divBdr>
      <w:divsChild>
        <w:div w:id="474878406">
          <w:marLeft w:val="0"/>
          <w:marRight w:val="0"/>
          <w:marTop w:val="0"/>
          <w:marBottom w:val="0"/>
          <w:divBdr>
            <w:top w:val="none" w:sz="0" w:space="0" w:color="auto"/>
            <w:left w:val="none" w:sz="0" w:space="0" w:color="auto"/>
            <w:bottom w:val="none" w:sz="0" w:space="0" w:color="auto"/>
            <w:right w:val="none" w:sz="0" w:space="0" w:color="auto"/>
          </w:divBdr>
        </w:div>
        <w:div w:id="1702050159">
          <w:marLeft w:val="0"/>
          <w:marRight w:val="0"/>
          <w:marTop w:val="0"/>
          <w:marBottom w:val="0"/>
          <w:divBdr>
            <w:top w:val="none" w:sz="0" w:space="0" w:color="auto"/>
            <w:left w:val="none" w:sz="0" w:space="0" w:color="auto"/>
            <w:bottom w:val="none" w:sz="0" w:space="0" w:color="auto"/>
            <w:right w:val="none" w:sz="0" w:space="0" w:color="auto"/>
          </w:divBdr>
        </w:div>
        <w:div w:id="1933510277">
          <w:marLeft w:val="0"/>
          <w:marRight w:val="0"/>
          <w:marTop w:val="0"/>
          <w:marBottom w:val="0"/>
          <w:divBdr>
            <w:top w:val="none" w:sz="0" w:space="0" w:color="auto"/>
            <w:left w:val="none" w:sz="0" w:space="0" w:color="auto"/>
            <w:bottom w:val="none" w:sz="0" w:space="0" w:color="auto"/>
            <w:right w:val="none" w:sz="0" w:space="0" w:color="auto"/>
          </w:divBdr>
        </w:div>
        <w:div w:id="1952932381">
          <w:marLeft w:val="0"/>
          <w:marRight w:val="0"/>
          <w:marTop w:val="0"/>
          <w:marBottom w:val="0"/>
          <w:divBdr>
            <w:top w:val="none" w:sz="0" w:space="0" w:color="auto"/>
            <w:left w:val="none" w:sz="0" w:space="0" w:color="auto"/>
            <w:bottom w:val="none" w:sz="0" w:space="0" w:color="auto"/>
            <w:right w:val="none" w:sz="0" w:space="0" w:color="auto"/>
          </w:divBdr>
        </w:div>
        <w:div w:id="2133551391">
          <w:marLeft w:val="0"/>
          <w:marRight w:val="0"/>
          <w:marTop w:val="0"/>
          <w:marBottom w:val="0"/>
          <w:divBdr>
            <w:top w:val="none" w:sz="0" w:space="0" w:color="auto"/>
            <w:left w:val="none" w:sz="0" w:space="0" w:color="auto"/>
            <w:bottom w:val="none" w:sz="0" w:space="0" w:color="auto"/>
            <w:right w:val="none" w:sz="0" w:space="0" w:color="auto"/>
          </w:divBdr>
        </w:div>
      </w:divsChild>
    </w:div>
    <w:div w:id="409425311">
      <w:bodyDiv w:val="1"/>
      <w:marLeft w:val="0"/>
      <w:marRight w:val="0"/>
      <w:marTop w:val="0"/>
      <w:marBottom w:val="0"/>
      <w:divBdr>
        <w:top w:val="none" w:sz="0" w:space="0" w:color="auto"/>
        <w:left w:val="none" w:sz="0" w:space="0" w:color="auto"/>
        <w:bottom w:val="none" w:sz="0" w:space="0" w:color="auto"/>
        <w:right w:val="none" w:sz="0" w:space="0" w:color="auto"/>
      </w:divBdr>
    </w:div>
    <w:div w:id="441388153">
      <w:bodyDiv w:val="1"/>
      <w:marLeft w:val="0"/>
      <w:marRight w:val="0"/>
      <w:marTop w:val="0"/>
      <w:marBottom w:val="0"/>
      <w:divBdr>
        <w:top w:val="none" w:sz="0" w:space="0" w:color="auto"/>
        <w:left w:val="none" w:sz="0" w:space="0" w:color="auto"/>
        <w:bottom w:val="none" w:sz="0" w:space="0" w:color="auto"/>
        <w:right w:val="none" w:sz="0" w:space="0" w:color="auto"/>
      </w:divBdr>
    </w:div>
    <w:div w:id="475486907">
      <w:bodyDiv w:val="1"/>
      <w:marLeft w:val="0"/>
      <w:marRight w:val="0"/>
      <w:marTop w:val="0"/>
      <w:marBottom w:val="0"/>
      <w:divBdr>
        <w:top w:val="none" w:sz="0" w:space="0" w:color="auto"/>
        <w:left w:val="none" w:sz="0" w:space="0" w:color="auto"/>
        <w:bottom w:val="none" w:sz="0" w:space="0" w:color="auto"/>
        <w:right w:val="none" w:sz="0" w:space="0" w:color="auto"/>
      </w:divBdr>
    </w:div>
    <w:div w:id="500437448">
      <w:bodyDiv w:val="1"/>
      <w:marLeft w:val="0"/>
      <w:marRight w:val="0"/>
      <w:marTop w:val="0"/>
      <w:marBottom w:val="0"/>
      <w:divBdr>
        <w:top w:val="none" w:sz="0" w:space="0" w:color="auto"/>
        <w:left w:val="none" w:sz="0" w:space="0" w:color="auto"/>
        <w:bottom w:val="none" w:sz="0" w:space="0" w:color="auto"/>
        <w:right w:val="none" w:sz="0" w:space="0" w:color="auto"/>
      </w:divBdr>
    </w:div>
    <w:div w:id="503931759">
      <w:bodyDiv w:val="1"/>
      <w:marLeft w:val="0"/>
      <w:marRight w:val="0"/>
      <w:marTop w:val="0"/>
      <w:marBottom w:val="0"/>
      <w:divBdr>
        <w:top w:val="none" w:sz="0" w:space="0" w:color="auto"/>
        <w:left w:val="none" w:sz="0" w:space="0" w:color="auto"/>
        <w:bottom w:val="none" w:sz="0" w:space="0" w:color="auto"/>
        <w:right w:val="none" w:sz="0" w:space="0" w:color="auto"/>
      </w:divBdr>
    </w:div>
    <w:div w:id="526914491">
      <w:bodyDiv w:val="1"/>
      <w:marLeft w:val="0"/>
      <w:marRight w:val="0"/>
      <w:marTop w:val="0"/>
      <w:marBottom w:val="0"/>
      <w:divBdr>
        <w:top w:val="none" w:sz="0" w:space="0" w:color="auto"/>
        <w:left w:val="none" w:sz="0" w:space="0" w:color="auto"/>
        <w:bottom w:val="none" w:sz="0" w:space="0" w:color="auto"/>
        <w:right w:val="none" w:sz="0" w:space="0" w:color="auto"/>
      </w:divBdr>
    </w:div>
    <w:div w:id="550730026">
      <w:bodyDiv w:val="1"/>
      <w:marLeft w:val="0"/>
      <w:marRight w:val="0"/>
      <w:marTop w:val="0"/>
      <w:marBottom w:val="0"/>
      <w:divBdr>
        <w:top w:val="none" w:sz="0" w:space="0" w:color="auto"/>
        <w:left w:val="none" w:sz="0" w:space="0" w:color="auto"/>
        <w:bottom w:val="none" w:sz="0" w:space="0" w:color="auto"/>
        <w:right w:val="none" w:sz="0" w:space="0" w:color="auto"/>
      </w:divBdr>
    </w:div>
    <w:div w:id="597449878">
      <w:bodyDiv w:val="1"/>
      <w:marLeft w:val="0"/>
      <w:marRight w:val="0"/>
      <w:marTop w:val="0"/>
      <w:marBottom w:val="0"/>
      <w:divBdr>
        <w:top w:val="none" w:sz="0" w:space="0" w:color="auto"/>
        <w:left w:val="none" w:sz="0" w:space="0" w:color="auto"/>
        <w:bottom w:val="none" w:sz="0" w:space="0" w:color="auto"/>
        <w:right w:val="none" w:sz="0" w:space="0" w:color="auto"/>
      </w:divBdr>
    </w:div>
    <w:div w:id="608973280">
      <w:bodyDiv w:val="1"/>
      <w:marLeft w:val="0"/>
      <w:marRight w:val="0"/>
      <w:marTop w:val="0"/>
      <w:marBottom w:val="0"/>
      <w:divBdr>
        <w:top w:val="none" w:sz="0" w:space="0" w:color="auto"/>
        <w:left w:val="none" w:sz="0" w:space="0" w:color="auto"/>
        <w:bottom w:val="none" w:sz="0" w:space="0" w:color="auto"/>
        <w:right w:val="none" w:sz="0" w:space="0" w:color="auto"/>
      </w:divBdr>
    </w:div>
    <w:div w:id="614598029">
      <w:bodyDiv w:val="1"/>
      <w:marLeft w:val="0"/>
      <w:marRight w:val="0"/>
      <w:marTop w:val="0"/>
      <w:marBottom w:val="0"/>
      <w:divBdr>
        <w:top w:val="none" w:sz="0" w:space="0" w:color="auto"/>
        <w:left w:val="none" w:sz="0" w:space="0" w:color="auto"/>
        <w:bottom w:val="none" w:sz="0" w:space="0" w:color="auto"/>
        <w:right w:val="none" w:sz="0" w:space="0" w:color="auto"/>
      </w:divBdr>
    </w:div>
    <w:div w:id="668025609">
      <w:bodyDiv w:val="1"/>
      <w:marLeft w:val="0"/>
      <w:marRight w:val="0"/>
      <w:marTop w:val="0"/>
      <w:marBottom w:val="0"/>
      <w:divBdr>
        <w:top w:val="none" w:sz="0" w:space="0" w:color="auto"/>
        <w:left w:val="none" w:sz="0" w:space="0" w:color="auto"/>
        <w:bottom w:val="none" w:sz="0" w:space="0" w:color="auto"/>
        <w:right w:val="none" w:sz="0" w:space="0" w:color="auto"/>
      </w:divBdr>
    </w:div>
    <w:div w:id="671181358">
      <w:bodyDiv w:val="1"/>
      <w:marLeft w:val="0"/>
      <w:marRight w:val="0"/>
      <w:marTop w:val="0"/>
      <w:marBottom w:val="0"/>
      <w:divBdr>
        <w:top w:val="none" w:sz="0" w:space="0" w:color="auto"/>
        <w:left w:val="none" w:sz="0" w:space="0" w:color="auto"/>
        <w:bottom w:val="none" w:sz="0" w:space="0" w:color="auto"/>
        <w:right w:val="none" w:sz="0" w:space="0" w:color="auto"/>
      </w:divBdr>
    </w:div>
    <w:div w:id="685982472">
      <w:bodyDiv w:val="1"/>
      <w:marLeft w:val="0"/>
      <w:marRight w:val="0"/>
      <w:marTop w:val="0"/>
      <w:marBottom w:val="0"/>
      <w:divBdr>
        <w:top w:val="none" w:sz="0" w:space="0" w:color="auto"/>
        <w:left w:val="none" w:sz="0" w:space="0" w:color="auto"/>
        <w:bottom w:val="none" w:sz="0" w:space="0" w:color="auto"/>
        <w:right w:val="none" w:sz="0" w:space="0" w:color="auto"/>
      </w:divBdr>
    </w:div>
    <w:div w:id="696782579">
      <w:bodyDiv w:val="1"/>
      <w:marLeft w:val="0"/>
      <w:marRight w:val="0"/>
      <w:marTop w:val="0"/>
      <w:marBottom w:val="0"/>
      <w:divBdr>
        <w:top w:val="none" w:sz="0" w:space="0" w:color="auto"/>
        <w:left w:val="none" w:sz="0" w:space="0" w:color="auto"/>
        <w:bottom w:val="none" w:sz="0" w:space="0" w:color="auto"/>
        <w:right w:val="none" w:sz="0" w:space="0" w:color="auto"/>
      </w:divBdr>
    </w:div>
    <w:div w:id="699016948">
      <w:bodyDiv w:val="1"/>
      <w:marLeft w:val="0"/>
      <w:marRight w:val="0"/>
      <w:marTop w:val="0"/>
      <w:marBottom w:val="0"/>
      <w:divBdr>
        <w:top w:val="none" w:sz="0" w:space="0" w:color="auto"/>
        <w:left w:val="none" w:sz="0" w:space="0" w:color="auto"/>
        <w:bottom w:val="none" w:sz="0" w:space="0" w:color="auto"/>
        <w:right w:val="none" w:sz="0" w:space="0" w:color="auto"/>
      </w:divBdr>
    </w:div>
    <w:div w:id="710614093">
      <w:bodyDiv w:val="1"/>
      <w:marLeft w:val="0"/>
      <w:marRight w:val="0"/>
      <w:marTop w:val="0"/>
      <w:marBottom w:val="0"/>
      <w:divBdr>
        <w:top w:val="none" w:sz="0" w:space="0" w:color="auto"/>
        <w:left w:val="none" w:sz="0" w:space="0" w:color="auto"/>
        <w:bottom w:val="none" w:sz="0" w:space="0" w:color="auto"/>
        <w:right w:val="none" w:sz="0" w:space="0" w:color="auto"/>
      </w:divBdr>
    </w:div>
    <w:div w:id="736971647">
      <w:bodyDiv w:val="1"/>
      <w:marLeft w:val="0"/>
      <w:marRight w:val="0"/>
      <w:marTop w:val="0"/>
      <w:marBottom w:val="0"/>
      <w:divBdr>
        <w:top w:val="none" w:sz="0" w:space="0" w:color="auto"/>
        <w:left w:val="none" w:sz="0" w:space="0" w:color="auto"/>
        <w:bottom w:val="none" w:sz="0" w:space="0" w:color="auto"/>
        <w:right w:val="none" w:sz="0" w:space="0" w:color="auto"/>
      </w:divBdr>
    </w:div>
    <w:div w:id="741951754">
      <w:bodyDiv w:val="1"/>
      <w:marLeft w:val="0"/>
      <w:marRight w:val="0"/>
      <w:marTop w:val="0"/>
      <w:marBottom w:val="0"/>
      <w:divBdr>
        <w:top w:val="none" w:sz="0" w:space="0" w:color="auto"/>
        <w:left w:val="none" w:sz="0" w:space="0" w:color="auto"/>
        <w:bottom w:val="none" w:sz="0" w:space="0" w:color="auto"/>
        <w:right w:val="none" w:sz="0" w:space="0" w:color="auto"/>
      </w:divBdr>
    </w:div>
    <w:div w:id="775100075">
      <w:bodyDiv w:val="1"/>
      <w:marLeft w:val="0"/>
      <w:marRight w:val="0"/>
      <w:marTop w:val="0"/>
      <w:marBottom w:val="0"/>
      <w:divBdr>
        <w:top w:val="none" w:sz="0" w:space="0" w:color="auto"/>
        <w:left w:val="none" w:sz="0" w:space="0" w:color="auto"/>
        <w:bottom w:val="none" w:sz="0" w:space="0" w:color="auto"/>
        <w:right w:val="none" w:sz="0" w:space="0" w:color="auto"/>
      </w:divBdr>
    </w:div>
    <w:div w:id="825436174">
      <w:bodyDiv w:val="1"/>
      <w:marLeft w:val="0"/>
      <w:marRight w:val="0"/>
      <w:marTop w:val="0"/>
      <w:marBottom w:val="0"/>
      <w:divBdr>
        <w:top w:val="none" w:sz="0" w:space="0" w:color="auto"/>
        <w:left w:val="none" w:sz="0" w:space="0" w:color="auto"/>
        <w:bottom w:val="none" w:sz="0" w:space="0" w:color="auto"/>
        <w:right w:val="none" w:sz="0" w:space="0" w:color="auto"/>
      </w:divBdr>
    </w:div>
    <w:div w:id="863203054">
      <w:bodyDiv w:val="1"/>
      <w:marLeft w:val="0"/>
      <w:marRight w:val="0"/>
      <w:marTop w:val="0"/>
      <w:marBottom w:val="0"/>
      <w:divBdr>
        <w:top w:val="none" w:sz="0" w:space="0" w:color="auto"/>
        <w:left w:val="none" w:sz="0" w:space="0" w:color="auto"/>
        <w:bottom w:val="none" w:sz="0" w:space="0" w:color="auto"/>
        <w:right w:val="none" w:sz="0" w:space="0" w:color="auto"/>
      </w:divBdr>
    </w:div>
    <w:div w:id="899705591">
      <w:bodyDiv w:val="1"/>
      <w:marLeft w:val="0"/>
      <w:marRight w:val="0"/>
      <w:marTop w:val="0"/>
      <w:marBottom w:val="0"/>
      <w:divBdr>
        <w:top w:val="none" w:sz="0" w:space="0" w:color="auto"/>
        <w:left w:val="none" w:sz="0" w:space="0" w:color="auto"/>
        <w:bottom w:val="none" w:sz="0" w:space="0" w:color="auto"/>
        <w:right w:val="none" w:sz="0" w:space="0" w:color="auto"/>
      </w:divBdr>
    </w:div>
    <w:div w:id="949093009">
      <w:bodyDiv w:val="1"/>
      <w:marLeft w:val="0"/>
      <w:marRight w:val="0"/>
      <w:marTop w:val="0"/>
      <w:marBottom w:val="0"/>
      <w:divBdr>
        <w:top w:val="none" w:sz="0" w:space="0" w:color="auto"/>
        <w:left w:val="none" w:sz="0" w:space="0" w:color="auto"/>
        <w:bottom w:val="none" w:sz="0" w:space="0" w:color="auto"/>
        <w:right w:val="none" w:sz="0" w:space="0" w:color="auto"/>
      </w:divBdr>
    </w:div>
    <w:div w:id="952705962">
      <w:bodyDiv w:val="1"/>
      <w:marLeft w:val="0"/>
      <w:marRight w:val="0"/>
      <w:marTop w:val="0"/>
      <w:marBottom w:val="0"/>
      <w:divBdr>
        <w:top w:val="none" w:sz="0" w:space="0" w:color="auto"/>
        <w:left w:val="none" w:sz="0" w:space="0" w:color="auto"/>
        <w:bottom w:val="none" w:sz="0" w:space="0" w:color="auto"/>
        <w:right w:val="none" w:sz="0" w:space="0" w:color="auto"/>
      </w:divBdr>
    </w:div>
    <w:div w:id="956565574">
      <w:bodyDiv w:val="1"/>
      <w:marLeft w:val="0"/>
      <w:marRight w:val="0"/>
      <w:marTop w:val="0"/>
      <w:marBottom w:val="0"/>
      <w:divBdr>
        <w:top w:val="none" w:sz="0" w:space="0" w:color="auto"/>
        <w:left w:val="none" w:sz="0" w:space="0" w:color="auto"/>
        <w:bottom w:val="none" w:sz="0" w:space="0" w:color="auto"/>
        <w:right w:val="none" w:sz="0" w:space="0" w:color="auto"/>
      </w:divBdr>
    </w:div>
    <w:div w:id="974532022">
      <w:bodyDiv w:val="1"/>
      <w:marLeft w:val="0"/>
      <w:marRight w:val="0"/>
      <w:marTop w:val="0"/>
      <w:marBottom w:val="0"/>
      <w:divBdr>
        <w:top w:val="none" w:sz="0" w:space="0" w:color="auto"/>
        <w:left w:val="none" w:sz="0" w:space="0" w:color="auto"/>
        <w:bottom w:val="none" w:sz="0" w:space="0" w:color="auto"/>
        <w:right w:val="none" w:sz="0" w:space="0" w:color="auto"/>
      </w:divBdr>
    </w:div>
    <w:div w:id="989208164">
      <w:bodyDiv w:val="1"/>
      <w:marLeft w:val="0"/>
      <w:marRight w:val="0"/>
      <w:marTop w:val="0"/>
      <w:marBottom w:val="0"/>
      <w:divBdr>
        <w:top w:val="none" w:sz="0" w:space="0" w:color="auto"/>
        <w:left w:val="none" w:sz="0" w:space="0" w:color="auto"/>
        <w:bottom w:val="none" w:sz="0" w:space="0" w:color="auto"/>
        <w:right w:val="none" w:sz="0" w:space="0" w:color="auto"/>
      </w:divBdr>
    </w:div>
    <w:div w:id="1000885573">
      <w:bodyDiv w:val="1"/>
      <w:marLeft w:val="0"/>
      <w:marRight w:val="0"/>
      <w:marTop w:val="0"/>
      <w:marBottom w:val="0"/>
      <w:divBdr>
        <w:top w:val="none" w:sz="0" w:space="0" w:color="auto"/>
        <w:left w:val="none" w:sz="0" w:space="0" w:color="auto"/>
        <w:bottom w:val="none" w:sz="0" w:space="0" w:color="auto"/>
        <w:right w:val="none" w:sz="0" w:space="0" w:color="auto"/>
      </w:divBdr>
    </w:div>
    <w:div w:id="1087649730">
      <w:bodyDiv w:val="1"/>
      <w:marLeft w:val="0"/>
      <w:marRight w:val="0"/>
      <w:marTop w:val="0"/>
      <w:marBottom w:val="0"/>
      <w:divBdr>
        <w:top w:val="none" w:sz="0" w:space="0" w:color="auto"/>
        <w:left w:val="none" w:sz="0" w:space="0" w:color="auto"/>
        <w:bottom w:val="none" w:sz="0" w:space="0" w:color="auto"/>
        <w:right w:val="none" w:sz="0" w:space="0" w:color="auto"/>
      </w:divBdr>
    </w:div>
    <w:div w:id="1117721967">
      <w:bodyDiv w:val="1"/>
      <w:marLeft w:val="0"/>
      <w:marRight w:val="0"/>
      <w:marTop w:val="0"/>
      <w:marBottom w:val="0"/>
      <w:divBdr>
        <w:top w:val="none" w:sz="0" w:space="0" w:color="auto"/>
        <w:left w:val="none" w:sz="0" w:space="0" w:color="auto"/>
        <w:bottom w:val="none" w:sz="0" w:space="0" w:color="auto"/>
        <w:right w:val="none" w:sz="0" w:space="0" w:color="auto"/>
      </w:divBdr>
    </w:div>
    <w:div w:id="1135754030">
      <w:bodyDiv w:val="1"/>
      <w:marLeft w:val="0"/>
      <w:marRight w:val="0"/>
      <w:marTop w:val="0"/>
      <w:marBottom w:val="0"/>
      <w:divBdr>
        <w:top w:val="none" w:sz="0" w:space="0" w:color="auto"/>
        <w:left w:val="none" w:sz="0" w:space="0" w:color="auto"/>
        <w:bottom w:val="none" w:sz="0" w:space="0" w:color="auto"/>
        <w:right w:val="none" w:sz="0" w:space="0" w:color="auto"/>
      </w:divBdr>
    </w:div>
    <w:div w:id="1141074256">
      <w:bodyDiv w:val="1"/>
      <w:marLeft w:val="0"/>
      <w:marRight w:val="0"/>
      <w:marTop w:val="0"/>
      <w:marBottom w:val="0"/>
      <w:divBdr>
        <w:top w:val="none" w:sz="0" w:space="0" w:color="auto"/>
        <w:left w:val="none" w:sz="0" w:space="0" w:color="auto"/>
        <w:bottom w:val="none" w:sz="0" w:space="0" w:color="auto"/>
        <w:right w:val="none" w:sz="0" w:space="0" w:color="auto"/>
      </w:divBdr>
    </w:div>
    <w:div w:id="1159539473">
      <w:bodyDiv w:val="1"/>
      <w:marLeft w:val="0"/>
      <w:marRight w:val="0"/>
      <w:marTop w:val="0"/>
      <w:marBottom w:val="0"/>
      <w:divBdr>
        <w:top w:val="none" w:sz="0" w:space="0" w:color="auto"/>
        <w:left w:val="none" w:sz="0" w:space="0" w:color="auto"/>
        <w:bottom w:val="none" w:sz="0" w:space="0" w:color="auto"/>
        <w:right w:val="none" w:sz="0" w:space="0" w:color="auto"/>
      </w:divBdr>
    </w:div>
    <w:div w:id="1168252599">
      <w:bodyDiv w:val="1"/>
      <w:marLeft w:val="0"/>
      <w:marRight w:val="0"/>
      <w:marTop w:val="0"/>
      <w:marBottom w:val="0"/>
      <w:divBdr>
        <w:top w:val="none" w:sz="0" w:space="0" w:color="auto"/>
        <w:left w:val="none" w:sz="0" w:space="0" w:color="auto"/>
        <w:bottom w:val="none" w:sz="0" w:space="0" w:color="auto"/>
        <w:right w:val="none" w:sz="0" w:space="0" w:color="auto"/>
      </w:divBdr>
    </w:div>
    <w:div w:id="1172716926">
      <w:bodyDiv w:val="1"/>
      <w:marLeft w:val="0"/>
      <w:marRight w:val="0"/>
      <w:marTop w:val="0"/>
      <w:marBottom w:val="0"/>
      <w:divBdr>
        <w:top w:val="none" w:sz="0" w:space="0" w:color="auto"/>
        <w:left w:val="none" w:sz="0" w:space="0" w:color="auto"/>
        <w:bottom w:val="none" w:sz="0" w:space="0" w:color="auto"/>
        <w:right w:val="none" w:sz="0" w:space="0" w:color="auto"/>
      </w:divBdr>
    </w:div>
    <w:div w:id="1253976669">
      <w:bodyDiv w:val="1"/>
      <w:marLeft w:val="0"/>
      <w:marRight w:val="0"/>
      <w:marTop w:val="0"/>
      <w:marBottom w:val="0"/>
      <w:divBdr>
        <w:top w:val="none" w:sz="0" w:space="0" w:color="auto"/>
        <w:left w:val="none" w:sz="0" w:space="0" w:color="auto"/>
        <w:bottom w:val="none" w:sz="0" w:space="0" w:color="auto"/>
        <w:right w:val="none" w:sz="0" w:space="0" w:color="auto"/>
      </w:divBdr>
    </w:div>
    <w:div w:id="1286544398">
      <w:bodyDiv w:val="1"/>
      <w:marLeft w:val="0"/>
      <w:marRight w:val="0"/>
      <w:marTop w:val="0"/>
      <w:marBottom w:val="0"/>
      <w:divBdr>
        <w:top w:val="none" w:sz="0" w:space="0" w:color="auto"/>
        <w:left w:val="none" w:sz="0" w:space="0" w:color="auto"/>
        <w:bottom w:val="none" w:sz="0" w:space="0" w:color="auto"/>
        <w:right w:val="none" w:sz="0" w:space="0" w:color="auto"/>
      </w:divBdr>
      <w:divsChild>
        <w:div w:id="457796818">
          <w:marLeft w:val="0"/>
          <w:marRight w:val="0"/>
          <w:marTop w:val="0"/>
          <w:marBottom w:val="0"/>
          <w:divBdr>
            <w:top w:val="none" w:sz="0" w:space="0" w:color="auto"/>
            <w:left w:val="none" w:sz="0" w:space="0" w:color="auto"/>
            <w:bottom w:val="none" w:sz="0" w:space="0" w:color="auto"/>
            <w:right w:val="none" w:sz="0" w:space="0" w:color="auto"/>
          </w:divBdr>
        </w:div>
      </w:divsChild>
    </w:div>
    <w:div w:id="1291322096">
      <w:bodyDiv w:val="1"/>
      <w:marLeft w:val="0"/>
      <w:marRight w:val="0"/>
      <w:marTop w:val="0"/>
      <w:marBottom w:val="0"/>
      <w:divBdr>
        <w:top w:val="none" w:sz="0" w:space="0" w:color="auto"/>
        <w:left w:val="none" w:sz="0" w:space="0" w:color="auto"/>
        <w:bottom w:val="none" w:sz="0" w:space="0" w:color="auto"/>
        <w:right w:val="none" w:sz="0" w:space="0" w:color="auto"/>
      </w:divBdr>
    </w:div>
    <w:div w:id="1368681260">
      <w:bodyDiv w:val="1"/>
      <w:marLeft w:val="0"/>
      <w:marRight w:val="0"/>
      <w:marTop w:val="0"/>
      <w:marBottom w:val="0"/>
      <w:divBdr>
        <w:top w:val="none" w:sz="0" w:space="0" w:color="auto"/>
        <w:left w:val="none" w:sz="0" w:space="0" w:color="auto"/>
        <w:bottom w:val="none" w:sz="0" w:space="0" w:color="auto"/>
        <w:right w:val="none" w:sz="0" w:space="0" w:color="auto"/>
      </w:divBdr>
    </w:div>
    <w:div w:id="1398437024">
      <w:bodyDiv w:val="1"/>
      <w:marLeft w:val="0"/>
      <w:marRight w:val="0"/>
      <w:marTop w:val="0"/>
      <w:marBottom w:val="0"/>
      <w:divBdr>
        <w:top w:val="none" w:sz="0" w:space="0" w:color="auto"/>
        <w:left w:val="none" w:sz="0" w:space="0" w:color="auto"/>
        <w:bottom w:val="none" w:sz="0" w:space="0" w:color="auto"/>
        <w:right w:val="none" w:sz="0" w:space="0" w:color="auto"/>
      </w:divBdr>
    </w:div>
    <w:div w:id="1440684033">
      <w:bodyDiv w:val="1"/>
      <w:marLeft w:val="0"/>
      <w:marRight w:val="0"/>
      <w:marTop w:val="0"/>
      <w:marBottom w:val="0"/>
      <w:divBdr>
        <w:top w:val="none" w:sz="0" w:space="0" w:color="auto"/>
        <w:left w:val="none" w:sz="0" w:space="0" w:color="auto"/>
        <w:bottom w:val="none" w:sz="0" w:space="0" w:color="auto"/>
        <w:right w:val="none" w:sz="0" w:space="0" w:color="auto"/>
      </w:divBdr>
    </w:div>
    <w:div w:id="1447694121">
      <w:bodyDiv w:val="1"/>
      <w:marLeft w:val="0"/>
      <w:marRight w:val="0"/>
      <w:marTop w:val="0"/>
      <w:marBottom w:val="0"/>
      <w:divBdr>
        <w:top w:val="none" w:sz="0" w:space="0" w:color="auto"/>
        <w:left w:val="none" w:sz="0" w:space="0" w:color="auto"/>
        <w:bottom w:val="none" w:sz="0" w:space="0" w:color="auto"/>
        <w:right w:val="none" w:sz="0" w:space="0" w:color="auto"/>
      </w:divBdr>
    </w:div>
    <w:div w:id="1456483622">
      <w:bodyDiv w:val="1"/>
      <w:marLeft w:val="0"/>
      <w:marRight w:val="0"/>
      <w:marTop w:val="0"/>
      <w:marBottom w:val="0"/>
      <w:divBdr>
        <w:top w:val="none" w:sz="0" w:space="0" w:color="auto"/>
        <w:left w:val="none" w:sz="0" w:space="0" w:color="auto"/>
        <w:bottom w:val="none" w:sz="0" w:space="0" w:color="auto"/>
        <w:right w:val="none" w:sz="0" w:space="0" w:color="auto"/>
      </w:divBdr>
    </w:div>
    <w:div w:id="1459033736">
      <w:bodyDiv w:val="1"/>
      <w:marLeft w:val="0"/>
      <w:marRight w:val="0"/>
      <w:marTop w:val="0"/>
      <w:marBottom w:val="0"/>
      <w:divBdr>
        <w:top w:val="none" w:sz="0" w:space="0" w:color="auto"/>
        <w:left w:val="none" w:sz="0" w:space="0" w:color="auto"/>
        <w:bottom w:val="none" w:sz="0" w:space="0" w:color="auto"/>
        <w:right w:val="none" w:sz="0" w:space="0" w:color="auto"/>
      </w:divBdr>
    </w:div>
    <w:div w:id="1464038902">
      <w:bodyDiv w:val="1"/>
      <w:marLeft w:val="0"/>
      <w:marRight w:val="0"/>
      <w:marTop w:val="0"/>
      <w:marBottom w:val="0"/>
      <w:divBdr>
        <w:top w:val="none" w:sz="0" w:space="0" w:color="auto"/>
        <w:left w:val="none" w:sz="0" w:space="0" w:color="auto"/>
        <w:bottom w:val="none" w:sz="0" w:space="0" w:color="auto"/>
        <w:right w:val="none" w:sz="0" w:space="0" w:color="auto"/>
      </w:divBdr>
    </w:div>
    <w:div w:id="1465852200">
      <w:bodyDiv w:val="1"/>
      <w:marLeft w:val="0"/>
      <w:marRight w:val="0"/>
      <w:marTop w:val="0"/>
      <w:marBottom w:val="0"/>
      <w:divBdr>
        <w:top w:val="none" w:sz="0" w:space="0" w:color="auto"/>
        <w:left w:val="none" w:sz="0" w:space="0" w:color="auto"/>
        <w:bottom w:val="none" w:sz="0" w:space="0" w:color="auto"/>
        <w:right w:val="none" w:sz="0" w:space="0" w:color="auto"/>
      </w:divBdr>
    </w:div>
    <w:div w:id="1492872547">
      <w:bodyDiv w:val="1"/>
      <w:marLeft w:val="0"/>
      <w:marRight w:val="0"/>
      <w:marTop w:val="0"/>
      <w:marBottom w:val="0"/>
      <w:divBdr>
        <w:top w:val="none" w:sz="0" w:space="0" w:color="auto"/>
        <w:left w:val="none" w:sz="0" w:space="0" w:color="auto"/>
        <w:bottom w:val="none" w:sz="0" w:space="0" w:color="auto"/>
        <w:right w:val="none" w:sz="0" w:space="0" w:color="auto"/>
      </w:divBdr>
    </w:div>
    <w:div w:id="1493988081">
      <w:bodyDiv w:val="1"/>
      <w:marLeft w:val="0"/>
      <w:marRight w:val="0"/>
      <w:marTop w:val="0"/>
      <w:marBottom w:val="0"/>
      <w:divBdr>
        <w:top w:val="none" w:sz="0" w:space="0" w:color="auto"/>
        <w:left w:val="none" w:sz="0" w:space="0" w:color="auto"/>
        <w:bottom w:val="none" w:sz="0" w:space="0" w:color="auto"/>
        <w:right w:val="none" w:sz="0" w:space="0" w:color="auto"/>
      </w:divBdr>
      <w:divsChild>
        <w:div w:id="1308776803">
          <w:marLeft w:val="0"/>
          <w:marRight w:val="0"/>
          <w:marTop w:val="0"/>
          <w:marBottom w:val="0"/>
          <w:divBdr>
            <w:top w:val="none" w:sz="0" w:space="0" w:color="auto"/>
            <w:left w:val="none" w:sz="0" w:space="0" w:color="auto"/>
            <w:bottom w:val="none" w:sz="0" w:space="0" w:color="auto"/>
            <w:right w:val="none" w:sz="0" w:space="0" w:color="auto"/>
          </w:divBdr>
        </w:div>
      </w:divsChild>
    </w:div>
    <w:div w:id="1586528069">
      <w:bodyDiv w:val="1"/>
      <w:marLeft w:val="0"/>
      <w:marRight w:val="0"/>
      <w:marTop w:val="0"/>
      <w:marBottom w:val="0"/>
      <w:divBdr>
        <w:top w:val="none" w:sz="0" w:space="0" w:color="auto"/>
        <w:left w:val="none" w:sz="0" w:space="0" w:color="auto"/>
        <w:bottom w:val="none" w:sz="0" w:space="0" w:color="auto"/>
        <w:right w:val="none" w:sz="0" w:space="0" w:color="auto"/>
      </w:divBdr>
    </w:div>
    <w:div w:id="1601790752">
      <w:bodyDiv w:val="1"/>
      <w:marLeft w:val="0"/>
      <w:marRight w:val="0"/>
      <w:marTop w:val="0"/>
      <w:marBottom w:val="0"/>
      <w:divBdr>
        <w:top w:val="none" w:sz="0" w:space="0" w:color="auto"/>
        <w:left w:val="none" w:sz="0" w:space="0" w:color="auto"/>
        <w:bottom w:val="none" w:sz="0" w:space="0" w:color="auto"/>
        <w:right w:val="none" w:sz="0" w:space="0" w:color="auto"/>
      </w:divBdr>
    </w:div>
    <w:div w:id="1606117124">
      <w:bodyDiv w:val="1"/>
      <w:marLeft w:val="0"/>
      <w:marRight w:val="0"/>
      <w:marTop w:val="0"/>
      <w:marBottom w:val="0"/>
      <w:divBdr>
        <w:top w:val="none" w:sz="0" w:space="0" w:color="auto"/>
        <w:left w:val="none" w:sz="0" w:space="0" w:color="auto"/>
        <w:bottom w:val="none" w:sz="0" w:space="0" w:color="auto"/>
        <w:right w:val="none" w:sz="0" w:space="0" w:color="auto"/>
      </w:divBdr>
    </w:div>
    <w:div w:id="1610621311">
      <w:bodyDiv w:val="1"/>
      <w:marLeft w:val="0"/>
      <w:marRight w:val="0"/>
      <w:marTop w:val="0"/>
      <w:marBottom w:val="0"/>
      <w:divBdr>
        <w:top w:val="none" w:sz="0" w:space="0" w:color="auto"/>
        <w:left w:val="none" w:sz="0" w:space="0" w:color="auto"/>
        <w:bottom w:val="none" w:sz="0" w:space="0" w:color="auto"/>
        <w:right w:val="none" w:sz="0" w:space="0" w:color="auto"/>
      </w:divBdr>
    </w:div>
    <w:div w:id="1628851955">
      <w:bodyDiv w:val="1"/>
      <w:marLeft w:val="0"/>
      <w:marRight w:val="0"/>
      <w:marTop w:val="0"/>
      <w:marBottom w:val="0"/>
      <w:divBdr>
        <w:top w:val="none" w:sz="0" w:space="0" w:color="auto"/>
        <w:left w:val="none" w:sz="0" w:space="0" w:color="auto"/>
        <w:bottom w:val="none" w:sz="0" w:space="0" w:color="auto"/>
        <w:right w:val="none" w:sz="0" w:space="0" w:color="auto"/>
      </w:divBdr>
    </w:div>
    <w:div w:id="1660376990">
      <w:bodyDiv w:val="1"/>
      <w:marLeft w:val="0"/>
      <w:marRight w:val="0"/>
      <w:marTop w:val="0"/>
      <w:marBottom w:val="0"/>
      <w:divBdr>
        <w:top w:val="none" w:sz="0" w:space="0" w:color="auto"/>
        <w:left w:val="none" w:sz="0" w:space="0" w:color="auto"/>
        <w:bottom w:val="none" w:sz="0" w:space="0" w:color="auto"/>
        <w:right w:val="none" w:sz="0" w:space="0" w:color="auto"/>
      </w:divBdr>
    </w:div>
    <w:div w:id="1679312077">
      <w:bodyDiv w:val="1"/>
      <w:marLeft w:val="0"/>
      <w:marRight w:val="0"/>
      <w:marTop w:val="0"/>
      <w:marBottom w:val="0"/>
      <w:divBdr>
        <w:top w:val="none" w:sz="0" w:space="0" w:color="auto"/>
        <w:left w:val="none" w:sz="0" w:space="0" w:color="auto"/>
        <w:bottom w:val="none" w:sz="0" w:space="0" w:color="auto"/>
        <w:right w:val="none" w:sz="0" w:space="0" w:color="auto"/>
      </w:divBdr>
    </w:div>
    <w:div w:id="1707562908">
      <w:bodyDiv w:val="1"/>
      <w:marLeft w:val="0"/>
      <w:marRight w:val="0"/>
      <w:marTop w:val="0"/>
      <w:marBottom w:val="0"/>
      <w:divBdr>
        <w:top w:val="none" w:sz="0" w:space="0" w:color="auto"/>
        <w:left w:val="none" w:sz="0" w:space="0" w:color="auto"/>
        <w:bottom w:val="none" w:sz="0" w:space="0" w:color="auto"/>
        <w:right w:val="none" w:sz="0" w:space="0" w:color="auto"/>
      </w:divBdr>
    </w:div>
    <w:div w:id="1715882778">
      <w:bodyDiv w:val="1"/>
      <w:marLeft w:val="0"/>
      <w:marRight w:val="0"/>
      <w:marTop w:val="0"/>
      <w:marBottom w:val="0"/>
      <w:divBdr>
        <w:top w:val="none" w:sz="0" w:space="0" w:color="auto"/>
        <w:left w:val="none" w:sz="0" w:space="0" w:color="auto"/>
        <w:bottom w:val="none" w:sz="0" w:space="0" w:color="auto"/>
        <w:right w:val="none" w:sz="0" w:space="0" w:color="auto"/>
      </w:divBdr>
      <w:divsChild>
        <w:div w:id="264191707">
          <w:marLeft w:val="0"/>
          <w:marRight w:val="0"/>
          <w:marTop w:val="0"/>
          <w:marBottom w:val="0"/>
          <w:divBdr>
            <w:top w:val="none" w:sz="0" w:space="0" w:color="auto"/>
            <w:left w:val="none" w:sz="0" w:space="0" w:color="auto"/>
            <w:bottom w:val="none" w:sz="0" w:space="0" w:color="auto"/>
            <w:right w:val="none" w:sz="0" w:space="0" w:color="auto"/>
          </w:divBdr>
          <w:divsChild>
            <w:div w:id="16930795">
              <w:marLeft w:val="0"/>
              <w:marRight w:val="0"/>
              <w:marTop w:val="0"/>
              <w:marBottom w:val="0"/>
              <w:divBdr>
                <w:top w:val="none" w:sz="0" w:space="0" w:color="auto"/>
                <w:left w:val="none" w:sz="0" w:space="0" w:color="auto"/>
                <w:bottom w:val="none" w:sz="0" w:space="0" w:color="auto"/>
                <w:right w:val="none" w:sz="0" w:space="0" w:color="auto"/>
              </w:divBdr>
              <w:divsChild>
                <w:div w:id="124272885">
                  <w:marLeft w:val="0"/>
                  <w:marRight w:val="0"/>
                  <w:marTop w:val="0"/>
                  <w:marBottom w:val="0"/>
                  <w:divBdr>
                    <w:top w:val="none" w:sz="0" w:space="0" w:color="auto"/>
                    <w:left w:val="none" w:sz="0" w:space="0" w:color="auto"/>
                    <w:bottom w:val="none" w:sz="0" w:space="0" w:color="auto"/>
                    <w:right w:val="none" w:sz="0" w:space="0" w:color="auto"/>
                  </w:divBdr>
                  <w:divsChild>
                    <w:div w:id="93140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48422">
              <w:marLeft w:val="0"/>
              <w:marRight w:val="0"/>
              <w:marTop w:val="0"/>
              <w:marBottom w:val="0"/>
              <w:divBdr>
                <w:top w:val="none" w:sz="0" w:space="0" w:color="auto"/>
                <w:left w:val="none" w:sz="0" w:space="0" w:color="auto"/>
                <w:bottom w:val="none" w:sz="0" w:space="0" w:color="auto"/>
                <w:right w:val="none" w:sz="0" w:space="0" w:color="auto"/>
              </w:divBdr>
              <w:divsChild>
                <w:div w:id="1983659610">
                  <w:marLeft w:val="0"/>
                  <w:marRight w:val="0"/>
                  <w:marTop w:val="0"/>
                  <w:marBottom w:val="0"/>
                  <w:divBdr>
                    <w:top w:val="none" w:sz="0" w:space="0" w:color="auto"/>
                    <w:left w:val="none" w:sz="0" w:space="0" w:color="auto"/>
                    <w:bottom w:val="none" w:sz="0" w:space="0" w:color="auto"/>
                    <w:right w:val="none" w:sz="0" w:space="0" w:color="auto"/>
                  </w:divBdr>
                  <w:divsChild>
                    <w:div w:id="9580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030604">
              <w:marLeft w:val="0"/>
              <w:marRight w:val="0"/>
              <w:marTop w:val="0"/>
              <w:marBottom w:val="0"/>
              <w:divBdr>
                <w:top w:val="none" w:sz="0" w:space="0" w:color="auto"/>
                <w:left w:val="none" w:sz="0" w:space="0" w:color="auto"/>
                <w:bottom w:val="none" w:sz="0" w:space="0" w:color="auto"/>
                <w:right w:val="none" w:sz="0" w:space="0" w:color="auto"/>
              </w:divBdr>
              <w:divsChild>
                <w:div w:id="810943639">
                  <w:marLeft w:val="0"/>
                  <w:marRight w:val="0"/>
                  <w:marTop w:val="0"/>
                  <w:marBottom w:val="0"/>
                  <w:divBdr>
                    <w:top w:val="none" w:sz="0" w:space="0" w:color="auto"/>
                    <w:left w:val="none" w:sz="0" w:space="0" w:color="auto"/>
                    <w:bottom w:val="none" w:sz="0" w:space="0" w:color="auto"/>
                    <w:right w:val="none" w:sz="0" w:space="0" w:color="auto"/>
                  </w:divBdr>
                  <w:divsChild>
                    <w:div w:id="87388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5130">
              <w:marLeft w:val="0"/>
              <w:marRight w:val="0"/>
              <w:marTop w:val="0"/>
              <w:marBottom w:val="0"/>
              <w:divBdr>
                <w:top w:val="none" w:sz="0" w:space="0" w:color="auto"/>
                <w:left w:val="none" w:sz="0" w:space="0" w:color="auto"/>
                <w:bottom w:val="none" w:sz="0" w:space="0" w:color="auto"/>
                <w:right w:val="none" w:sz="0" w:space="0" w:color="auto"/>
              </w:divBdr>
              <w:divsChild>
                <w:div w:id="1650555537">
                  <w:marLeft w:val="0"/>
                  <w:marRight w:val="0"/>
                  <w:marTop w:val="0"/>
                  <w:marBottom w:val="0"/>
                  <w:divBdr>
                    <w:top w:val="none" w:sz="0" w:space="0" w:color="auto"/>
                    <w:left w:val="none" w:sz="0" w:space="0" w:color="auto"/>
                    <w:bottom w:val="none" w:sz="0" w:space="0" w:color="auto"/>
                    <w:right w:val="none" w:sz="0" w:space="0" w:color="auto"/>
                  </w:divBdr>
                  <w:divsChild>
                    <w:div w:id="33843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6763">
              <w:marLeft w:val="0"/>
              <w:marRight w:val="0"/>
              <w:marTop w:val="0"/>
              <w:marBottom w:val="0"/>
              <w:divBdr>
                <w:top w:val="none" w:sz="0" w:space="0" w:color="auto"/>
                <w:left w:val="none" w:sz="0" w:space="0" w:color="auto"/>
                <w:bottom w:val="none" w:sz="0" w:space="0" w:color="auto"/>
                <w:right w:val="none" w:sz="0" w:space="0" w:color="auto"/>
              </w:divBdr>
              <w:divsChild>
                <w:div w:id="246379736">
                  <w:marLeft w:val="0"/>
                  <w:marRight w:val="0"/>
                  <w:marTop w:val="0"/>
                  <w:marBottom w:val="0"/>
                  <w:divBdr>
                    <w:top w:val="none" w:sz="0" w:space="0" w:color="auto"/>
                    <w:left w:val="none" w:sz="0" w:space="0" w:color="auto"/>
                    <w:bottom w:val="none" w:sz="0" w:space="0" w:color="auto"/>
                    <w:right w:val="none" w:sz="0" w:space="0" w:color="auto"/>
                  </w:divBdr>
                  <w:divsChild>
                    <w:div w:id="141134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76409">
              <w:marLeft w:val="0"/>
              <w:marRight w:val="0"/>
              <w:marTop w:val="0"/>
              <w:marBottom w:val="0"/>
              <w:divBdr>
                <w:top w:val="none" w:sz="0" w:space="0" w:color="auto"/>
                <w:left w:val="none" w:sz="0" w:space="0" w:color="auto"/>
                <w:bottom w:val="none" w:sz="0" w:space="0" w:color="auto"/>
                <w:right w:val="none" w:sz="0" w:space="0" w:color="auto"/>
              </w:divBdr>
              <w:divsChild>
                <w:div w:id="1662810389">
                  <w:marLeft w:val="0"/>
                  <w:marRight w:val="0"/>
                  <w:marTop w:val="0"/>
                  <w:marBottom w:val="0"/>
                  <w:divBdr>
                    <w:top w:val="none" w:sz="0" w:space="0" w:color="auto"/>
                    <w:left w:val="none" w:sz="0" w:space="0" w:color="auto"/>
                    <w:bottom w:val="none" w:sz="0" w:space="0" w:color="auto"/>
                    <w:right w:val="none" w:sz="0" w:space="0" w:color="auto"/>
                  </w:divBdr>
                  <w:divsChild>
                    <w:div w:id="137122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94245">
              <w:marLeft w:val="0"/>
              <w:marRight w:val="0"/>
              <w:marTop w:val="0"/>
              <w:marBottom w:val="0"/>
              <w:divBdr>
                <w:top w:val="none" w:sz="0" w:space="0" w:color="auto"/>
                <w:left w:val="none" w:sz="0" w:space="0" w:color="auto"/>
                <w:bottom w:val="none" w:sz="0" w:space="0" w:color="auto"/>
                <w:right w:val="none" w:sz="0" w:space="0" w:color="auto"/>
              </w:divBdr>
              <w:divsChild>
                <w:div w:id="762142494">
                  <w:marLeft w:val="0"/>
                  <w:marRight w:val="0"/>
                  <w:marTop w:val="0"/>
                  <w:marBottom w:val="0"/>
                  <w:divBdr>
                    <w:top w:val="none" w:sz="0" w:space="0" w:color="auto"/>
                    <w:left w:val="none" w:sz="0" w:space="0" w:color="auto"/>
                    <w:bottom w:val="none" w:sz="0" w:space="0" w:color="auto"/>
                    <w:right w:val="none" w:sz="0" w:space="0" w:color="auto"/>
                  </w:divBdr>
                  <w:divsChild>
                    <w:div w:id="6122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69020">
              <w:marLeft w:val="0"/>
              <w:marRight w:val="0"/>
              <w:marTop w:val="0"/>
              <w:marBottom w:val="0"/>
              <w:divBdr>
                <w:top w:val="none" w:sz="0" w:space="0" w:color="auto"/>
                <w:left w:val="none" w:sz="0" w:space="0" w:color="auto"/>
                <w:bottom w:val="none" w:sz="0" w:space="0" w:color="auto"/>
                <w:right w:val="none" w:sz="0" w:space="0" w:color="auto"/>
              </w:divBdr>
              <w:divsChild>
                <w:div w:id="316225021">
                  <w:marLeft w:val="0"/>
                  <w:marRight w:val="0"/>
                  <w:marTop w:val="0"/>
                  <w:marBottom w:val="0"/>
                  <w:divBdr>
                    <w:top w:val="none" w:sz="0" w:space="0" w:color="auto"/>
                    <w:left w:val="none" w:sz="0" w:space="0" w:color="auto"/>
                    <w:bottom w:val="none" w:sz="0" w:space="0" w:color="auto"/>
                    <w:right w:val="none" w:sz="0" w:space="0" w:color="auto"/>
                  </w:divBdr>
                  <w:divsChild>
                    <w:div w:id="206602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763603">
              <w:marLeft w:val="0"/>
              <w:marRight w:val="0"/>
              <w:marTop w:val="0"/>
              <w:marBottom w:val="0"/>
              <w:divBdr>
                <w:top w:val="none" w:sz="0" w:space="0" w:color="auto"/>
                <w:left w:val="none" w:sz="0" w:space="0" w:color="auto"/>
                <w:bottom w:val="none" w:sz="0" w:space="0" w:color="auto"/>
                <w:right w:val="none" w:sz="0" w:space="0" w:color="auto"/>
              </w:divBdr>
              <w:divsChild>
                <w:div w:id="526142057">
                  <w:marLeft w:val="0"/>
                  <w:marRight w:val="0"/>
                  <w:marTop w:val="0"/>
                  <w:marBottom w:val="0"/>
                  <w:divBdr>
                    <w:top w:val="none" w:sz="0" w:space="0" w:color="auto"/>
                    <w:left w:val="none" w:sz="0" w:space="0" w:color="auto"/>
                    <w:bottom w:val="none" w:sz="0" w:space="0" w:color="auto"/>
                    <w:right w:val="none" w:sz="0" w:space="0" w:color="auto"/>
                  </w:divBdr>
                  <w:divsChild>
                    <w:div w:id="97310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20820">
              <w:marLeft w:val="0"/>
              <w:marRight w:val="0"/>
              <w:marTop w:val="0"/>
              <w:marBottom w:val="0"/>
              <w:divBdr>
                <w:top w:val="none" w:sz="0" w:space="0" w:color="auto"/>
                <w:left w:val="none" w:sz="0" w:space="0" w:color="auto"/>
                <w:bottom w:val="none" w:sz="0" w:space="0" w:color="auto"/>
                <w:right w:val="none" w:sz="0" w:space="0" w:color="auto"/>
              </w:divBdr>
              <w:divsChild>
                <w:div w:id="712852717">
                  <w:marLeft w:val="0"/>
                  <w:marRight w:val="0"/>
                  <w:marTop w:val="0"/>
                  <w:marBottom w:val="0"/>
                  <w:divBdr>
                    <w:top w:val="none" w:sz="0" w:space="0" w:color="auto"/>
                    <w:left w:val="none" w:sz="0" w:space="0" w:color="auto"/>
                    <w:bottom w:val="none" w:sz="0" w:space="0" w:color="auto"/>
                    <w:right w:val="none" w:sz="0" w:space="0" w:color="auto"/>
                  </w:divBdr>
                  <w:divsChild>
                    <w:div w:id="1957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440008">
              <w:marLeft w:val="0"/>
              <w:marRight w:val="0"/>
              <w:marTop w:val="0"/>
              <w:marBottom w:val="0"/>
              <w:divBdr>
                <w:top w:val="none" w:sz="0" w:space="0" w:color="auto"/>
                <w:left w:val="none" w:sz="0" w:space="0" w:color="auto"/>
                <w:bottom w:val="none" w:sz="0" w:space="0" w:color="auto"/>
                <w:right w:val="none" w:sz="0" w:space="0" w:color="auto"/>
              </w:divBdr>
              <w:divsChild>
                <w:div w:id="948320873">
                  <w:marLeft w:val="0"/>
                  <w:marRight w:val="0"/>
                  <w:marTop w:val="0"/>
                  <w:marBottom w:val="0"/>
                  <w:divBdr>
                    <w:top w:val="none" w:sz="0" w:space="0" w:color="auto"/>
                    <w:left w:val="none" w:sz="0" w:space="0" w:color="auto"/>
                    <w:bottom w:val="none" w:sz="0" w:space="0" w:color="auto"/>
                    <w:right w:val="none" w:sz="0" w:space="0" w:color="auto"/>
                  </w:divBdr>
                  <w:divsChild>
                    <w:div w:id="42646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0018">
              <w:marLeft w:val="0"/>
              <w:marRight w:val="0"/>
              <w:marTop w:val="0"/>
              <w:marBottom w:val="0"/>
              <w:divBdr>
                <w:top w:val="none" w:sz="0" w:space="0" w:color="auto"/>
                <w:left w:val="none" w:sz="0" w:space="0" w:color="auto"/>
                <w:bottom w:val="none" w:sz="0" w:space="0" w:color="auto"/>
                <w:right w:val="none" w:sz="0" w:space="0" w:color="auto"/>
              </w:divBdr>
              <w:divsChild>
                <w:div w:id="24598937">
                  <w:marLeft w:val="0"/>
                  <w:marRight w:val="0"/>
                  <w:marTop w:val="0"/>
                  <w:marBottom w:val="0"/>
                  <w:divBdr>
                    <w:top w:val="none" w:sz="0" w:space="0" w:color="auto"/>
                    <w:left w:val="none" w:sz="0" w:space="0" w:color="auto"/>
                    <w:bottom w:val="none" w:sz="0" w:space="0" w:color="auto"/>
                    <w:right w:val="none" w:sz="0" w:space="0" w:color="auto"/>
                  </w:divBdr>
                  <w:divsChild>
                    <w:div w:id="22013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19692">
              <w:marLeft w:val="0"/>
              <w:marRight w:val="0"/>
              <w:marTop w:val="0"/>
              <w:marBottom w:val="0"/>
              <w:divBdr>
                <w:top w:val="none" w:sz="0" w:space="0" w:color="auto"/>
                <w:left w:val="none" w:sz="0" w:space="0" w:color="auto"/>
                <w:bottom w:val="none" w:sz="0" w:space="0" w:color="auto"/>
                <w:right w:val="none" w:sz="0" w:space="0" w:color="auto"/>
              </w:divBdr>
              <w:divsChild>
                <w:div w:id="769398828">
                  <w:marLeft w:val="0"/>
                  <w:marRight w:val="0"/>
                  <w:marTop w:val="0"/>
                  <w:marBottom w:val="0"/>
                  <w:divBdr>
                    <w:top w:val="none" w:sz="0" w:space="0" w:color="auto"/>
                    <w:left w:val="none" w:sz="0" w:space="0" w:color="auto"/>
                    <w:bottom w:val="none" w:sz="0" w:space="0" w:color="auto"/>
                    <w:right w:val="none" w:sz="0" w:space="0" w:color="auto"/>
                  </w:divBdr>
                  <w:divsChild>
                    <w:div w:id="48073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44735">
              <w:marLeft w:val="0"/>
              <w:marRight w:val="0"/>
              <w:marTop w:val="0"/>
              <w:marBottom w:val="0"/>
              <w:divBdr>
                <w:top w:val="none" w:sz="0" w:space="0" w:color="auto"/>
                <w:left w:val="none" w:sz="0" w:space="0" w:color="auto"/>
                <w:bottom w:val="none" w:sz="0" w:space="0" w:color="auto"/>
                <w:right w:val="none" w:sz="0" w:space="0" w:color="auto"/>
              </w:divBdr>
              <w:divsChild>
                <w:div w:id="1786994604">
                  <w:marLeft w:val="0"/>
                  <w:marRight w:val="0"/>
                  <w:marTop w:val="0"/>
                  <w:marBottom w:val="0"/>
                  <w:divBdr>
                    <w:top w:val="none" w:sz="0" w:space="0" w:color="auto"/>
                    <w:left w:val="none" w:sz="0" w:space="0" w:color="auto"/>
                    <w:bottom w:val="none" w:sz="0" w:space="0" w:color="auto"/>
                    <w:right w:val="none" w:sz="0" w:space="0" w:color="auto"/>
                  </w:divBdr>
                  <w:divsChild>
                    <w:div w:id="35920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02124">
              <w:marLeft w:val="0"/>
              <w:marRight w:val="0"/>
              <w:marTop w:val="0"/>
              <w:marBottom w:val="0"/>
              <w:divBdr>
                <w:top w:val="none" w:sz="0" w:space="0" w:color="auto"/>
                <w:left w:val="none" w:sz="0" w:space="0" w:color="auto"/>
                <w:bottom w:val="none" w:sz="0" w:space="0" w:color="auto"/>
                <w:right w:val="none" w:sz="0" w:space="0" w:color="auto"/>
              </w:divBdr>
              <w:divsChild>
                <w:div w:id="1909147823">
                  <w:marLeft w:val="0"/>
                  <w:marRight w:val="0"/>
                  <w:marTop w:val="0"/>
                  <w:marBottom w:val="0"/>
                  <w:divBdr>
                    <w:top w:val="none" w:sz="0" w:space="0" w:color="auto"/>
                    <w:left w:val="none" w:sz="0" w:space="0" w:color="auto"/>
                    <w:bottom w:val="none" w:sz="0" w:space="0" w:color="auto"/>
                    <w:right w:val="none" w:sz="0" w:space="0" w:color="auto"/>
                  </w:divBdr>
                  <w:divsChild>
                    <w:div w:id="69646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83184">
              <w:marLeft w:val="0"/>
              <w:marRight w:val="0"/>
              <w:marTop w:val="0"/>
              <w:marBottom w:val="0"/>
              <w:divBdr>
                <w:top w:val="none" w:sz="0" w:space="0" w:color="auto"/>
                <w:left w:val="none" w:sz="0" w:space="0" w:color="auto"/>
                <w:bottom w:val="none" w:sz="0" w:space="0" w:color="auto"/>
                <w:right w:val="none" w:sz="0" w:space="0" w:color="auto"/>
              </w:divBdr>
              <w:divsChild>
                <w:div w:id="1054542148">
                  <w:marLeft w:val="0"/>
                  <w:marRight w:val="0"/>
                  <w:marTop w:val="0"/>
                  <w:marBottom w:val="0"/>
                  <w:divBdr>
                    <w:top w:val="none" w:sz="0" w:space="0" w:color="auto"/>
                    <w:left w:val="none" w:sz="0" w:space="0" w:color="auto"/>
                    <w:bottom w:val="none" w:sz="0" w:space="0" w:color="auto"/>
                    <w:right w:val="none" w:sz="0" w:space="0" w:color="auto"/>
                  </w:divBdr>
                  <w:divsChild>
                    <w:div w:id="111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756801">
              <w:marLeft w:val="0"/>
              <w:marRight w:val="0"/>
              <w:marTop w:val="0"/>
              <w:marBottom w:val="0"/>
              <w:divBdr>
                <w:top w:val="none" w:sz="0" w:space="0" w:color="auto"/>
                <w:left w:val="none" w:sz="0" w:space="0" w:color="auto"/>
                <w:bottom w:val="none" w:sz="0" w:space="0" w:color="auto"/>
                <w:right w:val="none" w:sz="0" w:space="0" w:color="auto"/>
              </w:divBdr>
              <w:divsChild>
                <w:div w:id="192425290">
                  <w:marLeft w:val="0"/>
                  <w:marRight w:val="0"/>
                  <w:marTop w:val="0"/>
                  <w:marBottom w:val="0"/>
                  <w:divBdr>
                    <w:top w:val="none" w:sz="0" w:space="0" w:color="auto"/>
                    <w:left w:val="none" w:sz="0" w:space="0" w:color="auto"/>
                    <w:bottom w:val="none" w:sz="0" w:space="0" w:color="auto"/>
                    <w:right w:val="none" w:sz="0" w:space="0" w:color="auto"/>
                  </w:divBdr>
                  <w:divsChild>
                    <w:div w:id="167183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74236">
              <w:marLeft w:val="0"/>
              <w:marRight w:val="0"/>
              <w:marTop w:val="0"/>
              <w:marBottom w:val="0"/>
              <w:divBdr>
                <w:top w:val="none" w:sz="0" w:space="0" w:color="auto"/>
                <w:left w:val="none" w:sz="0" w:space="0" w:color="auto"/>
                <w:bottom w:val="none" w:sz="0" w:space="0" w:color="auto"/>
                <w:right w:val="none" w:sz="0" w:space="0" w:color="auto"/>
              </w:divBdr>
              <w:divsChild>
                <w:div w:id="862061201">
                  <w:marLeft w:val="0"/>
                  <w:marRight w:val="0"/>
                  <w:marTop w:val="0"/>
                  <w:marBottom w:val="0"/>
                  <w:divBdr>
                    <w:top w:val="none" w:sz="0" w:space="0" w:color="auto"/>
                    <w:left w:val="none" w:sz="0" w:space="0" w:color="auto"/>
                    <w:bottom w:val="none" w:sz="0" w:space="0" w:color="auto"/>
                    <w:right w:val="none" w:sz="0" w:space="0" w:color="auto"/>
                  </w:divBdr>
                  <w:divsChild>
                    <w:div w:id="6876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963909">
      <w:bodyDiv w:val="1"/>
      <w:marLeft w:val="0"/>
      <w:marRight w:val="0"/>
      <w:marTop w:val="0"/>
      <w:marBottom w:val="0"/>
      <w:divBdr>
        <w:top w:val="none" w:sz="0" w:space="0" w:color="auto"/>
        <w:left w:val="none" w:sz="0" w:space="0" w:color="auto"/>
        <w:bottom w:val="none" w:sz="0" w:space="0" w:color="auto"/>
        <w:right w:val="none" w:sz="0" w:space="0" w:color="auto"/>
      </w:divBdr>
    </w:div>
    <w:div w:id="1775396269">
      <w:bodyDiv w:val="1"/>
      <w:marLeft w:val="0"/>
      <w:marRight w:val="0"/>
      <w:marTop w:val="0"/>
      <w:marBottom w:val="0"/>
      <w:divBdr>
        <w:top w:val="none" w:sz="0" w:space="0" w:color="auto"/>
        <w:left w:val="none" w:sz="0" w:space="0" w:color="auto"/>
        <w:bottom w:val="none" w:sz="0" w:space="0" w:color="auto"/>
        <w:right w:val="none" w:sz="0" w:space="0" w:color="auto"/>
      </w:divBdr>
    </w:div>
    <w:div w:id="1797214528">
      <w:bodyDiv w:val="1"/>
      <w:marLeft w:val="0"/>
      <w:marRight w:val="0"/>
      <w:marTop w:val="0"/>
      <w:marBottom w:val="0"/>
      <w:divBdr>
        <w:top w:val="none" w:sz="0" w:space="0" w:color="auto"/>
        <w:left w:val="none" w:sz="0" w:space="0" w:color="auto"/>
        <w:bottom w:val="none" w:sz="0" w:space="0" w:color="auto"/>
        <w:right w:val="none" w:sz="0" w:space="0" w:color="auto"/>
      </w:divBdr>
    </w:div>
    <w:div w:id="1812207573">
      <w:bodyDiv w:val="1"/>
      <w:marLeft w:val="0"/>
      <w:marRight w:val="0"/>
      <w:marTop w:val="0"/>
      <w:marBottom w:val="0"/>
      <w:divBdr>
        <w:top w:val="none" w:sz="0" w:space="0" w:color="auto"/>
        <w:left w:val="none" w:sz="0" w:space="0" w:color="auto"/>
        <w:bottom w:val="none" w:sz="0" w:space="0" w:color="auto"/>
        <w:right w:val="none" w:sz="0" w:space="0" w:color="auto"/>
      </w:divBdr>
    </w:div>
    <w:div w:id="1852253993">
      <w:bodyDiv w:val="1"/>
      <w:marLeft w:val="0"/>
      <w:marRight w:val="0"/>
      <w:marTop w:val="0"/>
      <w:marBottom w:val="0"/>
      <w:divBdr>
        <w:top w:val="none" w:sz="0" w:space="0" w:color="auto"/>
        <w:left w:val="none" w:sz="0" w:space="0" w:color="auto"/>
        <w:bottom w:val="none" w:sz="0" w:space="0" w:color="auto"/>
        <w:right w:val="none" w:sz="0" w:space="0" w:color="auto"/>
      </w:divBdr>
    </w:div>
    <w:div w:id="1864973074">
      <w:bodyDiv w:val="1"/>
      <w:marLeft w:val="0"/>
      <w:marRight w:val="0"/>
      <w:marTop w:val="0"/>
      <w:marBottom w:val="0"/>
      <w:divBdr>
        <w:top w:val="none" w:sz="0" w:space="0" w:color="auto"/>
        <w:left w:val="none" w:sz="0" w:space="0" w:color="auto"/>
        <w:bottom w:val="none" w:sz="0" w:space="0" w:color="auto"/>
        <w:right w:val="none" w:sz="0" w:space="0" w:color="auto"/>
      </w:divBdr>
    </w:div>
    <w:div w:id="1866749778">
      <w:bodyDiv w:val="1"/>
      <w:marLeft w:val="0"/>
      <w:marRight w:val="0"/>
      <w:marTop w:val="0"/>
      <w:marBottom w:val="0"/>
      <w:divBdr>
        <w:top w:val="none" w:sz="0" w:space="0" w:color="auto"/>
        <w:left w:val="none" w:sz="0" w:space="0" w:color="auto"/>
        <w:bottom w:val="none" w:sz="0" w:space="0" w:color="auto"/>
        <w:right w:val="none" w:sz="0" w:space="0" w:color="auto"/>
      </w:divBdr>
    </w:div>
    <w:div w:id="1881045100">
      <w:bodyDiv w:val="1"/>
      <w:marLeft w:val="0"/>
      <w:marRight w:val="0"/>
      <w:marTop w:val="0"/>
      <w:marBottom w:val="0"/>
      <w:divBdr>
        <w:top w:val="none" w:sz="0" w:space="0" w:color="auto"/>
        <w:left w:val="none" w:sz="0" w:space="0" w:color="auto"/>
        <w:bottom w:val="none" w:sz="0" w:space="0" w:color="auto"/>
        <w:right w:val="none" w:sz="0" w:space="0" w:color="auto"/>
      </w:divBdr>
      <w:divsChild>
        <w:div w:id="1310793543">
          <w:marLeft w:val="0"/>
          <w:marRight w:val="0"/>
          <w:marTop w:val="0"/>
          <w:marBottom w:val="0"/>
          <w:divBdr>
            <w:top w:val="none" w:sz="0" w:space="0" w:color="auto"/>
            <w:left w:val="none" w:sz="0" w:space="0" w:color="auto"/>
            <w:bottom w:val="none" w:sz="0" w:space="0" w:color="auto"/>
            <w:right w:val="none" w:sz="0" w:space="0" w:color="auto"/>
          </w:divBdr>
        </w:div>
      </w:divsChild>
    </w:div>
    <w:div w:id="1899977892">
      <w:bodyDiv w:val="1"/>
      <w:marLeft w:val="0"/>
      <w:marRight w:val="0"/>
      <w:marTop w:val="0"/>
      <w:marBottom w:val="0"/>
      <w:divBdr>
        <w:top w:val="none" w:sz="0" w:space="0" w:color="auto"/>
        <w:left w:val="none" w:sz="0" w:space="0" w:color="auto"/>
        <w:bottom w:val="none" w:sz="0" w:space="0" w:color="auto"/>
        <w:right w:val="none" w:sz="0" w:space="0" w:color="auto"/>
      </w:divBdr>
    </w:div>
    <w:div w:id="1941138976">
      <w:bodyDiv w:val="1"/>
      <w:marLeft w:val="0"/>
      <w:marRight w:val="0"/>
      <w:marTop w:val="0"/>
      <w:marBottom w:val="0"/>
      <w:divBdr>
        <w:top w:val="none" w:sz="0" w:space="0" w:color="auto"/>
        <w:left w:val="none" w:sz="0" w:space="0" w:color="auto"/>
        <w:bottom w:val="none" w:sz="0" w:space="0" w:color="auto"/>
        <w:right w:val="none" w:sz="0" w:space="0" w:color="auto"/>
      </w:divBdr>
    </w:div>
    <w:div w:id="1958678855">
      <w:bodyDiv w:val="1"/>
      <w:marLeft w:val="0"/>
      <w:marRight w:val="0"/>
      <w:marTop w:val="0"/>
      <w:marBottom w:val="0"/>
      <w:divBdr>
        <w:top w:val="none" w:sz="0" w:space="0" w:color="auto"/>
        <w:left w:val="none" w:sz="0" w:space="0" w:color="auto"/>
        <w:bottom w:val="none" w:sz="0" w:space="0" w:color="auto"/>
        <w:right w:val="none" w:sz="0" w:space="0" w:color="auto"/>
      </w:divBdr>
    </w:div>
    <w:div w:id="1993875159">
      <w:bodyDiv w:val="1"/>
      <w:marLeft w:val="0"/>
      <w:marRight w:val="0"/>
      <w:marTop w:val="0"/>
      <w:marBottom w:val="0"/>
      <w:divBdr>
        <w:top w:val="none" w:sz="0" w:space="0" w:color="auto"/>
        <w:left w:val="none" w:sz="0" w:space="0" w:color="auto"/>
        <w:bottom w:val="none" w:sz="0" w:space="0" w:color="auto"/>
        <w:right w:val="none" w:sz="0" w:space="0" w:color="auto"/>
      </w:divBdr>
    </w:div>
    <w:div w:id="2023972662">
      <w:bodyDiv w:val="1"/>
      <w:marLeft w:val="0"/>
      <w:marRight w:val="0"/>
      <w:marTop w:val="0"/>
      <w:marBottom w:val="0"/>
      <w:divBdr>
        <w:top w:val="none" w:sz="0" w:space="0" w:color="auto"/>
        <w:left w:val="none" w:sz="0" w:space="0" w:color="auto"/>
        <w:bottom w:val="none" w:sz="0" w:space="0" w:color="auto"/>
        <w:right w:val="none" w:sz="0" w:space="0" w:color="auto"/>
      </w:divBdr>
    </w:div>
    <w:div w:id="2031374831">
      <w:bodyDiv w:val="1"/>
      <w:marLeft w:val="0"/>
      <w:marRight w:val="0"/>
      <w:marTop w:val="0"/>
      <w:marBottom w:val="0"/>
      <w:divBdr>
        <w:top w:val="none" w:sz="0" w:space="0" w:color="auto"/>
        <w:left w:val="none" w:sz="0" w:space="0" w:color="auto"/>
        <w:bottom w:val="none" w:sz="0" w:space="0" w:color="auto"/>
        <w:right w:val="none" w:sz="0" w:space="0" w:color="auto"/>
      </w:divBdr>
    </w:div>
    <w:div w:id="2033453392">
      <w:bodyDiv w:val="1"/>
      <w:marLeft w:val="0"/>
      <w:marRight w:val="0"/>
      <w:marTop w:val="0"/>
      <w:marBottom w:val="0"/>
      <w:divBdr>
        <w:top w:val="none" w:sz="0" w:space="0" w:color="auto"/>
        <w:left w:val="none" w:sz="0" w:space="0" w:color="auto"/>
        <w:bottom w:val="none" w:sz="0" w:space="0" w:color="auto"/>
        <w:right w:val="none" w:sz="0" w:space="0" w:color="auto"/>
      </w:divBdr>
    </w:div>
    <w:div w:id="210437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nerdwallet.com/auto-loans/learn/average-car-loan-interest-rates-by-credit-score" TargetMode="External"/><Relationship Id="rId26" Type="http://schemas.openxmlformats.org/officeDocument/2006/relationships/hyperlink" Target="https://www.cpuc.ca.gov/regulatory-services/licensing/transportation-licensing-and-analysis-branch/clean-miles-standard" TargetMode="External"/><Relationship Id="rId39" Type="http://schemas.openxmlformats.org/officeDocument/2006/relationships/hyperlink" Target="https://www.researchgate.net/publication/356120867_Electrifying_Ride-Hailing_in_the_United_States_Europe_and_Canada_How_to_Enable_Ride-Hailing_Drivers_to_Switch_to_Electric_Vehicles" TargetMode="External"/><Relationship Id="rId21" Type="http://schemas.openxmlformats.org/officeDocument/2006/relationships/hyperlink" Target="https://publications.anl.gov/anlpubs/2021/05/167399.pdf" TargetMode="External"/><Relationship Id="rId34" Type="http://schemas.openxmlformats.org/officeDocument/2006/relationships/hyperlink" Target="https://escholarship.org/uc/item/9zx112v2" TargetMode="External"/><Relationship Id="rId42" Type="http://schemas.openxmlformats.org/officeDocument/2006/relationships/hyperlink" Target="https://escholarship.org/uc/item/4rf2191v" TargetMode="External"/><Relationship Id="rId47" Type="http://schemas.openxmlformats.org/officeDocument/2006/relationships/hyperlink" Target="https://www.valuepenguin.com/how-having-electric-car-affects-your-auto-insurance-rates" TargetMode="External"/><Relationship Id="rId50" Type="http://schemas.openxmlformats.org/officeDocument/2006/relationships/hyperlink" Target="https://www.fueleconomy.gov/feg/findacar.shtml" TargetMode="External"/><Relationship Id="rId55" Type="http://schemas.openxmlformats.org/officeDocument/2006/relationships/image" Target="media/image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coxautoinc.com/insights-hub/sept-2025-atp-report/" TargetMode="External"/><Relationship Id="rId11" Type="http://schemas.openxmlformats.org/officeDocument/2006/relationships/image" Target="media/image1.png"/><Relationship Id="rId24" Type="http://schemas.openxmlformats.org/officeDocument/2006/relationships/hyperlink" Target="https://ww2.arb.ca.gov/sites/default/files/2022-10/fy2022_23_funding_plan_appendix_c.pdf?utm_source=chatgpt.com" TargetMode="External"/><Relationship Id="rId32" Type="http://schemas.openxmlformats.org/officeDocument/2006/relationships/hyperlink" Target="https://www.experian.com/blogs/ask-experian/electric-vehicle-trends/" TargetMode="External"/><Relationship Id="rId37" Type="http://schemas.openxmlformats.org/officeDocument/2006/relationships/hyperlink" Target="https://sciencepolicyreview.org/2021/08/equity-transition-electric-vehicles/" TargetMode="External"/><Relationship Id="rId40" Type="http://schemas.openxmlformats.org/officeDocument/2006/relationships/hyperlink" Target="https://www.lyft.com/blog/posts/lyft-electric-vehicle-million-miles" TargetMode="External"/><Relationship Id="rId45" Type="http://schemas.openxmlformats.org/officeDocument/2006/relationships/hyperlink" Target="https://stilt.com/careers/how-much-does-uber-pay/?utm_source=chatgpt.com" TargetMode="External"/><Relationship Id="rId53" Type="http://schemas.openxmlformats.org/officeDocument/2006/relationships/hyperlink" Target="https://doi.org/10.3390/futuretransp4030043"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www.nerdwallet.com/article/loans/auto-loans/how-much-down-payment-make-buying-ca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2.arb.ca.gov/sites/default/files/2020-05/fy1617_cvrp_solicitation.pdf" TargetMode="External"/><Relationship Id="rId27" Type="http://schemas.openxmlformats.org/officeDocument/2006/relationships/hyperlink" Target="https://docs.cpuc.ca.gov/PublishedDocs/Efile/G000/M523/K124/523124840.PDF" TargetMode="External"/><Relationship Id="rId30" Type="http://schemas.openxmlformats.org/officeDocument/2006/relationships/hyperlink" Target="https://www.edmunds.com/industry/press/elevated-auto-loan-rates-hinder-new-and-used-car-shoppers-in-q1-2024-according-to-edmunds.html" TargetMode="External"/><Relationship Id="rId35" Type="http://schemas.openxmlformats.org/officeDocument/2006/relationships/hyperlink" Target="https://www.bls.gov/osmr/research-papers/2020/pdf/ec200010.pdf" TargetMode="External"/><Relationship Id="rId43" Type="http://schemas.openxmlformats.org/officeDocument/2006/relationships/hyperlink" Target="https://www.sofi.com/learn/content/average-car-loan-interest-rate-by-credit-score/?utm_source=chatgpt.com" TargetMode="External"/><Relationship Id="rId48" Type="http://schemas.openxmlformats.org/officeDocument/2006/relationships/hyperlink" Target="https://www.uber.com/newsroom/uber-electric/?utm_source=chatgpt.com" TargetMode="External"/><Relationship Id="rId56" Type="http://schemas.openxmlformats.org/officeDocument/2006/relationships/image" Target="media/image9.png"/><Relationship Id="rId8" Type="http://schemas.openxmlformats.org/officeDocument/2006/relationships/webSettings" Target="webSettings.xml"/><Relationship Id="rId51" Type="http://schemas.openxmlformats.org/officeDocument/2006/relationships/hyperlink" Target="https://cars.usnews.com/cars-trucks/advice/electric-car-charging-cost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news.aaa-calif.com/news/auto-club-gas-prices-tick-up-slightly-over-holiday-2024-ends-with-third-highest-annual-gas-price-average?utm_source=chatgpt.com" TargetMode="External"/><Relationship Id="rId25" Type="http://schemas.openxmlformats.org/officeDocument/2006/relationships/hyperlink" Target="https://www.energy.ca.gov/news/2025-07/over-100000-zevs-sold-california-second-quarter-2025?utm_source=chatgpt.com" TargetMode="External"/><Relationship Id="rId33" Type="http://schemas.openxmlformats.org/officeDocument/2006/relationships/hyperlink" Target="https://issuu.com/fehrandpeers/docs/tnc_vmt_findings_memo_08.06.2019" TargetMode="External"/><Relationship Id="rId38" Type="http://schemas.openxmlformats.org/officeDocument/2006/relationships/hyperlink" Target="https://www.iea.org/reports/net-zero-roadmap-a-global-pathway-to-keep-the-15-0c-goal-in-reach" TargetMode="External"/><Relationship Id="rId46" Type="http://schemas.openxmlformats.org/officeDocument/2006/relationships/hyperlink" Target="https://therideshareguy.com/how-much-do-uber-drivers-make/" TargetMode="External"/><Relationship Id="rId59" Type="http://schemas.openxmlformats.org/officeDocument/2006/relationships/theme" Target="theme/theme1.xml"/><Relationship Id="rId20" Type="http://schemas.openxmlformats.org/officeDocument/2006/relationships/hyperlink" Target="https://www.bts.gov/data-spotlight/household-cost-transportation-it-affordable" TargetMode="External"/><Relationship Id="rId41" Type="http://schemas.openxmlformats.org/officeDocument/2006/relationships/hyperlink" Target="https://www.sfcta.org/projects/tncs-today"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2.arb.ca.gov/sites/default/files/barcu/regact/2021/cleanmilesstandard/appb.pdf" TargetMode="External"/><Relationship Id="rId28" Type="http://schemas.openxmlformats.org/officeDocument/2006/relationships/hyperlink" Target="https://caredge.com/guides/average-price-of-an-electric-car-2024" TargetMode="External"/><Relationship Id="rId36" Type="http://schemas.openxmlformats.org/officeDocument/2006/relationships/hyperlink" Target="https://gbtimes.com/how-does-the-surge-work-on-uber/" TargetMode="External"/><Relationship Id="rId49" Type="http://schemas.openxmlformats.org/officeDocument/2006/relationships/hyperlink" Target="https://www.uber.com/newsroom/uber-electric/" TargetMode="External"/><Relationship Id="rId57" Type="http://schemas.openxmlformats.org/officeDocument/2006/relationships/image" Target="media/image10.png"/><Relationship Id="rId10" Type="http://schemas.openxmlformats.org/officeDocument/2006/relationships/endnotes" Target="endnotes.xml"/><Relationship Id="rId31" Type="http://schemas.openxmlformats.org/officeDocument/2006/relationships/hyperlink" Target="https://www.epa.gov/ghgemissions/inventory-us-greenhouse-gas-emissions-and-sinks" TargetMode="External"/><Relationship Id="rId44" Type="http://schemas.openxmlformats.org/officeDocument/2006/relationships/hyperlink" Target="https://stable.auto/insights/electric-vehicle-charger-price-by-state" TargetMode="External"/><Relationship Id="rId52" Type="http://schemas.openxmlformats.org/officeDocument/2006/relationships/hyperlink" Target="https://irle.ucla.edu/wp-content/uploads/2018/05/Final-Report.-UCLA-More-than-a-Gig.pdf" TargetMode="External"/><Relationship Id="rId60"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c782773-51c9-4ab2-87ae-59a0061c662f">
      <Terms xmlns="http://schemas.microsoft.com/office/infopath/2007/PartnerControls"/>
    </lcf76f155ced4ddcb4097134ff3c332f>
    <TaxCatchAll xmlns="ae9e2640-8cab-4259-99be-ba312b8b631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8C81A76A87B9141B60A6410A1AB677E" ma:contentTypeVersion="14" ma:contentTypeDescription="Create a new document." ma:contentTypeScope="" ma:versionID="bf8c09229eed469ced8cdafa9bfa6b48">
  <xsd:schema xmlns:xsd="http://www.w3.org/2001/XMLSchema" xmlns:xs="http://www.w3.org/2001/XMLSchema" xmlns:p="http://schemas.microsoft.com/office/2006/metadata/properties" xmlns:ns2="ae9e2640-8cab-4259-99be-ba312b8b6319" xmlns:ns3="cc782773-51c9-4ab2-87ae-59a0061c662f" targetNamespace="http://schemas.microsoft.com/office/2006/metadata/properties" ma:root="true" ma:fieldsID="d4352f51ed31f32dc1eae8d1fa75e8f6" ns2:_="" ns3:_="">
    <xsd:import namespace="ae9e2640-8cab-4259-99be-ba312b8b6319"/>
    <xsd:import namespace="cc782773-51c9-4ab2-87ae-59a0061c662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LengthInSecond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9e2640-8cab-4259-99be-ba312b8b631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ddbe28f-629b-4c13-8cb9-4a2eaedc9faa}" ma:internalName="TaxCatchAll" ma:showField="CatchAllData" ma:web="ae9e2640-8cab-4259-99be-ba312b8b631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c782773-51c9-4ab2-87ae-59a0061c662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cfab10e-2905-4c99-a1c6-8b70a464d06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7CB870-39E9-4ABD-A171-4A1D3E948EBB}">
  <ds:schemaRefs>
    <ds:schemaRef ds:uri="http://schemas.openxmlformats.org/officeDocument/2006/bibliography"/>
  </ds:schemaRefs>
</ds:datastoreItem>
</file>

<file path=customXml/itemProps2.xml><?xml version="1.0" encoding="utf-8"?>
<ds:datastoreItem xmlns:ds="http://schemas.openxmlformats.org/officeDocument/2006/customXml" ds:itemID="{14343CD5-5CE1-4412-8DBD-3CC5C26D4B0E}">
  <ds:schemaRefs>
    <ds:schemaRef ds:uri="http://schemas.microsoft.com/office/2006/metadata/properties"/>
    <ds:schemaRef ds:uri="http://schemas.microsoft.com/office/infopath/2007/PartnerControls"/>
    <ds:schemaRef ds:uri="cc782773-51c9-4ab2-87ae-59a0061c662f"/>
    <ds:schemaRef ds:uri="ae9e2640-8cab-4259-99be-ba312b8b6319"/>
  </ds:schemaRefs>
</ds:datastoreItem>
</file>

<file path=customXml/itemProps3.xml><?xml version="1.0" encoding="utf-8"?>
<ds:datastoreItem xmlns:ds="http://schemas.openxmlformats.org/officeDocument/2006/customXml" ds:itemID="{30AE99DF-BBFF-4BF3-88E8-9C729A1C60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9e2640-8cab-4259-99be-ba312b8b6319"/>
    <ds:schemaRef ds:uri="cc782773-51c9-4ab2-87ae-59a0061c66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EC61E3-A2B1-4743-9781-D95B365B46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7823</Words>
  <Characters>44595</Characters>
  <Application>Microsoft Office Word</Application>
  <DocSecurity>0</DocSecurity>
  <Lines>371</Lines>
  <Paragraphs>104</Paragraphs>
  <ScaleCrop>false</ScaleCrop>
  <Company/>
  <LinksUpToDate>false</LinksUpToDate>
  <CharactersWithSpaces>52314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Sheja</dc:creator>
  <cp:keywords/>
  <dc:description/>
  <cp:lastModifiedBy>John Anderson</cp:lastModifiedBy>
  <cp:revision>2</cp:revision>
  <cp:lastPrinted>2025-12-04T17:27:00Z</cp:lastPrinted>
  <dcterms:created xsi:type="dcterms:W3CDTF">2026-04-04T00:24:00Z</dcterms:created>
  <dcterms:modified xsi:type="dcterms:W3CDTF">2026-04-04T00:24:00Z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0x01010068C81A76A87B9141B60A6410A1AB677E</vt:lpwstr>
  </property>
  <property fmtid="{D5CDD505-2E9C-101B-9397-08002B2CF9AE}" pid="3" name="MediaServiceImageTags">
    <vt:lpwstr/>
  </property>
</Properties>
</file>